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C6" w:rsidRPr="006C5DA2" w:rsidRDefault="002639EB" w:rsidP="00A711C6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Otsailak 18</w:t>
      </w:r>
    </w:p>
    <w:p w:rsidR="002639EB" w:rsidRPr="006C5DA2" w:rsidRDefault="00A711C6" w:rsidP="0086775F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Navarra Suma (NA+) talde parlamentarioari atxikitako foru parlamentari Cristina Ibarrola </w:t>
      </w:r>
      <w:proofErr w:type="spellStart"/>
      <w:r>
        <w:rPr>
          <w:rFonts w:ascii="Arial" w:hAnsi="Arial"/>
        </w:rPr>
        <w:t>Guillén</w:t>
      </w:r>
      <w:proofErr w:type="spellEnd"/>
      <w:r>
        <w:rPr>
          <w:rFonts w:ascii="Arial" w:hAnsi="Arial"/>
        </w:rPr>
        <w:t xml:space="preserve"> andreak idatziz erantzuteko galdera aurkeztu du (10-20-PES-00376). Hona Nafarroako Gobernuko Osasuneko kontseilariak galdera horri erantzunez eman beharreko informazioa:</w:t>
      </w:r>
    </w:p>
    <w:p w:rsidR="002639EB" w:rsidRPr="006C5DA2" w:rsidRDefault="00F119C5" w:rsidP="00E800B4">
      <w:pPr>
        <w:spacing w:line="288" w:lineRule="auto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 xml:space="preserve">1.- Plaza finkorik ez duten </w:t>
      </w:r>
      <w:proofErr w:type="spellStart"/>
      <w:r>
        <w:rPr>
          <w:rFonts w:ascii="Arial" w:hAnsi="Arial"/>
          <w:i/>
        </w:rPr>
        <w:t>Osasunbidea-Nafarroako</w:t>
      </w:r>
      <w:proofErr w:type="spellEnd"/>
      <w:r>
        <w:rPr>
          <w:rFonts w:ascii="Arial" w:hAnsi="Arial"/>
          <w:i/>
        </w:rPr>
        <w:t xml:space="preserve"> Osasun Zerbitzuko mediku guztiei eskaini al zaie 3 urteko kontratua egitea?</w:t>
      </w:r>
    </w:p>
    <w:p w:rsidR="002639EB" w:rsidRPr="006C5DA2" w:rsidRDefault="007D183C" w:rsidP="007D183C">
      <w:p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/>
        </w:rPr>
        <w:t xml:space="preserve">Lehenengo galderari dagokionez, Osasuneko kontseilariak behin hauxe esan zuen: </w:t>
      </w:r>
      <w:r>
        <w:rPr>
          <w:rFonts w:ascii="Arial" w:hAnsi="Arial"/>
          <w:bCs/>
        </w:rPr>
        <w:t>“Zuetako norbaitek familia medikuren bat ezagutzen badu, esaiozue arren harremanetan jartzeko gurekin, hiru urteko lan kontratua eskainiko baitiogu”</w:t>
      </w:r>
    </w:p>
    <w:p w:rsidR="002639EB" w:rsidRPr="006C5DA2" w:rsidRDefault="007D183C" w:rsidP="007D183C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Osasuneko kontseilariak adierazpen horiek egin zituen informazioa ematen ari zenean pandemia garaian mediku urritasuna izateari buruz, ohartarazi nahi baitzuen hainbat eta hainbat lanpostu ezin direla bete mediku nahikorik ez izateagatik.</w:t>
      </w:r>
    </w:p>
    <w:p w:rsidR="002639EB" w:rsidRPr="006C5DA2" w:rsidRDefault="007D183C" w:rsidP="007D183C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Noski, adierazpen horiek hedabideekiko solasaldi batean kokatu behar dira, eta kontseilariak ohartarazi nahi zuen medikuen urritasuna begi bistakoa dela. Egoera hori oso aspalditik dator, ordea, eta COVID-19 pandemiak okerragotu baino ez du egin. Jada 2017an, Osasun Departamentuak profesionalak erakartzeko kanpaina bat abiarazi behar izan zuen, batez ere espezialitate hauek hornitzeko: Pediatria, Traumatologia, Anestesia, </w:t>
      </w:r>
      <w:proofErr w:type="spellStart"/>
      <w:r>
        <w:rPr>
          <w:rFonts w:ascii="Arial" w:hAnsi="Arial"/>
        </w:rPr>
        <w:t>Erradiodiagnostikoa</w:t>
      </w:r>
      <w:proofErr w:type="spellEnd"/>
      <w:r>
        <w:rPr>
          <w:rFonts w:ascii="Arial" w:hAnsi="Arial"/>
        </w:rPr>
        <w:t xml:space="preserve">, Familia Medikuntza, Dermatologia, Errehabilitazioa eta Anatomia Patologikoa. </w:t>
      </w:r>
    </w:p>
    <w:p w:rsidR="002639EB" w:rsidRPr="006C5DA2" w:rsidRDefault="007D183C" w:rsidP="007D183C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Ondorioztatu ahal dugu, beraz, Osasun Departamentuak, eta zehazkiago </w:t>
      </w:r>
      <w:proofErr w:type="spellStart"/>
      <w:r>
        <w:rPr>
          <w:rFonts w:ascii="Arial" w:hAnsi="Arial"/>
        </w:rPr>
        <w:t>O-NOZek</w:t>
      </w:r>
      <w:proofErr w:type="spellEnd"/>
      <w:r>
        <w:rPr>
          <w:rFonts w:ascii="Arial" w:hAnsi="Arial"/>
        </w:rPr>
        <w:t>, badituztela Oinarrizko Osasun Laguntzako mediku izateko lanpostuen eskaintzak ezin direnak bete, edo zailtasun bereziak dituztenak betetzeko. Lanpostu horietako asko egonkortasun handiko lanpostuak izanen direla aurreikus daiteke.</w:t>
      </w:r>
    </w:p>
    <w:p w:rsidR="002639EB" w:rsidRPr="006C5DA2" w:rsidRDefault="007D183C" w:rsidP="00E800B4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Lanpostu horiek behar den bezala beteko dira, kontratazio bidez, Osasuneko sailburuaren martxoaren 23ko 347/2017E Foru Aginduak ezartzen duenari jarraituz (haren bidez onesten dira aldi baterako kontratatzeko izangaien zerrendak kudeatzeko arauak, Osasun Departamentuari atxikitako erakunde autonomoetako zentro eta establezimenduetarako).</w:t>
      </w:r>
    </w:p>
    <w:p w:rsidR="002639EB" w:rsidRPr="006C5DA2" w:rsidRDefault="00F119C5" w:rsidP="00E800B4">
      <w:pPr>
        <w:spacing w:line="288" w:lineRule="auto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>2.- Zenbatek onartu eta formalizatu dute 3 urteko kontratu hori?</w:t>
      </w:r>
    </w:p>
    <w:p w:rsidR="002639EB" w:rsidRPr="006C5DA2" w:rsidRDefault="007D183C" w:rsidP="00E800B4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Aurreko erantzunean azaldu dugunez, ez da eskaini zehatz-mehatz hiru urteko kontraturik, baina beren ezaugarriengatik denboran zehar egonkorrak izan daitezkeen kontratuak eskaini dira.</w:t>
      </w:r>
    </w:p>
    <w:p w:rsidR="002639EB" w:rsidRPr="006C5DA2" w:rsidRDefault="00F119C5" w:rsidP="00E800B4">
      <w:pPr>
        <w:spacing w:line="288" w:lineRule="auto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>3. Zenbatek eman diote ezezkoa?</w:t>
      </w:r>
    </w:p>
    <w:p w:rsidR="002639EB" w:rsidRPr="006C5DA2" w:rsidRDefault="007D183C" w:rsidP="00E800B4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Aurreko galderan adierazitakoari eusten diogu.</w:t>
      </w:r>
    </w:p>
    <w:p w:rsidR="002639EB" w:rsidRDefault="00F119C5" w:rsidP="00E800B4">
      <w:pPr>
        <w:spacing w:line="288" w:lineRule="auto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 xml:space="preserve">4. Gaur egun zenbat fakultatibo daude </w:t>
      </w:r>
      <w:proofErr w:type="spellStart"/>
      <w:r>
        <w:rPr>
          <w:rFonts w:ascii="Arial" w:hAnsi="Arial"/>
          <w:i/>
        </w:rPr>
        <w:t>Osasunbidea-Nafarroako</w:t>
      </w:r>
      <w:proofErr w:type="spellEnd"/>
      <w:r>
        <w:rPr>
          <w:rFonts w:ascii="Arial" w:hAnsi="Arial"/>
          <w:i/>
        </w:rPr>
        <w:t xml:space="preserve"> Osasun Zerbitzuan iraupen laburragoko kontratuak dituztenak eta kontratua 6 hilean behin edo urtean behin sinatzen dutenak? Zein zentro edo zerbitzutan? Guztiek eman al diote ezezkoa 3 urteko kontratuak egiteari?</w:t>
      </w:r>
    </w:p>
    <w:p w:rsidR="00774D98" w:rsidRPr="006C5DA2" w:rsidRDefault="00774D98" w:rsidP="00E800B4">
      <w:pPr>
        <w:spacing w:line="288" w:lineRule="auto"/>
        <w:jc w:val="both"/>
        <w:rPr>
          <w:rFonts w:ascii="Arial" w:hAnsi="Arial" w:cs="Arial"/>
          <w:i/>
        </w:rPr>
      </w:pPr>
    </w:p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00"/>
        <w:gridCol w:w="908"/>
        <w:gridCol w:w="1175"/>
        <w:gridCol w:w="931"/>
        <w:gridCol w:w="964"/>
        <w:gridCol w:w="850"/>
        <w:gridCol w:w="957"/>
        <w:gridCol w:w="828"/>
      </w:tblGrid>
      <w:tr w:rsidR="00D669C7" w:rsidRPr="00D669C7" w:rsidTr="00B275B4">
        <w:trPr>
          <w:trHeight w:val="20"/>
        </w:trPr>
        <w:tc>
          <w:tcPr>
            <w:tcW w:w="3970" w:type="dxa"/>
            <w:gridSpan w:val="3"/>
            <w:shd w:val="clear" w:color="auto" w:fill="F2F2F2" w:themeFill="background1" w:themeFillShade="F2"/>
          </w:tcPr>
          <w:p w:rsidR="00D669C7" w:rsidRPr="00D669C7" w:rsidRDefault="00D669C7" w:rsidP="00B275B4">
            <w:pPr>
              <w:spacing w:before="40" w:after="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bookmarkStart w:id="0" w:name="_GoBack"/>
            <w:r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MEDIKUEN 3 URTETIK BEHERAKO KONTRATUAK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D669C7" w:rsidRPr="00D669C7" w:rsidRDefault="00D669C7" w:rsidP="00B275B4">
            <w:pPr>
              <w:spacing w:before="40" w:after="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669C7" w:rsidRPr="00D669C7" w:rsidRDefault="00D669C7" w:rsidP="00B275B4">
            <w:pPr>
              <w:spacing w:before="40" w:after="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ZENTROA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669C7" w:rsidRPr="00D669C7" w:rsidRDefault="00D669C7" w:rsidP="00B275B4">
            <w:pPr>
              <w:spacing w:before="40" w:after="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669C7" w:rsidRPr="00D669C7" w:rsidRDefault="00D669C7" w:rsidP="00B275B4">
            <w:pPr>
              <w:spacing w:before="40" w:after="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D669C7" w:rsidRPr="00D669C7" w:rsidRDefault="00D669C7" w:rsidP="00B275B4">
            <w:pPr>
              <w:spacing w:before="40" w:after="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B275B4" w:rsidRPr="00D669C7" w:rsidTr="00B275B4">
        <w:trPr>
          <w:trHeight w:val="20"/>
        </w:trPr>
        <w:tc>
          <w:tcPr>
            <w:tcW w:w="2112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Oinarrizko</w:t>
            </w:r>
          </w:p>
        </w:tc>
        <w:tc>
          <w:tcPr>
            <w:tcW w:w="1027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Ospitalegunea</w:t>
            </w:r>
            <w:proofErr w:type="spellEnd"/>
          </w:p>
        </w:tc>
        <w:tc>
          <w:tcPr>
            <w:tcW w:w="958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Lizarrako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Osasun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Zerbitzu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Tuterako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Guztira,</w:t>
            </w:r>
          </w:p>
        </w:tc>
      </w:tr>
      <w:tr w:rsidR="00B275B4" w:rsidRPr="00D669C7" w:rsidTr="00B275B4">
        <w:trPr>
          <w:trHeight w:val="20"/>
        </w:trPr>
        <w:tc>
          <w:tcPr>
            <w:tcW w:w="2112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KONTRATAZIOAREN ARRAZOIA</w:t>
            </w:r>
          </w:p>
        </w:tc>
        <w:tc>
          <w:tcPr>
            <w:tcW w:w="831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Osasun </w:t>
            </w: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Lag</w:t>
            </w:r>
            <w:proofErr w:type="spellEnd"/>
            <w:r>
              <w:rPr>
                <w:rFonts w:asciiTheme="minorHAnsi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1027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Osasun Barrutia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Mentala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Zentralak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Osasun Barrutia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oro har</w:t>
            </w:r>
          </w:p>
        </w:tc>
      </w:tr>
      <w:tr w:rsidR="00D669C7" w:rsidRPr="00D669C7" w:rsidTr="00B275B4">
        <w:trPr>
          <w:trHeight w:val="20"/>
        </w:trPr>
        <w:tc>
          <w:tcPr>
            <w:tcW w:w="2112" w:type="dxa"/>
            <w:shd w:val="clear" w:color="auto" w:fill="FFFFFF" w:themeFill="background1"/>
          </w:tcPr>
          <w:p w:rsidR="00EF2054" w:rsidRPr="00D669C7" w:rsidRDefault="00EF2054" w:rsidP="00B275B4">
            <w:pPr>
              <w:spacing w:before="40" w:after="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EGITURAZKOAK</w:t>
            </w:r>
          </w:p>
        </w:tc>
        <w:tc>
          <w:tcPr>
            <w:tcW w:w="831" w:type="dxa"/>
            <w:shd w:val="clear" w:color="auto" w:fill="FFFFFF" w:themeFill="background1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40</w:t>
            </w:r>
          </w:p>
        </w:tc>
        <w:tc>
          <w:tcPr>
            <w:tcW w:w="1027" w:type="dxa"/>
            <w:shd w:val="clear" w:color="auto" w:fill="FFFFFF" w:themeFill="background1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88</w:t>
            </w:r>
          </w:p>
        </w:tc>
        <w:tc>
          <w:tcPr>
            <w:tcW w:w="958" w:type="dxa"/>
            <w:shd w:val="clear" w:color="auto" w:fill="FFFFFF" w:themeFill="background1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21</w:t>
            </w:r>
          </w:p>
        </w:tc>
        <w:tc>
          <w:tcPr>
            <w:tcW w:w="850" w:type="dxa"/>
            <w:shd w:val="clear" w:color="auto" w:fill="FFFFFF" w:themeFill="background1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186</w:t>
            </w:r>
          </w:p>
        </w:tc>
      </w:tr>
      <w:tr w:rsidR="00D669C7" w:rsidRPr="00D669C7" w:rsidTr="00B275B4">
        <w:trPr>
          <w:trHeight w:val="20"/>
        </w:trPr>
        <w:tc>
          <w:tcPr>
            <w:tcW w:w="2112" w:type="dxa"/>
            <w:shd w:val="clear" w:color="auto" w:fill="FFFFFF" w:themeFill="background1"/>
          </w:tcPr>
          <w:p w:rsidR="00EF2054" w:rsidRPr="00D669C7" w:rsidRDefault="00EF2054" w:rsidP="00B275B4">
            <w:pPr>
              <w:spacing w:before="40" w:after="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ORDEZKAPENAK ETA ERRESERBAK</w:t>
            </w:r>
          </w:p>
        </w:tc>
        <w:tc>
          <w:tcPr>
            <w:tcW w:w="831" w:type="dxa"/>
            <w:shd w:val="clear" w:color="auto" w:fill="FFFFFF" w:themeFill="background1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56</w:t>
            </w:r>
          </w:p>
        </w:tc>
        <w:tc>
          <w:tcPr>
            <w:tcW w:w="1027" w:type="dxa"/>
            <w:shd w:val="clear" w:color="auto" w:fill="FFFFFF" w:themeFill="background1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59</w:t>
            </w:r>
          </w:p>
        </w:tc>
        <w:tc>
          <w:tcPr>
            <w:tcW w:w="958" w:type="dxa"/>
            <w:shd w:val="clear" w:color="auto" w:fill="FFFFFF" w:themeFill="background1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auto" w:fill="FFFFFF" w:themeFill="background1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166</w:t>
            </w:r>
          </w:p>
        </w:tc>
      </w:tr>
      <w:tr w:rsidR="00B275B4" w:rsidRPr="00D669C7" w:rsidTr="00B275B4">
        <w:trPr>
          <w:trHeight w:val="20"/>
        </w:trPr>
        <w:tc>
          <w:tcPr>
            <w:tcW w:w="2112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Guztira, oro har</w:t>
            </w:r>
          </w:p>
        </w:tc>
        <w:tc>
          <w:tcPr>
            <w:tcW w:w="831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96</w:t>
            </w:r>
          </w:p>
        </w:tc>
        <w:tc>
          <w:tcPr>
            <w:tcW w:w="1027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147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46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F2054" w:rsidRPr="00D669C7" w:rsidRDefault="00EF2054" w:rsidP="00B275B4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352</w:t>
            </w:r>
          </w:p>
        </w:tc>
      </w:tr>
      <w:bookmarkEnd w:id="0"/>
    </w:tbl>
    <w:p w:rsidR="006C5DA2" w:rsidRPr="006C5DA2" w:rsidRDefault="006C5DA2" w:rsidP="00E800B4">
      <w:pPr>
        <w:spacing w:line="288" w:lineRule="auto"/>
        <w:jc w:val="both"/>
        <w:rPr>
          <w:rFonts w:ascii="Arial" w:hAnsi="Arial" w:cs="Arial"/>
          <w:i/>
        </w:rPr>
      </w:pPr>
    </w:p>
    <w:p w:rsidR="002639EB" w:rsidRPr="006C5DA2" w:rsidRDefault="001D1EE4" w:rsidP="00E800B4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Puntu honetan kontuan izan behar da irailaren 28ko 68/2009 Foru Dekretuak, Nafarroako Administrazio Publikoetan langileak administrazio araubidean kontratatzeko arauak ezartzen dituenak, 7. artikuluan dioena, alegia, </w:t>
      </w:r>
      <w:proofErr w:type="spellStart"/>
      <w:r>
        <w:rPr>
          <w:rFonts w:ascii="Arial" w:hAnsi="Arial"/>
        </w:rPr>
        <w:t>Osasunbidea-Nafarroako</w:t>
      </w:r>
      <w:proofErr w:type="spellEnd"/>
      <w:r>
        <w:rPr>
          <w:rFonts w:ascii="Arial" w:hAnsi="Arial"/>
        </w:rPr>
        <w:t xml:space="preserve"> Osasun Zerbitzuan beste behar batzuk (egiturazkoak) asetzeko kontratuen hasierako iraupena ez dela urtebetetik gorakoa izanen, baina mugaeguna baino lehen luzatzen ahalko dela, bi alderdiak ados egonda, gehienez ere urtebeteko aldietarako. </w:t>
      </w:r>
    </w:p>
    <w:p w:rsidR="002639EB" w:rsidRPr="006C5DA2" w:rsidRDefault="001D1EE4" w:rsidP="00E800B4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Kontratuaren eta luzapenen iraupena, guztira, bost urte artekoa izan daiteke, eta epe hori amaitu aurretik aztertu beharko da lanpostua finkatzeko eta </w:t>
      </w:r>
      <w:proofErr w:type="spellStart"/>
      <w:r>
        <w:rPr>
          <w:rFonts w:ascii="Arial" w:hAnsi="Arial"/>
        </w:rPr>
        <w:t>plantilla</w:t>
      </w:r>
      <w:proofErr w:type="spellEnd"/>
      <w:r>
        <w:rPr>
          <w:rFonts w:ascii="Arial" w:hAnsi="Arial"/>
        </w:rPr>
        <w:t xml:space="preserve"> organikoan lanpostu hutsa sortzeko aukera.</w:t>
      </w:r>
    </w:p>
    <w:p w:rsidR="002639EB" w:rsidRPr="006C5DA2" w:rsidRDefault="00A711C6" w:rsidP="00A711C6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Hori guztia jakinarazten dizut Nafarroako Parlamentuko Erregelamenduaren 194. artikulua betez.</w:t>
      </w:r>
    </w:p>
    <w:p w:rsidR="002639EB" w:rsidRPr="006C5DA2" w:rsidRDefault="00A711C6" w:rsidP="00A711C6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Iruñean, 2021eko otsailaren 3an</w:t>
      </w:r>
    </w:p>
    <w:p w:rsidR="002639EB" w:rsidRPr="006C5DA2" w:rsidRDefault="002639EB" w:rsidP="00A711C6">
      <w:pPr>
        <w:spacing w:line="288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Osasuneko kontseilaria: Santos </w:t>
      </w:r>
      <w:proofErr w:type="spellStart"/>
      <w:r>
        <w:rPr>
          <w:rFonts w:ascii="Arial" w:hAnsi="Arial"/>
        </w:rPr>
        <w:t>Induráin</w:t>
      </w:r>
      <w:proofErr w:type="spellEnd"/>
      <w:r>
        <w:rPr>
          <w:rFonts w:ascii="Arial" w:hAnsi="Arial"/>
        </w:rPr>
        <w:t xml:space="preserve"> Orduna</w:t>
      </w:r>
    </w:p>
    <w:p w:rsidR="00A711C6" w:rsidRPr="006C5DA2" w:rsidRDefault="00A711C6">
      <w:pPr>
        <w:rPr>
          <w:rFonts w:ascii="Arial" w:hAnsi="Arial" w:cs="Arial"/>
          <w:lang w:val="es-ES_tradnl"/>
        </w:rPr>
      </w:pPr>
    </w:p>
    <w:sectPr w:rsidR="00A711C6" w:rsidRPr="006C5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4FD5"/>
    <w:multiLevelType w:val="hybridMultilevel"/>
    <w:tmpl w:val="A7E45268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C820846"/>
    <w:multiLevelType w:val="hybridMultilevel"/>
    <w:tmpl w:val="9C5E3DD2"/>
    <w:lvl w:ilvl="0" w:tplc="E08633B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28F1E4E"/>
    <w:multiLevelType w:val="hybridMultilevel"/>
    <w:tmpl w:val="B4386D8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53F3E12"/>
    <w:multiLevelType w:val="hybridMultilevel"/>
    <w:tmpl w:val="9880D334"/>
    <w:lvl w:ilvl="0" w:tplc="7FE88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C6"/>
    <w:rsid w:val="000645CC"/>
    <w:rsid w:val="001D1EE4"/>
    <w:rsid w:val="002639EB"/>
    <w:rsid w:val="0028313C"/>
    <w:rsid w:val="00330F90"/>
    <w:rsid w:val="006272E4"/>
    <w:rsid w:val="00673C73"/>
    <w:rsid w:val="006A41F3"/>
    <w:rsid w:val="006C5DA2"/>
    <w:rsid w:val="00774D98"/>
    <w:rsid w:val="007D183C"/>
    <w:rsid w:val="007F5740"/>
    <w:rsid w:val="008652A6"/>
    <w:rsid w:val="008660E5"/>
    <w:rsid w:val="0086775F"/>
    <w:rsid w:val="008A1CE3"/>
    <w:rsid w:val="00946E2D"/>
    <w:rsid w:val="00973F04"/>
    <w:rsid w:val="00A32B4E"/>
    <w:rsid w:val="00A711C6"/>
    <w:rsid w:val="00B275B4"/>
    <w:rsid w:val="00B52ADB"/>
    <w:rsid w:val="00CE3EEE"/>
    <w:rsid w:val="00D669C7"/>
    <w:rsid w:val="00E800B4"/>
    <w:rsid w:val="00EC4F1B"/>
    <w:rsid w:val="00EC765D"/>
    <w:rsid w:val="00EF2054"/>
    <w:rsid w:val="00F119C5"/>
    <w:rsid w:val="00FB4776"/>
    <w:rsid w:val="00F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5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7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75F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EF2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5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7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75F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EF2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Usero, Maria Jose (Dpto. Salud)</dc:creator>
  <cp:lastModifiedBy>Iñaki De Santiago</cp:lastModifiedBy>
  <cp:revision>2</cp:revision>
  <cp:lastPrinted>2021-02-16T14:40:00Z</cp:lastPrinted>
  <dcterms:created xsi:type="dcterms:W3CDTF">2021-03-23T10:12:00Z</dcterms:created>
  <dcterms:modified xsi:type="dcterms:W3CDTF">2021-03-23T10:12:00Z</dcterms:modified>
</cp:coreProperties>
</file>