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de tráficos en varias autovías navarras,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Como se lee en la nota de prensa del Gobierno de Navarra de 11 de febrero de 2021 por la que se anuncian 17,6 millones de euros extras para ejecutar 13 obras en carreteras: un nuevo acceso al área residencial de Mugartea en la Ronda Este (PA-30); la mejora de la conexión de las Rondas Este (PA-30) y Oeste (A-15); la construcción de pantallas acústicas en Ezkaba, Mendillorri y Berriozar en diferentes puntos kilométricos en la Ronde Este (PA-30); el desdoblamiento de la NA-700 entre la Variante de Orkoien y el enlace de Arazuri de la Ronda Oeste; una nueva pasarela en ltaroa; el impulso a la renovación de la carretera Mélida-Caparroso; la reparación del puente de Tudela; la estabilización del talud de Ujué; un nuevo acceso a la Comisaría de Elizondo y nuevas glorietas en Monreal y Murchante: </w:t>
      </w:r>
    </w:p>
    <w:p>
      <w:pPr>
        <w:pStyle w:val="0"/>
        <w:suppressAutoHyphens w:val="false"/>
        <w:rPr>
          <w:rStyle w:val="1"/>
        </w:rPr>
      </w:pPr>
      <w:r>
        <w:rPr>
          <w:rStyle w:val="1"/>
        </w:rPr>
        <w:t xml:space="preserve">“Estas actuaciones será posible ejecutarlas debido a la disminución del importe a abonar en concepto de cánones de las autovías, que ha resultado tras la fijación de compromisos en dichas partidas presupuestarias para el ejercicio 2021, una vez conocidos los tráficos reales del ejercicio anterior”.</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Primero. Los datos, mes a mes, de los tráficos reales del ejercicio 2020 con respecto a los tráficos reales del ejercicio 2019 en dichas autovías. </w:t>
      </w:r>
    </w:p>
    <w:p>
      <w:pPr>
        <w:pStyle w:val="0"/>
        <w:suppressAutoHyphens w:val="false"/>
        <w:rPr>
          <w:rStyle w:val="1"/>
        </w:rPr>
      </w:pPr>
      <w:r>
        <w:rPr>
          <w:rStyle w:val="1"/>
        </w:rPr>
        <w:t xml:space="preserve">Segundo. Especificación de cuál es el método y el mecanismo para determinar los tráficos reales empleados en los ejercicios 2019 y 2020. </w:t>
      </w:r>
    </w:p>
    <w:p>
      <w:pPr>
        <w:pStyle w:val="0"/>
        <w:suppressAutoHyphens w:val="false"/>
        <w:rPr>
          <w:rStyle w:val="1"/>
        </w:rPr>
      </w:pPr>
      <w:r>
        <w:rPr>
          <w:rStyle w:val="1"/>
        </w:rPr>
        <w:t xml:space="preserve">Tercero. Una explicación y definición precisa sobre la relación directa entre los abonos en concepto de cánones de las autovías y el tráfico real en cada una de ellas en los años 2019 y 2020. </w:t>
      </w:r>
    </w:p>
    <w:p>
      <w:pPr>
        <w:pStyle w:val="0"/>
        <w:suppressAutoHyphens w:val="false"/>
        <w:rPr>
          <w:rStyle w:val="1"/>
        </w:rPr>
      </w:pPr>
      <w:r>
        <w:rPr>
          <w:rStyle w:val="1"/>
        </w:rPr>
        <w:t xml:space="preserve">En Iruñea, a 18 de marzo de 2021</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