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convocatorias de subvenciones para inversiones en explotaciones agrarias e instalación de jóvenes agricultores,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y Medio Ambiente.</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al amparo de lo dispuesto en el Reglamento de la Cámara, realiza la siguiente pregunta oral a la Consejera de Desarrollo Rural para su contestación en Comisión.</w:t>
      </w:r>
    </w:p>
    <w:p>
      <w:pPr>
        <w:pStyle w:val="0"/>
        <w:suppressAutoHyphens w:val="false"/>
        <w:rPr>
          <w:rStyle w:val="1"/>
        </w:rPr>
      </w:pPr>
      <w:r>
        <w:rPr>
          <w:rStyle w:val="1"/>
        </w:rPr>
        <w:t xml:space="preserve">¿En qué situación se encuentran las convocatorias de subvenciones para inversiones en explotaciones agrarias y para instalación de jóvenes agricultores de los años 2019 y 2020?</w:t>
      </w:r>
    </w:p>
    <w:p>
      <w:pPr>
        <w:pStyle w:val="0"/>
        <w:suppressAutoHyphens w:val="false"/>
        <w:rPr>
          <w:rStyle w:val="1"/>
        </w:rPr>
      </w:pPr>
      <w:r>
        <w:rPr>
          <w:rStyle w:val="1"/>
        </w:rPr>
        <w:t xml:space="preserve">Pamplona, a 8 de abril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