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12 de abril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competencia en áreas sectoriales cuando afecta a personas migrantes residentes en nuestra Comunidad, formulada por el Ilmo. Sr. D. Jorge Esparza Garrido.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12 de abril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Jorge Esparza Garrido, miembro de las Cortes de Navarra, adscrito al Grupo Parlamentario Navarra Suma, al amparo de lo dispuesto en el Reglamento de la Cámara, realiza las siguientes preguntas escritas al Consejero de Políticas Migratorias y Justicia:</w:t>
      </w:r>
    </w:p>
    <w:p>
      <w:pPr>
        <w:pStyle w:val="0"/>
        <w:suppressAutoHyphens w:val="false"/>
        <w:rPr>
          <w:rStyle w:val="1"/>
        </w:rPr>
      </w:pPr>
      <w:r>
        <w:rPr>
          <w:rStyle w:val="1"/>
        </w:rPr>
        <w:t xml:space="preserve">¿Recae en última instancia en el Departamento de Políticas Migratorias y Justicia la competencia sobre áreas sectoriales como la vivienda o la salud cuando esta afecta a personas migrantes residentes en nuestra Comunidad?</w:t>
      </w:r>
    </w:p>
    <w:p>
      <w:pPr>
        <w:pStyle w:val="0"/>
        <w:suppressAutoHyphens w:val="false"/>
        <w:rPr>
          <w:rStyle w:val="1"/>
        </w:rPr>
      </w:pPr>
      <w:r>
        <w:rPr>
          <w:rStyle w:val="1"/>
        </w:rPr>
        <w:t xml:space="preserve">¿Forma parte el Departamento, y de ser así de qué manera, en la toma de decisiones de otros departamentos cuando sus destinatarios son personas migrantes?</w:t>
      </w:r>
    </w:p>
    <w:p>
      <w:pPr>
        <w:pStyle w:val="0"/>
        <w:suppressAutoHyphens w:val="false"/>
        <w:rPr>
          <w:rStyle w:val="1"/>
        </w:rPr>
      </w:pPr>
      <w:r>
        <w:rPr>
          <w:rStyle w:val="1"/>
        </w:rPr>
        <w:t xml:space="preserve">Pamplona, 31 de marzo de 2021</w:t>
      </w:r>
    </w:p>
    <w:p>
      <w:pPr>
        <w:pStyle w:val="0"/>
        <w:suppressAutoHyphens w:val="false"/>
        <w:rPr>
          <w:rStyle w:val="1"/>
        </w:rPr>
      </w:pPr>
      <w:r>
        <w:rPr>
          <w:rStyle w:val="1"/>
        </w:rPr>
        <w:t xml:space="preserve">El Parlamentario Foral: Jorge Esparza Garrido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