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98" w:rsidRPr="00DF1198" w:rsidRDefault="00DF1198" w:rsidP="00DF1198">
      <w:pPr>
        <w:spacing w:before="24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F1198">
        <w:rPr>
          <w:rFonts w:ascii="Arial" w:eastAsia="Times New Roman" w:hAnsi="Arial" w:cs="Arial"/>
          <w:b/>
          <w:sz w:val="24"/>
          <w:szCs w:val="24"/>
          <w:lang w:eastAsia="es-ES"/>
        </w:rPr>
        <w:t>Contestación de la Consejera de Economía y Hacienda</w:t>
      </w:r>
    </w:p>
    <w:p w:rsidR="00F85D0D" w:rsidRPr="00B159D1" w:rsidRDefault="00F85D0D" w:rsidP="00410F5D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La Consejera de Economía y Hacienda, en relación con la </w:t>
      </w:r>
      <w:r w:rsidRPr="00B159D1">
        <w:rPr>
          <w:rFonts w:ascii="Arial" w:eastAsia="Times New Roman" w:hAnsi="Arial" w:cs="Arial"/>
          <w:bCs/>
          <w:sz w:val="24"/>
          <w:szCs w:val="24"/>
          <w:lang w:eastAsia="es-ES"/>
        </w:rPr>
        <w:t>Pregunta escrita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 planteada por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D.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Maiorga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Ramírez Erro</w:t>
      </w:r>
      <w:r>
        <w:rPr>
          <w:rFonts w:ascii="Arial" w:eastAsia="Times New Roman" w:hAnsi="Arial" w:cs="Arial"/>
          <w:sz w:val="24"/>
          <w:szCs w:val="24"/>
          <w:lang w:eastAsia="es-ES"/>
        </w:rPr>
        <w:t>, Parlamentario Foral adscrito al Grupo parlamentario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159D1">
        <w:rPr>
          <w:rFonts w:ascii="Arial" w:eastAsia="Times New Roman" w:hAnsi="Arial" w:cs="Times New Roman"/>
          <w:sz w:val="24"/>
          <w:szCs w:val="24"/>
          <w:lang w:eastAsia="es-ES"/>
        </w:rPr>
        <w:t xml:space="preserve">EH </w:t>
      </w:r>
      <w:r w:rsidR="00410F5D" w:rsidRPr="00B159D1">
        <w:rPr>
          <w:rFonts w:ascii="Arial" w:eastAsia="Times New Roman" w:hAnsi="Arial" w:cs="Times New Roman"/>
          <w:sz w:val="24"/>
          <w:szCs w:val="24"/>
          <w:lang w:eastAsia="es-ES"/>
        </w:rPr>
        <w:t>Bildu Nafarroa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, registrada con número de </w:t>
      </w:r>
      <w:r>
        <w:rPr>
          <w:rFonts w:ascii="Arial" w:eastAsia="Times New Roman" w:hAnsi="Arial" w:cs="Arial"/>
          <w:sz w:val="24"/>
          <w:szCs w:val="24"/>
          <w:lang w:eastAsia="es-ES"/>
        </w:rPr>
        <w:t>salida del parlamento 663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26 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>, (10-</w:t>
      </w:r>
      <w:r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>/PES-00</w:t>
      </w:r>
      <w:r>
        <w:rPr>
          <w:rFonts w:ascii="Arial" w:eastAsia="Times New Roman" w:hAnsi="Arial" w:cs="Arial"/>
          <w:sz w:val="24"/>
          <w:szCs w:val="24"/>
          <w:lang w:eastAsia="es-ES"/>
        </w:rPr>
        <w:t>042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>), relativa</w:t>
      </w:r>
      <w:r w:rsidRPr="00B159D1">
        <w:rPr>
          <w:rFonts w:ascii="Arial" w:eastAsia="Times New Roman" w:hAnsi="Arial" w:cs="Times New Roman"/>
          <w:sz w:val="24"/>
          <w:szCs w:val="24"/>
          <w:lang w:eastAsia="es-ES"/>
        </w:rPr>
        <w:t xml:space="preserve">, 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>tiene el honor de informarle lo siguiente:</w:t>
      </w:r>
    </w:p>
    <w:p w:rsidR="00F85D0D" w:rsidRDefault="00F85D0D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 adjunta en documento en formato Excel con título “Anexo I” las comisiones abonadas desde el Departamento de Economia y Hacienda desglosadas por entidad financiera, concepto y año.</w:t>
      </w:r>
    </w:p>
    <w:p w:rsidR="00F85D0D" w:rsidRDefault="00F85D0D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Se adjunta igualmente en </w:t>
      </w:r>
      <w:r w:rsidRPr="004264C6">
        <w:rPr>
          <w:rFonts w:ascii="Arial" w:eastAsia="Times New Roman" w:hAnsi="Arial" w:cs="Arial"/>
          <w:sz w:val="24"/>
          <w:szCs w:val="24"/>
          <w:lang w:eastAsia="es-ES"/>
        </w:rPr>
        <w:t>formato Excel con título “Anexo I</w:t>
      </w:r>
      <w:r>
        <w:rPr>
          <w:rFonts w:ascii="Arial" w:eastAsia="Times New Roman" w:hAnsi="Arial" w:cs="Arial"/>
          <w:sz w:val="24"/>
          <w:szCs w:val="24"/>
          <w:lang w:eastAsia="es-ES"/>
        </w:rPr>
        <w:t>I” la información remitida por “CPEN”,</w:t>
      </w:r>
      <w:r w:rsidRPr="004264C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desglosándose </w:t>
      </w:r>
      <w:r w:rsidRPr="00F6026D">
        <w:rPr>
          <w:rFonts w:ascii="Arial" w:eastAsia="Times New Roman" w:hAnsi="Arial" w:cs="Arial"/>
          <w:sz w:val="24"/>
          <w:szCs w:val="24"/>
          <w:lang w:eastAsia="es-ES"/>
        </w:rPr>
        <w:t xml:space="preserve">por entidad financiera y año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las comisiones abonadas por </w:t>
      </w:r>
      <w:r w:rsidRPr="00F6026D">
        <w:rPr>
          <w:rFonts w:ascii="Arial" w:eastAsia="Times New Roman" w:hAnsi="Arial" w:cs="Arial"/>
          <w:sz w:val="24"/>
          <w:szCs w:val="24"/>
          <w:lang w:eastAsia="es-ES"/>
        </w:rPr>
        <w:t>comisiones por gestiones, servicios y mantenimiento de cuentas corrientes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por cada una de las sociedades públicas del gobierno de navarra.</w:t>
      </w:r>
    </w:p>
    <w:p w:rsidR="00F85D0D" w:rsidRDefault="00F85D0D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 este respecto, resaltan los siguientes comentarios:</w:t>
      </w:r>
    </w:p>
    <w:p w:rsidR="00F85D0D" w:rsidRPr="00F6026D" w:rsidRDefault="00F85D0D" w:rsidP="00410F5D">
      <w:pPr>
        <w:numPr>
          <w:ilvl w:val="0"/>
          <w:numId w:val="1"/>
        </w:numPr>
        <w:spacing w:before="240" w:after="0" w:line="360" w:lineRule="auto"/>
        <w:ind w:left="0" w:firstLine="0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F6026D">
        <w:rPr>
          <w:rFonts w:ascii="Arial" w:eastAsia="Times New Roman" w:hAnsi="Arial" w:cs="Arial"/>
          <w:sz w:val="24"/>
          <w:szCs w:val="24"/>
          <w:lang w:eastAsia="es-ES"/>
        </w:rPr>
        <w:t>Nasuvinsa</w:t>
      </w:r>
      <w:proofErr w:type="spellEnd"/>
      <w:r w:rsidRPr="00F6026D">
        <w:rPr>
          <w:rFonts w:ascii="Arial" w:eastAsia="Times New Roman" w:hAnsi="Arial" w:cs="Arial"/>
          <w:sz w:val="24"/>
          <w:szCs w:val="24"/>
          <w:lang w:eastAsia="es-ES"/>
        </w:rPr>
        <w:t xml:space="preserve"> refleja el gasto asociado a cobros de remesas, que suponen una actividad notable en la sociedad.</w:t>
      </w:r>
    </w:p>
    <w:p w:rsidR="00F85D0D" w:rsidRDefault="00F85D0D" w:rsidP="00410F5D">
      <w:pPr>
        <w:numPr>
          <w:ilvl w:val="0"/>
          <w:numId w:val="1"/>
        </w:numPr>
        <w:spacing w:before="240" w:after="0" w:line="360" w:lineRule="auto"/>
        <w:ind w:left="0" w:firstLine="0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F6026D">
        <w:rPr>
          <w:rFonts w:ascii="Arial" w:eastAsia="Times New Roman" w:hAnsi="Arial" w:cs="Arial"/>
          <w:sz w:val="24"/>
          <w:szCs w:val="24"/>
          <w:lang w:eastAsia="es-ES"/>
        </w:rPr>
        <w:t>Nicdo</w:t>
      </w:r>
      <w:proofErr w:type="spellEnd"/>
      <w:r w:rsidRPr="00F6026D">
        <w:rPr>
          <w:rFonts w:ascii="Arial" w:eastAsia="Times New Roman" w:hAnsi="Arial" w:cs="Arial"/>
          <w:sz w:val="24"/>
          <w:szCs w:val="24"/>
          <w:lang w:eastAsia="es-ES"/>
        </w:rPr>
        <w:t xml:space="preserve"> recoge los gastos asociados a la venta en taquillas mediante tarjeta de crédito, sobre todo visa.</w:t>
      </w:r>
    </w:p>
    <w:p w:rsidR="00F85D0D" w:rsidRPr="00F6026D" w:rsidRDefault="00F85D0D" w:rsidP="00410F5D">
      <w:pPr>
        <w:numPr>
          <w:ilvl w:val="0"/>
          <w:numId w:val="1"/>
        </w:numPr>
        <w:spacing w:before="240" w:after="0" w:line="360" w:lineRule="auto"/>
        <w:ind w:left="0" w:firstLine="0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4F7761">
        <w:rPr>
          <w:rFonts w:ascii="Arial" w:eastAsia="Times New Roman" w:hAnsi="Arial" w:cs="Arial"/>
          <w:sz w:val="24"/>
          <w:szCs w:val="24"/>
          <w:lang w:eastAsia="es-ES"/>
        </w:rPr>
        <w:t>Nicdo</w:t>
      </w:r>
      <w:proofErr w:type="spellEnd"/>
      <w:r w:rsidRPr="004F7761">
        <w:rPr>
          <w:rFonts w:ascii="Arial" w:eastAsia="Times New Roman" w:hAnsi="Arial" w:cs="Arial"/>
          <w:sz w:val="24"/>
          <w:szCs w:val="24"/>
          <w:lang w:eastAsia="es-ES"/>
        </w:rPr>
        <w:t xml:space="preserve"> en los importes con </w:t>
      </w:r>
      <w:proofErr w:type="spellStart"/>
      <w:r w:rsidR="00F80978" w:rsidRPr="004F7761">
        <w:rPr>
          <w:rFonts w:ascii="Arial" w:eastAsia="Times New Roman" w:hAnsi="Arial" w:cs="Arial"/>
          <w:sz w:val="24"/>
          <w:szCs w:val="24"/>
          <w:lang w:eastAsia="es-ES"/>
        </w:rPr>
        <w:t>Caixa</w:t>
      </w:r>
      <w:r w:rsidR="00F80978">
        <w:rPr>
          <w:rFonts w:ascii="Arial" w:eastAsia="Times New Roman" w:hAnsi="Arial" w:cs="Arial"/>
          <w:sz w:val="24"/>
          <w:szCs w:val="24"/>
          <w:lang w:eastAsia="es-ES"/>
        </w:rPr>
        <w:t>B</w:t>
      </w:r>
      <w:r w:rsidR="00F80978" w:rsidRPr="004F7761">
        <w:rPr>
          <w:rFonts w:ascii="Arial" w:eastAsia="Times New Roman" w:hAnsi="Arial" w:cs="Arial"/>
          <w:sz w:val="24"/>
          <w:szCs w:val="24"/>
          <w:lang w:eastAsia="es-ES"/>
        </w:rPr>
        <w:t>ank</w:t>
      </w:r>
      <w:proofErr w:type="spellEnd"/>
      <w:r w:rsidRPr="004F7761">
        <w:rPr>
          <w:rFonts w:ascii="Arial" w:eastAsia="Times New Roman" w:hAnsi="Arial" w:cs="Arial"/>
          <w:sz w:val="24"/>
          <w:szCs w:val="24"/>
          <w:lang w:eastAsia="es-ES"/>
        </w:rPr>
        <w:t xml:space="preserve">, recoge los gastos asociados a la venta en taquillas mediante tarjeta de crédito (visa principalmente). Estos gastos aunque los soporta la sociedad, pues es la que realiza el cobro, es repercutido posteriormente o bien a la Fundación o </w:t>
      </w:r>
      <w:r w:rsidR="00F80978" w:rsidRPr="004F7761">
        <w:rPr>
          <w:rFonts w:ascii="Arial" w:eastAsia="Times New Roman" w:hAnsi="Arial" w:cs="Arial"/>
          <w:sz w:val="24"/>
          <w:szCs w:val="24"/>
          <w:lang w:eastAsia="es-ES"/>
        </w:rPr>
        <w:t xml:space="preserve">Bien </w:t>
      </w:r>
      <w:r w:rsidRPr="004F7761">
        <w:rPr>
          <w:rFonts w:ascii="Arial" w:eastAsia="Times New Roman" w:hAnsi="Arial" w:cs="Arial"/>
          <w:sz w:val="24"/>
          <w:szCs w:val="24"/>
          <w:lang w:eastAsia="es-ES"/>
        </w:rPr>
        <w:t>a los promotores de los espectáculos. Se puede decir que casi la totalidad de los espectáculos son gestionados por promotores externos. El gasto propio de la sociedad sería nulo</w:t>
      </w:r>
    </w:p>
    <w:p w:rsidR="00F85D0D" w:rsidRPr="00410F5D" w:rsidRDefault="00F85D0D" w:rsidP="00410F5D">
      <w:pPr>
        <w:numPr>
          <w:ilvl w:val="0"/>
          <w:numId w:val="1"/>
        </w:numPr>
        <w:spacing w:before="240" w:after="0" w:line="360" w:lineRule="auto"/>
        <w:ind w:left="0" w:firstLine="0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F6026D">
        <w:rPr>
          <w:rFonts w:ascii="Arial" w:eastAsia="Times New Roman" w:hAnsi="Arial" w:cs="Arial"/>
          <w:sz w:val="24"/>
          <w:szCs w:val="24"/>
          <w:lang w:eastAsia="es-ES"/>
        </w:rPr>
        <w:t xml:space="preserve">GAN incluye el mantenimiento de </w:t>
      </w:r>
      <w:proofErr w:type="spellStart"/>
      <w:r w:rsidRPr="00F6026D">
        <w:rPr>
          <w:rFonts w:ascii="Arial" w:eastAsia="Times New Roman" w:hAnsi="Arial" w:cs="Arial"/>
          <w:sz w:val="24"/>
          <w:szCs w:val="24"/>
          <w:lang w:eastAsia="es-ES"/>
        </w:rPr>
        <w:t>teletac</w:t>
      </w:r>
      <w:proofErr w:type="spellEnd"/>
      <w:r w:rsidRPr="00F6026D">
        <w:rPr>
          <w:rFonts w:ascii="Arial" w:eastAsia="Times New Roman" w:hAnsi="Arial" w:cs="Arial"/>
          <w:sz w:val="24"/>
          <w:szCs w:val="24"/>
          <w:lang w:eastAsia="es-ES"/>
        </w:rPr>
        <w:t xml:space="preserve"> asociados a su flota de coches.</w:t>
      </w:r>
    </w:p>
    <w:p w:rsidR="00410F5D" w:rsidRDefault="00F85D0D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4264C6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410F5D" w:rsidRDefault="00F85D0D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Pamplona, </w:t>
      </w:r>
      <w:r w:rsidR="004F284B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4F284B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>
        <w:rPr>
          <w:rFonts w:ascii="Arial" w:eastAsia="Times New Roman" w:hAnsi="Arial" w:cs="Arial"/>
          <w:sz w:val="24"/>
          <w:szCs w:val="24"/>
          <w:lang w:eastAsia="es-ES"/>
        </w:rPr>
        <w:t>1</w:t>
      </w:r>
    </w:p>
    <w:p w:rsidR="00BC0DA4" w:rsidRDefault="00F85D0D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B159D1">
        <w:rPr>
          <w:rFonts w:ascii="Arial" w:eastAsia="Times New Roman" w:hAnsi="Arial" w:cs="Arial"/>
          <w:sz w:val="24"/>
          <w:szCs w:val="24"/>
          <w:lang w:eastAsia="es-ES"/>
        </w:rPr>
        <w:t>La C</w:t>
      </w:r>
      <w:r w:rsidR="00410F5D">
        <w:rPr>
          <w:rFonts w:ascii="Arial" w:eastAsia="Times New Roman" w:hAnsi="Arial" w:cs="Arial"/>
          <w:sz w:val="24"/>
          <w:szCs w:val="24"/>
          <w:lang w:eastAsia="es-ES"/>
        </w:rPr>
        <w:t xml:space="preserve">onsejera de Economía y Hacienda: </w:t>
      </w:r>
      <w:proofErr w:type="spellStart"/>
      <w:r w:rsidR="00410F5D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Pr="00B159D1">
        <w:rPr>
          <w:rFonts w:ascii="Arial" w:eastAsia="Times New Roman" w:hAnsi="Arial" w:cs="Arial"/>
          <w:sz w:val="24"/>
          <w:szCs w:val="24"/>
          <w:lang w:eastAsia="es-ES"/>
        </w:rPr>
        <w:t>ma</w:t>
      </w:r>
      <w:proofErr w:type="spellEnd"/>
      <w:r w:rsidRPr="00B159D1">
        <w:rPr>
          <w:rFonts w:ascii="Arial" w:eastAsia="Times New Roman" w:hAnsi="Arial" w:cs="Arial"/>
          <w:sz w:val="24"/>
          <w:szCs w:val="24"/>
          <w:lang w:eastAsia="es-ES"/>
        </w:rPr>
        <w:t xml:space="preserve"> Saiz Delgado</w:t>
      </w:r>
    </w:p>
    <w:p w:rsidR="00BC0DA4" w:rsidRDefault="00BC0DA4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  <w:sectPr w:rsidR="00BC0DA4" w:rsidSect="00410F5D">
          <w:pgSz w:w="11906" w:h="16838"/>
          <w:pgMar w:top="1134" w:right="1274" w:bottom="851" w:left="1701" w:header="708" w:footer="708" w:gutter="0"/>
          <w:cols w:space="708"/>
          <w:docGrid w:linePitch="360"/>
        </w:sectPr>
      </w:pPr>
    </w:p>
    <w:tbl>
      <w:tblPr>
        <w:tblW w:w="13124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120"/>
        <w:gridCol w:w="1260"/>
        <w:gridCol w:w="1204"/>
        <w:gridCol w:w="1260"/>
        <w:gridCol w:w="1360"/>
        <w:gridCol w:w="1260"/>
      </w:tblGrid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PREGUNTA PARLAMENTARIA: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PES 42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DEPARTAMENTO DE ECONOMÍA Y HACIENDA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DIRECCIÓN GENERAL DE PRESUPUESTO, PATRIMONIO Y POLÍTICA ECONÓMICA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SERVICIO DE ECONOMÍA Y FINANZAS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SECCIÓN DE TESORERÍA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C0DA4" w:rsidRPr="00BC0DA4" w:rsidTr="00B0261A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3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AÑOS</w:t>
            </w:r>
          </w:p>
        </w:tc>
      </w:tr>
      <w:tr w:rsidR="00BC0DA4" w:rsidRPr="00BC0DA4" w:rsidTr="00B0261A">
        <w:trPr>
          <w:trHeight w:val="33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5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CONCEPTO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2020</w:t>
            </w:r>
          </w:p>
        </w:tc>
      </w:tr>
      <w:tr w:rsidR="00BC0DA4" w:rsidRPr="00BC0DA4" w:rsidTr="00B0261A">
        <w:trPr>
          <w:trHeight w:val="315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Catalunya Bank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Traspaso entre cuentas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10,00 €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Caixabank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Tarjeta American Express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12,77 €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Caixabank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Devolución pago ordenado a cuenta extranjera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50,00 € 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BBVA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Comisión de no disponibilidad de crédito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30.750,00 € 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Abanca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Comisión de no disponibilidad de crédito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6.833,34 € </w:t>
            </w:r>
          </w:p>
        </w:tc>
      </w:tr>
      <w:tr w:rsidR="00BC0DA4" w:rsidRPr="00BC0DA4" w:rsidTr="00B0261A">
        <w:trPr>
          <w:trHeight w:val="315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C0DA4" w:rsidRPr="00BC0DA4" w:rsidTr="00B0261A">
        <w:trPr>
          <w:trHeight w:val="33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10,00 €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AB5C50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-  </w:t>
            </w:r>
            <w:r w:rsidR="00BC0DA4"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12,77 €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AB5C50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-  </w:t>
            </w:r>
            <w:r w:rsidR="00BC0DA4"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37.633,34 € </w:t>
            </w:r>
          </w:p>
        </w:tc>
      </w:tr>
      <w:tr w:rsidR="00BC0DA4" w:rsidRPr="00BC0DA4" w:rsidTr="00B0261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SECCIÓN DE POLÍTICA FINANCIERA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C0DA4" w:rsidRPr="00BC0DA4" w:rsidTr="00B0261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BC0DA4" w:rsidRPr="00BC0DA4" w:rsidTr="00B0261A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3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AÑOS</w:t>
            </w:r>
          </w:p>
        </w:tc>
      </w:tr>
      <w:tr w:rsidR="00BC0DA4" w:rsidRPr="00BC0DA4" w:rsidTr="00B0261A">
        <w:trPr>
          <w:trHeight w:val="33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51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CONCEPTO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2020</w:t>
            </w:r>
          </w:p>
        </w:tc>
      </w:tr>
      <w:tr w:rsidR="00BC0DA4" w:rsidRPr="00BC0DA4" w:rsidTr="00B0261A">
        <w:trPr>
          <w:trHeight w:val="315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Banco de España</w:t>
            </w:r>
          </w:p>
        </w:tc>
        <w:tc>
          <w:tcPr>
            <w:tcW w:w="5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Tarifas de servicios y comisiones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10.725,00 €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9.950,00 €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10.575,00 €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9.950,00 €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8.350,00 € </w:t>
            </w:r>
          </w:p>
        </w:tc>
      </w:tr>
      <w:tr w:rsidR="00BC0DA4" w:rsidRPr="00BC0DA4" w:rsidTr="00B0261A">
        <w:trPr>
          <w:trHeight w:val="30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BBVA</w:t>
            </w:r>
          </w:p>
        </w:tc>
        <w:tc>
          <w:tcPr>
            <w:tcW w:w="5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Comisión colocación y aseguramiento Bono Sostenible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150.000,00 €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C0DA4" w:rsidRPr="00BC0DA4" w:rsidTr="00B0261A">
        <w:trPr>
          <w:trHeight w:val="315"/>
        </w:trPr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C0DA4" w:rsidRPr="00BC0DA4" w:rsidTr="00B0261A">
        <w:trPr>
          <w:trHeight w:val="330"/>
        </w:trPr>
        <w:tc>
          <w:tcPr>
            <w:tcW w:w="1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AB5C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10.725,00 €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9.950,00 €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10.575,00 €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159.950,00 €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DA4" w:rsidRPr="00BC0DA4" w:rsidRDefault="00BC0DA4" w:rsidP="00B0261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C0D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8.350,00 € </w:t>
            </w:r>
          </w:p>
        </w:tc>
      </w:tr>
    </w:tbl>
    <w:p w:rsidR="00410F5D" w:rsidRDefault="00410F5D" w:rsidP="00410F5D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48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8"/>
        <w:gridCol w:w="2994"/>
        <w:gridCol w:w="1152"/>
        <w:gridCol w:w="1152"/>
        <w:gridCol w:w="1152"/>
        <w:gridCol w:w="1152"/>
        <w:gridCol w:w="1153"/>
      </w:tblGrid>
      <w:tr w:rsidR="00986A34" w:rsidRPr="00B0261A" w:rsidTr="00B32AB5">
        <w:trPr>
          <w:trHeight w:val="357"/>
        </w:trPr>
        <w:tc>
          <w:tcPr>
            <w:tcW w:w="14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34" w:rsidRPr="00B0261A" w:rsidRDefault="00986A34" w:rsidP="00986A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Relación de las cuantías pagadas por las sociedades públicas del grupo CPEN a las distintas Entidades Financieras entre los años 2016 y 2020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br/>
              <w:t>e</w:t>
            </w:r>
            <w:r w:rsidRPr="00B0261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n concepto de comisiones por gestiones, servicios y mantenimiento de cuentas corrientes</w:t>
            </w:r>
          </w:p>
        </w:tc>
      </w:tr>
      <w:tr w:rsidR="00B0261A" w:rsidRPr="00B0261A" w:rsidTr="00B32AB5">
        <w:trPr>
          <w:trHeight w:val="357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0261A" w:rsidRPr="00B0261A" w:rsidTr="00B32AB5">
        <w:trPr>
          <w:trHeight w:val="357"/>
        </w:trPr>
        <w:tc>
          <w:tcPr>
            <w:tcW w:w="6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Sociedad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Entidad Financiera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Año 2016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Año 2017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Año 2018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Año 2019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b/>
                <w:bCs/>
                <w:sz w:val="18"/>
                <w:szCs w:val="18"/>
                <w:lang w:eastAsia="es-ES"/>
              </w:rPr>
              <w:t>Año 2020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Ciudad Agroalimentaria de Tudela, S.L. (CAT)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152,32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75,69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47,48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Ciudad Agroalimentaria de Tudela, S.L. (CAT)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18,15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Ciudad Agroalimentaria de Tudela, S.L. (CAT)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POPULAR/ 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Ciudad Agroalimentaria de Tudela, S.L. (CAT)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BANKINTER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19,67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Ciudad Agroalimentaria de Tudela, S.L. (CAT)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BBVA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Centro Europeo de Empresas e Innovación de Navarra, S.L. (CEIN)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231,27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62,02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71,50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79,28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84,73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Centro Europeo de Empresas e Innovación de Navarra, S.L. (CEIN)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58,67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32,10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Centro Navarro de Autoaprendizaje de Idiomas, S.A. (CNAI)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401,51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528,66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300,50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648,28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717,92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Centro Navarro de Autoaprendizaje de Idiomas, S.A. (CNAI)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75,37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672,32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844,95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376,61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350,25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Corporación Pública Empresarial de Navarra, S.L. (CPEN)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95,87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81,15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57,61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100,53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68,13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Corporación Pública Empresarial de Navarra, S.L. (CPEN)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BANKINTER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30,45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Corporación Pública Empresarial de Navarra, S.L. (CPEN)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35,10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Corporación Pública Empresarial de Navarra, S.L. (CPEN)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42,35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42,35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Gestión Ambiental de Navarra, S.A.(GAN)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89,22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142,00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1.594,34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2.223,46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1.552,51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Gestión Ambiental de Navarra, S.A.(GAN)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31,40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40,52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Instituto Navarro de Tecnologías e Infraestructuras Agroalimentarias, S.A.(INTIA)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1.490,75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1.946,28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1.387,18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1.856,59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1.215,33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Instituto Navarro de Tecnologías e Infraestructuras Agroalimentarias, S.A.(INTIA)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474,33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315,02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258,20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265,87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217,62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Instituto Navarro de Tecnologías e Infraestructuras Agroalimentarias, S.A.(INTIA)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BANKINTER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174,24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174,24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149,64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152,18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Instituto Navarro de Tecnologías e Infraestructuras Agroalimentarias, S.A.(INTIA)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SABADELL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111,00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Instituto Navarro de Tecnologías e Infraestructuras Agroalimentarias, S.A.(INTIA)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86,66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lastRenderedPageBreak/>
              <w:t>Instituto Navarro de Tecnologías e Infraestructuras Agroalimentarias, S.A.(INTIA)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MAR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Instituto Navarro de Tecnologías e Infraestructuras Agroalimentarias, S.A.(INTIA)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IBERCAJA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12,18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Servicios y Tecnologías, S.A. (NASERTIC)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9,45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27,31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607,00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52,78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1,51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Servicios y Tecnologías, S.A. (NASERTIC)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51,70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247,84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131,35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27,42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86,80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Servicios y Tecnologías, S.A. (NASERTIC)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17,10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Suelo y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Vivienda,S.A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(NASUVINSA)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6.124,74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5.773,31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6.643,60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8.407,92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12.441,43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Suelo y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Vivienda,S.A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(NASUVINSA)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27,04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Suelo y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Vivienda,S.A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(NASUVINSA)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BBVA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18,15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148,71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Infraestructuras de Cultura, Deporte y Ocio, S.L. (NICDO)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16.223,86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17.705,77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24.479,19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30.671,96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16.785,65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Infraestructuras de Cultura, Deporte y Ocio, S.L. (NICDO)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LABORAL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19,00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54,00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Infraestructuras de Cultura, Deporte y Ocio, S.L. (NICDO)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28,30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Infraestructuras de Cultura, Deporte y Ocio, S.L. (NICDO)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72,48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29,16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34,02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79,78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4,83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 de Infraestructuras de Cultura, Deporte y Ocio, S.L. (NICDO)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BANKINTER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Infraestructuras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Locales,S.A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(NILSA)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5.594,63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3.356,40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147,06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60,13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170,02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Infraestructuras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Locales,S.A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(NILSA)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105,01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Infraestructuras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Locales,S.A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(NILSA)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BANKINTER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965,80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310,29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39,20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Infraestructuras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Locales,S.A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(NILSA)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312,76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Navarra de Infraestructuras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Locales,S.A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(NILSA)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KUTXA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35,16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Potasas de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Subiza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, S.A. (POSUSA)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90,35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108,75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98,15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95,55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Salinas de Navarra, S.A. (SALINAS)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BANKINTER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1.025,20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2.991,95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1.910,31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2.104,41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1.256,95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Salinas de Navarra, S.A. (SALINAS)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252,57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446,31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432,28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1.273,02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960,42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Salinas de Navarra, S.A. (SALINAS)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39,95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37,50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36,10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POPULAR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29,02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35,97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47,70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SABADELL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66,55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144,40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50,00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52,55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44,75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37,60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40,43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lastRenderedPageBreak/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BANKINTER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43,38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11,25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BBVA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32,23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54,57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33,35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49,80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51,67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LABORAL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120,30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150,30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159,30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26,74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58,91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59,08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KUTXA 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21,78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32,26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594,37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519,85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472,22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839,64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213,40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Sociedad de Desarrollo de Navarra, S.L. (SODENA)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TARGOBANK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36,30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Start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Up Capital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(START UP)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110,41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139,55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134,69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102,85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108,90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Start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Up Capital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(START UP)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LABORAL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128,30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132,30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132,30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Start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Up Capital </w:t>
            </w: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Navarra,S.A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. (START UP)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59,61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59,57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82,52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Trabajos Catastrales, S.A. (TRACASA)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BANESTO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11,63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Trabajos Catastrales, S.A. (TRACASA)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BBVA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239,35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19,39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226,10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-15,00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Trabajos Catastrales, S.A. (TRACASA)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710,82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679,12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888,62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728,91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551,93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Trabajos Catastrales, S.A. (TRACASA)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KUTXABANK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87,12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72,60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Trabajos Catastrales, S.A. (TRACASA)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379,60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370,43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298,27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294,19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327,31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Trabajos Catastrales, S.A. (TRACASA)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BANCO SANTANDER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640,68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569,22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523,75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498,82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513,93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Tracasa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Instrumental, S.L. (TRACASA I)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BBVA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330,31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46,00</w:t>
            </w:r>
          </w:p>
        </w:tc>
      </w:tr>
      <w:tr w:rsidR="00B0261A" w:rsidRPr="00B0261A" w:rsidTr="00B32AB5">
        <w:trPr>
          <w:trHeight w:val="340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Tracasa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Instrumental, S.L. (TRACASA I)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CAIXABANK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1.159,76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756,11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690,85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444,88</w:t>
            </w:r>
          </w:p>
        </w:tc>
      </w:tr>
      <w:tr w:rsidR="00B0261A" w:rsidRPr="00B0261A" w:rsidTr="00B32AB5">
        <w:trPr>
          <w:trHeight w:val="357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Tracasa</w:t>
            </w:r>
            <w:proofErr w:type="spellEnd"/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 xml:space="preserve"> Instrumental, S.L. (TRACASA I)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CAJA RURAL DE NAVARRA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99,40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62,40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71,30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1A" w:rsidRPr="00B0261A" w:rsidRDefault="00B0261A" w:rsidP="00B0261A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B0261A">
              <w:rPr>
                <w:rFonts w:eastAsia="Times New Roman" w:cs="Times New Roman"/>
                <w:sz w:val="18"/>
                <w:szCs w:val="18"/>
                <w:lang w:eastAsia="es-ES"/>
              </w:rPr>
              <w:t>135,09</w:t>
            </w:r>
          </w:p>
        </w:tc>
      </w:tr>
    </w:tbl>
    <w:p w:rsidR="00CD2FF4" w:rsidRDefault="00CD2FF4" w:rsidP="00410F5D">
      <w:pPr>
        <w:spacing w:line="360" w:lineRule="auto"/>
        <w:jc w:val="both"/>
        <w:rPr>
          <w:rFonts w:ascii="Arial" w:hAnsi="Arial" w:cs="Arial"/>
        </w:rPr>
        <w:sectPr w:rsidR="00CD2FF4" w:rsidSect="00BC0DA4">
          <w:pgSz w:w="16838" w:h="11906" w:orient="landscape"/>
          <w:pgMar w:top="1701" w:right="1134" w:bottom="1274" w:left="851" w:header="708" w:footer="708" w:gutter="0"/>
          <w:cols w:space="708"/>
          <w:docGrid w:linePitch="360"/>
        </w:sectPr>
      </w:pPr>
    </w:p>
    <w:p w:rsidR="00CD2FF4" w:rsidRPr="00CD2FF4" w:rsidRDefault="00CD2FF4" w:rsidP="00CD2FF4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CD2FF4">
        <w:rPr>
          <w:b/>
          <w:sz w:val="20"/>
          <w:szCs w:val="20"/>
        </w:rPr>
        <w:lastRenderedPageBreak/>
        <w:t xml:space="preserve">Contestación del Consejero de Presidencia, </w:t>
      </w:r>
      <w:r w:rsidR="00DF1198">
        <w:rPr>
          <w:b/>
          <w:sz w:val="20"/>
          <w:szCs w:val="20"/>
        </w:rPr>
        <w:br/>
      </w:r>
      <w:r w:rsidRPr="00CD2FF4">
        <w:rPr>
          <w:b/>
          <w:sz w:val="20"/>
          <w:szCs w:val="20"/>
        </w:rPr>
        <w:t>Igualdad, Función Pública e Interior</w:t>
      </w:r>
    </w:p>
    <w:p w:rsidR="00CD2FF4" w:rsidRPr="00CD2FF4" w:rsidRDefault="00CD2FF4" w:rsidP="00CD2FF4">
      <w:pPr>
        <w:pStyle w:val="Default"/>
        <w:spacing w:line="360" w:lineRule="auto"/>
        <w:jc w:val="both"/>
        <w:rPr>
          <w:sz w:val="20"/>
          <w:szCs w:val="20"/>
        </w:rPr>
      </w:pPr>
      <w:r w:rsidRPr="00CD2FF4">
        <w:rPr>
          <w:sz w:val="20"/>
          <w:szCs w:val="20"/>
        </w:rPr>
        <w:t xml:space="preserve">En relación con la Pregunta Escrita (PES-00042) realizada por el Ilmo. Sr. D. </w:t>
      </w:r>
      <w:proofErr w:type="spellStart"/>
      <w:r w:rsidRPr="00CD2FF4">
        <w:rPr>
          <w:sz w:val="20"/>
          <w:szCs w:val="20"/>
        </w:rPr>
        <w:t>Maiorga</w:t>
      </w:r>
      <w:proofErr w:type="spellEnd"/>
      <w:r w:rsidRPr="00CD2FF4">
        <w:rPr>
          <w:sz w:val="20"/>
          <w:szCs w:val="20"/>
        </w:rPr>
        <w:t xml:space="preserve"> Ramírez Erro, Parlamentaria Foral adscrita al Grupo Parlamentario de EH Bildu Nafarroa, en la que se solicita al Gobierno de Navarra la siguiente información:</w:t>
      </w:r>
    </w:p>
    <w:p w:rsidR="00CD2FF4" w:rsidRDefault="00CD2FF4" w:rsidP="00CD2FF4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CD2FF4">
        <w:rPr>
          <w:b/>
          <w:sz w:val="20"/>
          <w:szCs w:val="20"/>
        </w:rPr>
        <w:t>Con respecto al pago de comisiones a entidades financieras por parte del sector público, este parlamentario desea conocer:</w:t>
      </w:r>
    </w:p>
    <w:p w:rsidR="00CD2FF4" w:rsidRDefault="00CD2FF4" w:rsidP="00CD2FF4">
      <w:pPr>
        <w:pStyle w:val="Default"/>
        <w:spacing w:line="360" w:lineRule="auto"/>
        <w:ind w:firstLine="993"/>
        <w:jc w:val="both"/>
        <w:rPr>
          <w:b/>
          <w:sz w:val="20"/>
          <w:szCs w:val="20"/>
        </w:rPr>
      </w:pPr>
      <w:r w:rsidRPr="00CD2FF4">
        <w:rPr>
          <w:b/>
          <w:sz w:val="20"/>
          <w:szCs w:val="20"/>
        </w:rPr>
        <w:t>Primero: La cuantía total a la que ha ascendido el pago del Gobierno de Navarra en concepto de comisiones por gestiones, servicios y mantenimiento de cuentas corrientes a entidades financieras, durante los 5 últimos años, año a año.</w:t>
      </w:r>
    </w:p>
    <w:p w:rsidR="00CD2FF4" w:rsidRDefault="00CD2FF4" w:rsidP="00CD2FF4">
      <w:pPr>
        <w:pStyle w:val="Default"/>
        <w:spacing w:line="360" w:lineRule="auto"/>
        <w:ind w:firstLine="993"/>
        <w:jc w:val="both"/>
        <w:rPr>
          <w:b/>
          <w:sz w:val="20"/>
          <w:szCs w:val="20"/>
        </w:rPr>
      </w:pPr>
      <w:r w:rsidRPr="00CD2FF4">
        <w:rPr>
          <w:b/>
          <w:sz w:val="20"/>
          <w:szCs w:val="20"/>
        </w:rPr>
        <w:t>Segundo: Se solicita que dicha cuantía total sea desglosada por departamentos y con indicación de la cuantía recibida por las actuaciones anteriormente señaladas por cada entidad bancaria, durante los 5 últimos años, año a año.</w:t>
      </w:r>
    </w:p>
    <w:p w:rsidR="00CD2FF4" w:rsidRDefault="00CD2FF4" w:rsidP="00CD2FF4">
      <w:pPr>
        <w:pStyle w:val="Default"/>
        <w:spacing w:line="360" w:lineRule="auto"/>
        <w:jc w:val="both"/>
        <w:rPr>
          <w:sz w:val="20"/>
          <w:szCs w:val="20"/>
        </w:rPr>
      </w:pPr>
      <w:r w:rsidRPr="00CD2FF4">
        <w:rPr>
          <w:sz w:val="20"/>
          <w:szCs w:val="20"/>
        </w:rPr>
        <w:t>Desde el Departamento de Presidencia, Igualdad, Función Pública e Interior, se desglosan las cuantías siguientes desde 2016 a 2020:</w:t>
      </w:r>
    </w:p>
    <w:p w:rsidR="00CD2FF4" w:rsidRPr="00CD2FF4" w:rsidRDefault="00CD2FF4" w:rsidP="00CD2FF4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sz w:val="20"/>
          <w:szCs w:val="20"/>
        </w:rPr>
      </w:pPr>
      <w:r w:rsidRPr="00CD2FF4">
        <w:rPr>
          <w:sz w:val="20"/>
          <w:szCs w:val="20"/>
        </w:rPr>
        <w:t>Cuantía total de la Fondo de Publicaciones (Sección de Publicaciones):</w:t>
      </w:r>
      <w:r w:rsidRPr="00CD2FF4">
        <w:rPr>
          <w:sz w:val="20"/>
          <w:szCs w:val="20"/>
        </w:rPr>
        <w:tab/>
        <w:t>1.619,82€</w:t>
      </w:r>
    </w:p>
    <w:tbl>
      <w:tblPr>
        <w:tblW w:w="5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3849"/>
      </w:tblGrid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320,60 €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318,22 €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326,32 €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356,65 €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298,03 €</w:t>
            </w:r>
          </w:p>
        </w:tc>
      </w:tr>
    </w:tbl>
    <w:p w:rsidR="00CD2FF4" w:rsidRDefault="00CD2FF4" w:rsidP="00CD2FF4">
      <w:pPr>
        <w:pStyle w:val="Default"/>
        <w:spacing w:line="360" w:lineRule="auto"/>
        <w:jc w:val="both"/>
        <w:rPr>
          <w:sz w:val="20"/>
          <w:szCs w:val="20"/>
        </w:rPr>
      </w:pPr>
    </w:p>
    <w:p w:rsidR="00CD2FF4" w:rsidRPr="00CD2FF4" w:rsidRDefault="00CD2FF4" w:rsidP="00CD2FF4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sz w:val="20"/>
          <w:szCs w:val="20"/>
        </w:rPr>
      </w:pPr>
      <w:r w:rsidRPr="00CD2FF4">
        <w:rPr>
          <w:sz w:val="20"/>
          <w:szCs w:val="20"/>
        </w:rPr>
        <w:t>Cuantía total del Instituto</w:t>
      </w:r>
      <w:r>
        <w:rPr>
          <w:sz w:val="20"/>
          <w:szCs w:val="20"/>
        </w:rPr>
        <w:t xml:space="preserve"> navarro de la Juventud: </w:t>
      </w:r>
      <w:r w:rsidRPr="00CD2FF4">
        <w:rPr>
          <w:sz w:val="20"/>
          <w:szCs w:val="20"/>
        </w:rPr>
        <w:t>1.161,84€</w:t>
      </w:r>
    </w:p>
    <w:tbl>
      <w:tblPr>
        <w:tblW w:w="59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754"/>
      </w:tblGrid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54,60 €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450,31 €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470,53 €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F4">
              <w:rPr>
                <w:rFonts w:ascii="Arial" w:hAnsi="Arial" w:cs="Arial"/>
                <w:sz w:val="18"/>
                <w:szCs w:val="18"/>
              </w:rPr>
              <w:t>186,40 €</w:t>
            </w:r>
          </w:p>
        </w:tc>
      </w:tr>
    </w:tbl>
    <w:p w:rsidR="00CD2FF4" w:rsidRPr="00CD2FF4" w:rsidRDefault="00CD2FF4" w:rsidP="00CD2FF4">
      <w:pPr>
        <w:pStyle w:val="Default"/>
        <w:spacing w:line="360" w:lineRule="auto"/>
        <w:jc w:val="both"/>
        <w:rPr>
          <w:sz w:val="20"/>
          <w:szCs w:val="20"/>
        </w:rPr>
      </w:pPr>
    </w:p>
    <w:p w:rsidR="00CD2FF4" w:rsidRPr="00CD2FF4" w:rsidRDefault="00CD2FF4" w:rsidP="00CD2FF4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Cuantía total de Policía Foral: </w:t>
      </w:r>
      <w:r w:rsidRPr="00CD2FF4">
        <w:rPr>
          <w:sz w:val="20"/>
          <w:szCs w:val="20"/>
        </w:rPr>
        <w:t>100 €</w:t>
      </w:r>
    </w:p>
    <w:tbl>
      <w:tblPr>
        <w:tblW w:w="59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754"/>
      </w:tblGrid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20 €</w:t>
            </w:r>
          </w:p>
        </w:tc>
      </w:tr>
      <w:tr w:rsidR="00CD2FF4" w:rsidRPr="00CD2FF4" w:rsidTr="000F3CD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F4" w:rsidRPr="00CD2FF4" w:rsidRDefault="00CD2FF4" w:rsidP="00CD2F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F4">
              <w:rPr>
                <w:rFonts w:ascii="Arial" w:hAnsi="Arial" w:cs="Arial"/>
                <w:sz w:val="20"/>
                <w:szCs w:val="20"/>
              </w:rPr>
              <w:t>20 €</w:t>
            </w:r>
          </w:p>
        </w:tc>
      </w:tr>
    </w:tbl>
    <w:p w:rsidR="00CD2FF4" w:rsidRDefault="00CD2FF4" w:rsidP="00CD2FF4">
      <w:pPr>
        <w:pStyle w:val="Default"/>
        <w:spacing w:line="360" w:lineRule="auto"/>
        <w:jc w:val="both"/>
        <w:rPr>
          <w:sz w:val="20"/>
          <w:szCs w:val="20"/>
        </w:rPr>
      </w:pPr>
    </w:p>
    <w:p w:rsidR="00CD2FF4" w:rsidRDefault="00CD2FF4" w:rsidP="00DF11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2FF4">
        <w:rPr>
          <w:rFonts w:ascii="Arial" w:hAnsi="Arial" w:cs="Arial"/>
          <w:sz w:val="20"/>
          <w:szCs w:val="20"/>
        </w:rPr>
        <w:t>Es cuanto tengo el honor de informar en cumplimiento de lo dispuesto en el artículo 194 del Reglamento del Parlamento de Navarra.</w:t>
      </w:r>
    </w:p>
    <w:p w:rsidR="00CD2FF4" w:rsidRDefault="00CD2FF4" w:rsidP="00DF119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D2FF4">
        <w:rPr>
          <w:rFonts w:ascii="Arial" w:hAnsi="Arial" w:cs="Arial"/>
          <w:sz w:val="20"/>
          <w:szCs w:val="20"/>
        </w:rPr>
        <w:t>Pamplona-</w:t>
      </w:r>
      <w:proofErr w:type="spellStart"/>
      <w:r w:rsidRPr="00CD2FF4">
        <w:rPr>
          <w:rFonts w:ascii="Arial" w:hAnsi="Arial" w:cs="Arial"/>
          <w:sz w:val="20"/>
          <w:szCs w:val="20"/>
        </w:rPr>
        <w:t>Iruñea</w:t>
      </w:r>
      <w:proofErr w:type="spellEnd"/>
      <w:r w:rsidRPr="00CD2FF4">
        <w:rPr>
          <w:rFonts w:ascii="Arial" w:hAnsi="Arial" w:cs="Arial"/>
          <w:sz w:val="20"/>
          <w:szCs w:val="20"/>
        </w:rPr>
        <w:t>, 2 de  marzo de 2021</w:t>
      </w:r>
    </w:p>
    <w:p w:rsidR="00DF1198" w:rsidRDefault="00CD2FF4" w:rsidP="00CD2FF4">
      <w:pPr>
        <w:jc w:val="center"/>
        <w:rPr>
          <w:rFonts w:ascii="Arial" w:hAnsi="Arial" w:cs="Arial"/>
          <w:sz w:val="20"/>
          <w:szCs w:val="20"/>
        </w:rPr>
      </w:pPr>
      <w:r w:rsidRPr="00CD2FF4">
        <w:rPr>
          <w:rFonts w:ascii="Arial" w:hAnsi="Arial" w:cs="Arial"/>
          <w:sz w:val="20"/>
          <w:szCs w:val="20"/>
        </w:rPr>
        <w:t xml:space="preserve">El Consejero de Presidencia, Igualdad, Función Pública e </w:t>
      </w:r>
      <w:r>
        <w:rPr>
          <w:rFonts w:ascii="Arial" w:hAnsi="Arial" w:cs="Arial"/>
          <w:sz w:val="20"/>
          <w:szCs w:val="20"/>
        </w:rPr>
        <w:t xml:space="preserve">Interior: </w:t>
      </w:r>
      <w:r w:rsidRPr="00CD2FF4">
        <w:rPr>
          <w:rFonts w:ascii="Arial" w:hAnsi="Arial" w:cs="Arial"/>
          <w:sz w:val="20"/>
          <w:szCs w:val="20"/>
        </w:rPr>
        <w:t xml:space="preserve">Javier </w:t>
      </w:r>
      <w:proofErr w:type="spellStart"/>
      <w:r w:rsidRPr="00CD2FF4">
        <w:rPr>
          <w:rFonts w:ascii="Arial" w:hAnsi="Arial" w:cs="Arial"/>
          <w:sz w:val="20"/>
          <w:szCs w:val="20"/>
        </w:rPr>
        <w:t>Remírez</w:t>
      </w:r>
      <w:proofErr w:type="spellEnd"/>
      <w:r w:rsidRPr="00CD2F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2FF4">
        <w:rPr>
          <w:rFonts w:ascii="Arial" w:hAnsi="Arial" w:cs="Arial"/>
          <w:sz w:val="20"/>
          <w:szCs w:val="20"/>
        </w:rPr>
        <w:t>Apesteguía</w:t>
      </w:r>
      <w:proofErr w:type="spellEnd"/>
    </w:p>
    <w:p w:rsidR="00DF1198" w:rsidRPr="00DF1198" w:rsidRDefault="00DF1198" w:rsidP="00DF11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1198">
        <w:rPr>
          <w:rFonts w:ascii="Arial" w:hAnsi="Arial" w:cs="Arial"/>
          <w:b/>
          <w:sz w:val="24"/>
          <w:szCs w:val="24"/>
        </w:rPr>
        <w:lastRenderedPageBreak/>
        <w:t>Contestación del Consejero de Educación</w:t>
      </w:r>
    </w:p>
    <w:p w:rsidR="00DF1198" w:rsidRPr="00BD23D4" w:rsidRDefault="00DF1198" w:rsidP="00DF11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3D4">
        <w:rPr>
          <w:rFonts w:ascii="Arial" w:hAnsi="Arial" w:cs="Arial"/>
          <w:sz w:val="24"/>
          <w:szCs w:val="24"/>
        </w:rPr>
        <w:t xml:space="preserve">En relación </w:t>
      </w:r>
      <w:r>
        <w:rPr>
          <w:rFonts w:ascii="Arial" w:hAnsi="Arial" w:cs="Arial"/>
          <w:sz w:val="24"/>
          <w:szCs w:val="24"/>
        </w:rPr>
        <w:t xml:space="preserve">con </w:t>
      </w:r>
      <w:r w:rsidRPr="00BD23D4">
        <w:rPr>
          <w:rFonts w:ascii="Arial" w:hAnsi="Arial" w:cs="Arial"/>
          <w:sz w:val="24"/>
          <w:szCs w:val="24"/>
        </w:rPr>
        <w:t xml:space="preserve">la pregunta escrita 10-21-PES-00042, presentada por el </w:t>
      </w:r>
      <w:r>
        <w:rPr>
          <w:rFonts w:ascii="Arial" w:hAnsi="Arial" w:cs="Arial"/>
          <w:sz w:val="24"/>
          <w:szCs w:val="24"/>
        </w:rPr>
        <w:t xml:space="preserve">Ilmo. Sr. D. </w:t>
      </w:r>
      <w:proofErr w:type="spellStart"/>
      <w:r>
        <w:rPr>
          <w:rFonts w:ascii="Arial" w:hAnsi="Arial" w:cs="Arial"/>
          <w:sz w:val="24"/>
          <w:szCs w:val="24"/>
        </w:rPr>
        <w:t>Maiorga</w:t>
      </w:r>
      <w:proofErr w:type="spellEnd"/>
      <w:r>
        <w:rPr>
          <w:rFonts w:ascii="Arial" w:hAnsi="Arial" w:cs="Arial"/>
          <w:sz w:val="24"/>
          <w:szCs w:val="24"/>
        </w:rPr>
        <w:t xml:space="preserve"> Ramí</w:t>
      </w:r>
      <w:r w:rsidRPr="00B638A1">
        <w:rPr>
          <w:rFonts w:ascii="Arial" w:hAnsi="Arial" w:cs="Arial"/>
          <w:sz w:val="24"/>
          <w:szCs w:val="24"/>
        </w:rPr>
        <w:t>rez Erro</w:t>
      </w:r>
      <w:r>
        <w:rPr>
          <w:rFonts w:ascii="Arial" w:hAnsi="Arial" w:cs="Arial"/>
          <w:sz w:val="24"/>
          <w:szCs w:val="24"/>
        </w:rPr>
        <w:t xml:space="preserve">, del </w:t>
      </w:r>
      <w:r w:rsidRPr="00BD23D4">
        <w:rPr>
          <w:rFonts w:ascii="Arial" w:hAnsi="Arial" w:cs="Arial"/>
          <w:sz w:val="24"/>
          <w:szCs w:val="24"/>
        </w:rPr>
        <w:t>Grupo Parlamentario EH Bildu</w:t>
      </w:r>
      <w:r>
        <w:rPr>
          <w:rFonts w:ascii="Arial" w:hAnsi="Arial" w:cs="Arial"/>
          <w:sz w:val="24"/>
          <w:szCs w:val="24"/>
        </w:rPr>
        <w:t xml:space="preserve"> Nafarroa, el Consejero de Educación </w:t>
      </w:r>
      <w:r w:rsidRPr="00BD23D4">
        <w:rPr>
          <w:rFonts w:ascii="Arial" w:hAnsi="Arial" w:cs="Arial"/>
          <w:sz w:val="24"/>
          <w:szCs w:val="24"/>
        </w:rPr>
        <w:t xml:space="preserve">informa: </w:t>
      </w:r>
    </w:p>
    <w:p w:rsidR="00DF1198" w:rsidRDefault="00DF1198" w:rsidP="00DF11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reproducen en la siguiente tabla,</w:t>
      </w:r>
      <w:r w:rsidRPr="00BD23D4">
        <w:rPr>
          <w:rFonts w:ascii="Arial" w:hAnsi="Arial" w:cs="Arial"/>
          <w:sz w:val="24"/>
          <w:szCs w:val="24"/>
        </w:rPr>
        <w:t xml:space="preserve"> los datos parciales remitidos </w:t>
      </w:r>
      <w:r>
        <w:rPr>
          <w:rFonts w:ascii="Arial" w:hAnsi="Arial" w:cs="Arial"/>
          <w:sz w:val="24"/>
          <w:szCs w:val="24"/>
        </w:rPr>
        <w:t>con</w:t>
      </w:r>
      <w:r w:rsidRPr="00BD23D4">
        <w:rPr>
          <w:rFonts w:ascii="Arial" w:hAnsi="Arial" w:cs="Arial"/>
          <w:sz w:val="24"/>
          <w:szCs w:val="24"/>
        </w:rPr>
        <w:t xml:space="preserve"> fecha de </w:t>
      </w:r>
      <w:r>
        <w:rPr>
          <w:rFonts w:ascii="Arial" w:hAnsi="Arial" w:cs="Arial"/>
          <w:sz w:val="24"/>
          <w:szCs w:val="24"/>
        </w:rPr>
        <w:t xml:space="preserve">12 de marzo de 2021 </w:t>
      </w:r>
      <w:r w:rsidRPr="00BD23D4">
        <w:rPr>
          <w:rFonts w:ascii="Arial" w:hAnsi="Arial" w:cs="Arial"/>
          <w:sz w:val="24"/>
          <w:szCs w:val="24"/>
        </w:rPr>
        <w:t>por la Entidad Financiera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Caixabank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D23D4">
        <w:rPr>
          <w:rFonts w:ascii="Arial" w:hAnsi="Arial" w:cs="Arial"/>
          <w:sz w:val="24"/>
          <w:szCs w:val="24"/>
        </w:rPr>
        <w:t xml:space="preserve"> con indicación de que se completará la información una vez que </w:t>
      </w:r>
      <w:proofErr w:type="spellStart"/>
      <w:r w:rsidRPr="00BD23D4">
        <w:rPr>
          <w:rFonts w:ascii="Arial" w:hAnsi="Arial" w:cs="Arial"/>
          <w:sz w:val="24"/>
          <w:szCs w:val="24"/>
        </w:rPr>
        <w:t>Caixabank</w:t>
      </w:r>
      <w:proofErr w:type="spellEnd"/>
      <w:r w:rsidRPr="00BD23D4">
        <w:rPr>
          <w:rFonts w:ascii="Arial" w:hAnsi="Arial" w:cs="Arial"/>
          <w:sz w:val="24"/>
          <w:szCs w:val="24"/>
        </w:rPr>
        <w:t xml:space="preserve"> remita el resto de los datos solicitados.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F1198" w:rsidRDefault="00DF1198" w:rsidP="00DF11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396"/>
        <w:gridCol w:w="1290"/>
        <w:gridCol w:w="1105"/>
      </w:tblGrid>
      <w:tr w:rsidR="00DF1198" w:rsidRPr="00B638A1" w:rsidTr="00307681">
        <w:tc>
          <w:tcPr>
            <w:tcW w:w="704" w:type="dxa"/>
          </w:tcPr>
          <w:p w:rsidR="00DF1198" w:rsidRPr="00B638A1" w:rsidRDefault="00DF1198" w:rsidP="00B32AB5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B638A1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A1">
              <w:rPr>
                <w:rFonts w:ascii="Arial" w:hAnsi="Arial" w:cs="Arial"/>
                <w:b/>
                <w:sz w:val="18"/>
                <w:szCs w:val="18"/>
              </w:rPr>
              <w:t>CUENTA IBAN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638A1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A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8A1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DF1198" w:rsidRPr="00B638A1" w:rsidTr="00307681">
        <w:tc>
          <w:tcPr>
            <w:tcW w:w="704" w:type="dxa"/>
            <w:vMerge w:val="restart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ES69 2100 3693 2122 0033 1212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 xml:space="preserve">Gestión reclamación descubiertos STD. 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15/01/2016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 xml:space="preserve">35,00 </w:t>
            </w:r>
          </w:p>
        </w:tc>
      </w:tr>
      <w:tr w:rsidR="00DF1198" w:rsidRPr="00B638A1" w:rsidTr="00307681">
        <w:tc>
          <w:tcPr>
            <w:tcW w:w="704" w:type="dxa"/>
            <w:vMerge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 xml:space="preserve">ES86 2100 3693 2022 0037 5284 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Gestión reclamación descubiertos STD.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06/02/2016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F1198" w:rsidRPr="00B638A1" w:rsidTr="00307681">
        <w:tc>
          <w:tcPr>
            <w:tcW w:w="704" w:type="dxa"/>
            <w:vMerge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ES40 2100 3693 2122 0033 2801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Gestión reclamación descubiertos STD.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05/04/2016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DF1198" w:rsidRPr="00B638A1" w:rsidTr="00307681">
        <w:tc>
          <w:tcPr>
            <w:tcW w:w="704" w:type="dxa"/>
            <w:vMerge w:val="restart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ES41 2100 5204 0722 0002 0657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Gestión reclamación descubiertos STD.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10/01/2017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</w:tr>
      <w:tr w:rsidR="00DF1198" w:rsidRPr="00B638A1" w:rsidTr="00307681">
        <w:tc>
          <w:tcPr>
            <w:tcW w:w="704" w:type="dxa"/>
            <w:vMerge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ES65 2100 3693 2922 0024 1652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Gestión reclamación descubiertos STD.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14/04/2017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</w:tr>
      <w:tr w:rsidR="00DF1198" w:rsidRPr="00B638A1" w:rsidTr="00307681">
        <w:tc>
          <w:tcPr>
            <w:tcW w:w="704" w:type="dxa"/>
            <w:vMerge w:val="restart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ES22 2100 3693 2622 0014 6349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 xml:space="preserve">Recuento ingreso en efectivo MBK 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19/03/2018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7,26</w:t>
            </w:r>
          </w:p>
        </w:tc>
      </w:tr>
      <w:tr w:rsidR="00DF1198" w:rsidRPr="00B638A1" w:rsidTr="00307681">
        <w:tc>
          <w:tcPr>
            <w:tcW w:w="704" w:type="dxa"/>
            <w:vMerge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ES90 2100 3693 2622 0033 0201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Recuento ingreso en efectivo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14/06/2018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DF1198" w:rsidRPr="00B638A1" w:rsidTr="00307681">
        <w:tc>
          <w:tcPr>
            <w:tcW w:w="704" w:type="dxa"/>
            <w:vMerge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ES45 2100 8988 8902 0001 5712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 xml:space="preserve">Traspasos ( PAG) 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</w:tr>
      <w:tr w:rsidR="00DF1198" w:rsidRPr="00B638A1" w:rsidTr="00307681">
        <w:tc>
          <w:tcPr>
            <w:tcW w:w="704" w:type="dxa"/>
            <w:vMerge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ES45 2100 8988 8902 0001 5712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Traspasos ( PAG)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</w:tr>
      <w:tr w:rsidR="00DF1198" w:rsidRPr="00B638A1" w:rsidTr="00307681">
        <w:trPr>
          <w:trHeight w:val="235"/>
        </w:trPr>
        <w:tc>
          <w:tcPr>
            <w:tcW w:w="704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3402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 xml:space="preserve">ES43 2100 3693 2322 0028 6283 </w:t>
            </w:r>
          </w:p>
        </w:tc>
        <w:tc>
          <w:tcPr>
            <w:tcW w:w="2396" w:type="dxa"/>
          </w:tcPr>
          <w:p w:rsidR="00DF1198" w:rsidRPr="00B638A1" w:rsidRDefault="00DF1198" w:rsidP="00B32AB5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 xml:space="preserve">Tarjeta Prepago ( alta centralizada) Standard </w:t>
            </w:r>
          </w:p>
        </w:tc>
        <w:tc>
          <w:tcPr>
            <w:tcW w:w="1290" w:type="dxa"/>
          </w:tcPr>
          <w:p w:rsidR="00DF1198" w:rsidRPr="00B638A1" w:rsidRDefault="00DF1198" w:rsidP="00B32AB5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28/08/2019</w:t>
            </w:r>
          </w:p>
        </w:tc>
        <w:tc>
          <w:tcPr>
            <w:tcW w:w="1105" w:type="dxa"/>
          </w:tcPr>
          <w:p w:rsidR="00DF1198" w:rsidRPr="00B638A1" w:rsidRDefault="00DF1198" w:rsidP="00B32AB5">
            <w:pPr>
              <w:spacing w:before="60" w:after="60" w:line="240" w:lineRule="exact"/>
              <w:ind w:lef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A1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bookmarkEnd w:id="0"/>
    </w:tbl>
    <w:p w:rsidR="00DF1198" w:rsidRPr="00BD23D4" w:rsidRDefault="00DF1198" w:rsidP="00DF1198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DF1198" w:rsidRPr="00BD23D4" w:rsidRDefault="00DF1198" w:rsidP="00DF1198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D23D4">
        <w:rPr>
          <w:rFonts w:ascii="Arial" w:hAnsi="Arial" w:cs="Arial"/>
          <w:sz w:val="24"/>
          <w:szCs w:val="24"/>
        </w:rPr>
        <w:t>En Pamplona, a 1</w:t>
      </w:r>
      <w:r>
        <w:rPr>
          <w:rFonts w:ascii="Arial" w:hAnsi="Arial" w:cs="Arial"/>
          <w:sz w:val="24"/>
          <w:szCs w:val="24"/>
        </w:rPr>
        <w:t>5</w:t>
      </w:r>
      <w:r w:rsidRPr="00BD23D4">
        <w:rPr>
          <w:rFonts w:ascii="Arial" w:hAnsi="Arial" w:cs="Arial"/>
          <w:sz w:val="24"/>
          <w:szCs w:val="24"/>
        </w:rPr>
        <w:t xml:space="preserve"> de marzo de 2021</w:t>
      </w:r>
    </w:p>
    <w:p w:rsidR="001935C7" w:rsidRPr="00D94416" w:rsidRDefault="00DF1198" w:rsidP="00D94416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D23D4">
        <w:rPr>
          <w:rFonts w:ascii="Arial" w:hAnsi="Arial" w:cs="Arial"/>
          <w:sz w:val="24"/>
          <w:szCs w:val="24"/>
        </w:rPr>
        <w:t>El Consejero de Educación</w:t>
      </w:r>
      <w:r>
        <w:rPr>
          <w:rFonts w:ascii="Arial" w:hAnsi="Arial" w:cs="Arial"/>
          <w:sz w:val="24"/>
          <w:szCs w:val="24"/>
        </w:rPr>
        <w:t xml:space="preserve">: </w:t>
      </w:r>
      <w:r w:rsidRPr="00BD23D4">
        <w:rPr>
          <w:rFonts w:ascii="Arial" w:hAnsi="Arial" w:cs="Arial"/>
          <w:sz w:val="24"/>
          <w:szCs w:val="24"/>
          <w:lang w:val="fr-FR"/>
        </w:rPr>
        <w:t xml:space="preserve">Carlos Gimeno </w:t>
      </w:r>
      <w:proofErr w:type="spellStart"/>
      <w:r w:rsidRPr="00BD23D4">
        <w:rPr>
          <w:rFonts w:ascii="Arial" w:hAnsi="Arial" w:cs="Arial"/>
          <w:sz w:val="24"/>
          <w:szCs w:val="24"/>
          <w:lang w:val="fr-FR"/>
        </w:rPr>
        <w:t>Gurpegui</w:t>
      </w:r>
      <w:proofErr w:type="spellEnd"/>
    </w:p>
    <w:sectPr w:rsidR="001935C7" w:rsidRPr="00D94416" w:rsidSect="00CD2FF4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C2"/>
    <w:multiLevelType w:val="hybridMultilevel"/>
    <w:tmpl w:val="356A7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265EA"/>
    <w:multiLevelType w:val="hybridMultilevel"/>
    <w:tmpl w:val="509E1E32"/>
    <w:lvl w:ilvl="0" w:tplc="82822302"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13D6D"/>
    <w:rsid w:val="00150C19"/>
    <w:rsid w:val="001935C7"/>
    <w:rsid w:val="001E7CA8"/>
    <w:rsid w:val="001F3B41"/>
    <w:rsid w:val="003843E6"/>
    <w:rsid w:val="00410F5D"/>
    <w:rsid w:val="004F284B"/>
    <w:rsid w:val="005556BD"/>
    <w:rsid w:val="00727158"/>
    <w:rsid w:val="00986A34"/>
    <w:rsid w:val="00AB5C50"/>
    <w:rsid w:val="00B0261A"/>
    <w:rsid w:val="00B32AB5"/>
    <w:rsid w:val="00BC0DA4"/>
    <w:rsid w:val="00C83CCE"/>
    <w:rsid w:val="00CD2FF4"/>
    <w:rsid w:val="00D02C1C"/>
    <w:rsid w:val="00D6116A"/>
    <w:rsid w:val="00D94416"/>
    <w:rsid w:val="00DF1198"/>
    <w:rsid w:val="00F80978"/>
    <w:rsid w:val="00F85D0D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F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2F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DF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F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2F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DF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F1E9-1E16-442F-9A0B-9732711E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1928</Words>
  <Characters>10610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X075485</dc:creator>
  <cp:lastModifiedBy>Aranaz, Carlota</cp:lastModifiedBy>
  <cp:revision>7</cp:revision>
  <dcterms:created xsi:type="dcterms:W3CDTF">2021-04-06T12:55:00Z</dcterms:created>
  <dcterms:modified xsi:type="dcterms:W3CDTF">2021-04-06T13:15:00Z</dcterms:modified>
</cp:coreProperties>
</file>