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D4E" w:rsidRDefault="00577C70" w:rsidP="00E97C7B">
      <w:pPr>
        <w:spacing w:line="360" w:lineRule="auto"/>
        <w:ind w:left="426"/>
        <w:jc w:val="both"/>
        <w:rPr>
          <w:rFonts w:ascii="Arial" w:hAnsi="Arial" w:cs="Arial"/>
          <w:sz w:val="24"/>
          <w:szCs w:val="24"/>
        </w:rPr>
      </w:pPr>
      <w:r>
        <w:rPr>
          <w:rFonts w:ascii="Arial" w:hAnsi="Arial" w:cs="Arial"/>
          <w:sz w:val="24"/>
          <w:szCs w:val="24"/>
          <w:lang w:val="es-ES_tradnl"/>
        </w:rPr>
        <w:t>El Consejero de Cohesión Territorial del Gobierno de Navarra, D. Bernardo Ciriza Pérez, en relación con la pregunta para su contestación por escrito (10-21/PES-00</w:t>
      </w:r>
      <w:r w:rsidR="00AA356A">
        <w:rPr>
          <w:rFonts w:ascii="Arial" w:hAnsi="Arial" w:cs="Arial"/>
          <w:sz w:val="24"/>
          <w:szCs w:val="24"/>
          <w:lang w:val="es-ES_tradnl"/>
        </w:rPr>
        <w:t>122</w:t>
      </w:r>
      <w:r>
        <w:rPr>
          <w:rFonts w:ascii="Arial" w:hAnsi="Arial" w:cs="Arial"/>
          <w:sz w:val="24"/>
          <w:szCs w:val="24"/>
          <w:lang w:val="es-ES_tradnl"/>
        </w:rPr>
        <w:t xml:space="preserve">) formulada por el Parlamentario Foral Ilmo. Sr. D. </w:t>
      </w:r>
      <w:r w:rsidR="00776285">
        <w:rPr>
          <w:rFonts w:ascii="Arial" w:hAnsi="Arial" w:cs="Arial"/>
          <w:sz w:val="24"/>
          <w:szCs w:val="24"/>
          <w:lang w:val="es-ES_tradnl"/>
        </w:rPr>
        <w:t xml:space="preserve">Adolfo </w:t>
      </w:r>
      <w:proofErr w:type="spellStart"/>
      <w:r w:rsidR="00776285">
        <w:rPr>
          <w:rFonts w:ascii="Arial" w:hAnsi="Arial" w:cs="Arial"/>
          <w:sz w:val="24"/>
          <w:szCs w:val="24"/>
          <w:lang w:val="es-ES_tradnl"/>
        </w:rPr>
        <w:t>Araiz</w:t>
      </w:r>
      <w:proofErr w:type="spellEnd"/>
      <w:r w:rsidR="00776285">
        <w:rPr>
          <w:rFonts w:ascii="Arial" w:hAnsi="Arial" w:cs="Arial"/>
          <w:sz w:val="24"/>
          <w:szCs w:val="24"/>
          <w:lang w:val="es-ES_tradnl"/>
        </w:rPr>
        <w:t xml:space="preserve"> </w:t>
      </w:r>
      <w:proofErr w:type="spellStart"/>
      <w:r w:rsidR="00776285">
        <w:rPr>
          <w:rFonts w:ascii="Arial" w:hAnsi="Arial" w:cs="Arial"/>
          <w:sz w:val="24"/>
          <w:szCs w:val="24"/>
          <w:lang w:val="es-ES_tradnl"/>
        </w:rPr>
        <w:t>Flamarique</w:t>
      </w:r>
      <w:proofErr w:type="spellEnd"/>
      <w:r>
        <w:rPr>
          <w:rFonts w:ascii="Arial" w:hAnsi="Arial" w:cs="Arial"/>
          <w:sz w:val="24"/>
          <w:szCs w:val="24"/>
          <w:lang w:val="es-ES_tradnl"/>
        </w:rPr>
        <w:t xml:space="preserve">, adscrito al Grupo Parlamentario </w:t>
      </w:r>
      <w:r w:rsidR="00776285">
        <w:rPr>
          <w:rFonts w:ascii="Arial" w:hAnsi="Arial" w:cs="Arial"/>
          <w:sz w:val="24"/>
          <w:szCs w:val="24"/>
          <w:lang w:val="es-ES_tradnl"/>
        </w:rPr>
        <w:t xml:space="preserve">EH </w:t>
      </w:r>
      <w:r w:rsidR="00690D4E">
        <w:rPr>
          <w:rFonts w:ascii="Arial" w:hAnsi="Arial" w:cs="Arial"/>
          <w:sz w:val="24"/>
          <w:szCs w:val="24"/>
          <w:lang w:val="es-ES_tradnl"/>
        </w:rPr>
        <w:t>Bildu Nafarroa</w:t>
      </w:r>
      <w:r>
        <w:rPr>
          <w:rFonts w:ascii="Arial" w:hAnsi="Arial" w:cs="Arial"/>
          <w:sz w:val="24"/>
          <w:szCs w:val="24"/>
          <w:lang w:val="es-ES_tradnl"/>
        </w:rPr>
        <w:t xml:space="preserve">, en </w:t>
      </w:r>
      <w:r w:rsidR="00AA356A">
        <w:rPr>
          <w:rFonts w:ascii="Arial" w:hAnsi="Arial" w:cs="Arial"/>
          <w:sz w:val="24"/>
          <w:szCs w:val="24"/>
          <w:lang w:val="es-ES_tradnl"/>
        </w:rPr>
        <w:t>relación al documento “</w:t>
      </w:r>
      <w:r w:rsidR="00AA356A" w:rsidRPr="00AA356A">
        <w:rPr>
          <w:rFonts w:ascii="Arial" w:hAnsi="Arial" w:cs="Arial"/>
          <w:i/>
          <w:sz w:val="24"/>
          <w:szCs w:val="24"/>
          <w:lang w:val="es-ES_tradnl"/>
        </w:rPr>
        <w:t>Conveniencia sobre l</w:t>
      </w:r>
      <w:r w:rsidR="00AA356A">
        <w:rPr>
          <w:rFonts w:ascii="Arial" w:hAnsi="Arial" w:cs="Arial"/>
          <w:i/>
          <w:sz w:val="24"/>
          <w:szCs w:val="24"/>
          <w:lang w:val="es-ES_tradnl"/>
        </w:rPr>
        <w:t>a</w:t>
      </w:r>
      <w:r w:rsidR="00AA356A" w:rsidRPr="00AA356A">
        <w:rPr>
          <w:rFonts w:ascii="Arial" w:hAnsi="Arial" w:cs="Arial"/>
          <w:i/>
          <w:sz w:val="24"/>
          <w:szCs w:val="24"/>
          <w:lang w:val="es-ES_tradnl"/>
        </w:rPr>
        <w:t xml:space="preserve"> ejecución de doble tubería sin </w:t>
      </w:r>
      <w:proofErr w:type="spellStart"/>
      <w:r w:rsidR="00AA356A" w:rsidRPr="00AA356A">
        <w:rPr>
          <w:rFonts w:ascii="Arial" w:hAnsi="Arial" w:cs="Arial"/>
          <w:i/>
          <w:sz w:val="24"/>
          <w:szCs w:val="24"/>
          <w:lang w:val="es-ES_tradnl"/>
        </w:rPr>
        <w:t>decalaje</w:t>
      </w:r>
      <w:proofErr w:type="spellEnd"/>
      <w:r w:rsidR="00AA356A" w:rsidRPr="00AA356A">
        <w:rPr>
          <w:rFonts w:ascii="Arial" w:hAnsi="Arial" w:cs="Arial"/>
          <w:i/>
          <w:sz w:val="24"/>
          <w:szCs w:val="24"/>
          <w:lang w:val="es-ES_tradnl"/>
        </w:rPr>
        <w:t xml:space="preserve"> en la 2ª Fase del Canal de Navarra</w:t>
      </w:r>
      <w:r w:rsidR="00AA356A">
        <w:rPr>
          <w:rFonts w:ascii="Arial" w:hAnsi="Arial" w:cs="Arial"/>
          <w:sz w:val="24"/>
          <w:szCs w:val="24"/>
          <w:lang w:val="es-ES_tradnl"/>
        </w:rPr>
        <w:t xml:space="preserve">” tiene el honor de informar </w:t>
      </w:r>
      <w:r w:rsidR="00175A1B">
        <w:rPr>
          <w:rFonts w:ascii="Arial" w:hAnsi="Arial" w:cs="Arial"/>
          <w:sz w:val="24"/>
          <w:szCs w:val="24"/>
          <w:lang w:val="es-ES_tradnl"/>
        </w:rPr>
        <w:t>q</w:t>
      </w:r>
      <w:r w:rsidR="00F423E1">
        <w:rPr>
          <w:rFonts w:ascii="Arial" w:hAnsi="Arial" w:cs="Arial"/>
          <w:sz w:val="24"/>
          <w:szCs w:val="24"/>
          <w:lang w:val="es-ES_tradnl"/>
        </w:rPr>
        <w:t>ue</w:t>
      </w:r>
      <w:r w:rsidR="00796BF0">
        <w:rPr>
          <w:rFonts w:ascii="Arial" w:hAnsi="Arial" w:cs="Arial"/>
          <w:sz w:val="24"/>
          <w:szCs w:val="24"/>
          <w:lang w:val="es-ES_tradnl"/>
        </w:rPr>
        <w:t>,</w:t>
      </w:r>
      <w:r w:rsidR="00F423E1">
        <w:rPr>
          <w:rFonts w:ascii="Arial" w:hAnsi="Arial" w:cs="Arial"/>
          <w:sz w:val="24"/>
          <w:szCs w:val="24"/>
          <w:lang w:val="es-ES_tradnl"/>
        </w:rPr>
        <w:t xml:space="preserve"> c</w:t>
      </w:r>
      <w:proofErr w:type="spellStart"/>
      <w:r w:rsidR="00E97C7B" w:rsidRPr="00E97C7B">
        <w:rPr>
          <w:rFonts w:ascii="Arial" w:hAnsi="Arial" w:cs="Arial"/>
          <w:sz w:val="24"/>
          <w:szCs w:val="24"/>
        </w:rPr>
        <w:t>on</w:t>
      </w:r>
      <w:proofErr w:type="spellEnd"/>
      <w:r w:rsidR="00E97C7B" w:rsidRPr="00E97C7B">
        <w:rPr>
          <w:rFonts w:ascii="Arial" w:hAnsi="Arial" w:cs="Arial"/>
          <w:sz w:val="24"/>
          <w:szCs w:val="24"/>
        </w:rPr>
        <w:t xml:space="preserve"> fecha 27 de octubre de 2020 la </w:t>
      </w:r>
      <w:r w:rsidR="00F423E1" w:rsidRPr="00F423E1">
        <w:rPr>
          <w:rFonts w:ascii="Arial" w:hAnsi="Arial" w:cs="Arial"/>
          <w:sz w:val="24"/>
          <w:szCs w:val="24"/>
        </w:rPr>
        <w:t>Comisión de Seguimiento Estado-Navarra de las obras del Canal de Navarra</w:t>
      </w:r>
      <w:r w:rsidR="00E97C7B" w:rsidRPr="00E97C7B">
        <w:rPr>
          <w:rFonts w:ascii="Arial" w:hAnsi="Arial" w:cs="Arial"/>
          <w:sz w:val="24"/>
          <w:szCs w:val="24"/>
        </w:rPr>
        <w:t xml:space="preserve"> y el Consejo de Administración de CANASA celebraron sendas reuniones en las que se acordó suministrar agua de calidad a la Ribera mediante la construcción simultánea de dos tuberías en la 2ª fase del Canal de Navarra. </w:t>
      </w:r>
    </w:p>
    <w:p w:rsidR="00690D4E" w:rsidRDefault="00E97C7B" w:rsidP="00E97C7B">
      <w:pPr>
        <w:spacing w:line="360" w:lineRule="auto"/>
        <w:ind w:left="426"/>
        <w:jc w:val="both"/>
        <w:rPr>
          <w:rFonts w:ascii="Arial" w:hAnsi="Arial" w:cs="Arial"/>
          <w:sz w:val="24"/>
          <w:szCs w:val="24"/>
        </w:rPr>
      </w:pPr>
      <w:r w:rsidRPr="00E97C7B">
        <w:rPr>
          <w:rFonts w:ascii="Arial" w:hAnsi="Arial" w:cs="Arial"/>
          <w:sz w:val="24"/>
          <w:szCs w:val="24"/>
        </w:rPr>
        <w:t xml:space="preserve">De este modo, se priorizó la rentabilidad social y estratégica del proyecto. La solución escogida presenta destacadas ventajas frente a la otra opción contemplada (dos tuberías con </w:t>
      </w:r>
      <w:proofErr w:type="spellStart"/>
      <w:r w:rsidRPr="00E97C7B">
        <w:rPr>
          <w:rFonts w:ascii="Arial" w:hAnsi="Arial" w:cs="Arial"/>
          <w:sz w:val="24"/>
          <w:szCs w:val="24"/>
        </w:rPr>
        <w:t>decalaje</w:t>
      </w:r>
      <w:proofErr w:type="spellEnd"/>
      <w:r w:rsidRPr="00E97C7B">
        <w:rPr>
          <w:rFonts w:ascii="Arial" w:hAnsi="Arial" w:cs="Arial"/>
          <w:sz w:val="24"/>
          <w:szCs w:val="24"/>
        </w:rPr>
        <w:t>). En primer lugar, conlleva un desarrollo más rápido de toda la zona regable de la segunda fase, al posibilitar, desde un inicio, la puesta en riego de hasta 21.522 hectáreas. Asimismo, permite realizar una planificación estratégica en el ámbito agrícola, industrial y de suministro urbano.</w:t>
      </w:r>
    </w:p>
    <w:p w:rsidR="00690D4E" w:rsidRDefault="00E97C7B" w:rsidP="00E97C7B">
      <w:pPr>
        <w:spacing w:line="360" w:lineRule="auto"/>
        <w:ind w:left="426"/>
        <w:jc w:val="both"/>
        <w:rPr>
          <w:rFonts w:ascii="Arial" w:hAnsi="Arial" w:cs="Arial"/>
          <w:sz w:val="24"/>
          <w:szCs w:val="24"/>
        </w:rPr>
      </w:pPr>
      <w:r w:rsidRPr="00E97C7B">
        <w:rPr>
          <w:rFonts w:ascii="Arial" w:hAnsi="Arial" w:cs="Arial"/>
          <w:sz w:val="24"/>
          <w:szCs w:val="24"/>
        </w:rPr>
        <w:t>De igual modo, construir dos conducciones de manera simultánea producirá una mayor garantía de suministro ante posibles averías o mantenimiento. Est</w:t>
      </w:r>
      <w:r w:rsidR="00CC6123">
        <w:rPr>
          <w:rFonts w:ascii="Arial" w:hAnsi="Arial" w:cs="Arial"/>
          <w:sz w:val="24"/>
          <w:szCs w:val="24"/>
        </w:rPr>
        <w:t>e factor es muy importante</w:t>
      </w:r>
      <w:r w:rsidRPr="00E97C7B">
        <w:rPr>
          <w:rFonts w:ascii="Arial" w:hAnsi="Arial" w:cs="Arial"/>
          <w:sz w:val="24"/>
          <w:szCs w:val="24"/>
        </w:rPr>
        <w:t xml:space="preserve"> en el caso de los riegos</w:t>
      </w:r>
      <w:r w:rsidR="00CC6123">
        <w:rPr>
          <w:rFonts w:ascii="Arial" w:hAnsi="Arial" w:cs="Arial"/>
          <w:sz w:val="24"/>
          <w:szCs w:val="24"/>
        </w:rPr>
        <w:t xml:space="preserve">, pero sobre todo en el caso de </w:t>
      </w:r>
      <w:r w:rsidRPr="00E97C7B">
        <w:rPr>
          <w:rFonts w:ascii="Arial" w:hAnsi="Arial" w:cs="Arial"/>
          <w:sz w:val="24"/>
          <w:szCs w:val="24"/>
        </w:rPr>
        <w:t>los abastecimientos.</w:t>
      </w:r>
    </w:p>
    <w:p w:rsidR="00690D4E" w:rsidRDefault="00E97C7B" w:rsidP="00E97C7B">
      <w:pPr>
        <w:spacing w:line="360" w:lineRule="auto"/>
        <w:ind w:left="426"/>
        <w:jc w:val="both"/>
        <w:rPr>
          <w:rFonts w:ascii="Arial" w:hAnsi="Arial" w:cs="Arial"/>
          <w:sz w:val="24"/>
          <w:szCs w:val="24"/>
        </w:rPr>
      </w:pPr>
      <w:r w:rsidRPr="00E97C7B">
        <w:rPr>
          <w:rFonts w:ascii="Arial" w:hAnsi="Arial" w:cs="Arial"/>
          <w:sz w:val="24"/>
          <w:szCs w:val="24"/>
        </w:rPr>
        <w:t>Otro aspecto destacable es la menor afección que se producirá desde el punto de vista medioambiental y arqueológico en el territorio al realizarse una única intervención en el mismo. De igual modo, los trabajos de recuperación paisajista y medioambiental serán más acotados en el tiempo.</w:t>
      </w:r>
    </w:p>
    <w:p w:rsidR="00690D4E" w:rsidRDefault="00E97C7B" w:rsidP="00E97C7B">
      <w:pPr>
        <w:spacing w:line="360" w:lineRule="auto"/>
        <w:ind w:left="426"/>
        <w:jc w:val="both"/>
        <w:rPr>
          <w:rFonts w:ascii="Arial" w:hAnsi="Arial" w:cs="Arial"/>
          <w:sz w:val="24"/>
          <w:szCs w:val="24"/>
        </w:rPr>
      </w:pPr>
      <w:r w:rsidRPr="00E97C7B">
        <w:rPr>
          <w:rFonts w:ascii="Arial" w:hAnsi="Arial" w:cs="Arial"/>
          <w:sz w:val="24"/>
          <w:szCs w:val="24"/>
        </w:rPr>
        <w:t xml:space="preserve">Finalmente, desde el punto de vista económico la solución seleccionada conlleva un menor presupuesto frente a la opción de dos conducciones con </w:t>
      </w:r>
      <w:proofErr w:type="spellStart"/>
      <w:r w:rsidRPr="00E97C7B">
        <w:rPr>
          <w:rFonts w:ascii="Arial" w:hAnsi="Arial" w:cs="Arial"/>
          <w:sz w:val="24"/>
          <w:szCs w:val="24"/>
        </w:rPr>
        <w:t>decalaje</w:t>
      </w:r>
      <w:proofErr w:type="spellEnd"/>
      <w:r w:rsidRPr="00E97C7B">
        <w:rPr>
          <w:rFonts w:ascii="Arial" w:hAnsi="Arial" w:cs="Arial"/>
          <w:sz w:val="24"/>
          <w:szCs w:val="24"/>
        </w:rPr>
        <w:t xml:space="preserve">: 220 millones de euros frente a los 225 millones de euros de la alternativa </w:t>
      </w:r>
      <w:proofErr w:type="spellStart"/>
      <w:r w:rsidRPr="00E97C7B">
        <w:rPr>
          <w:rFonts w:ascii="Arial" w:hAnsi="Arial" w:cs="Arial"/>
          <w:sz w:val="24"/>
          <w:szCs w:val="24"/>
        </w:rPr>
        <w:t>decalada</w:t>
      </w:r>
      <w:proofErr w:type="spellEnd"/>
      <w:r w:rsidRPr="00E97C7B">
        <w:rPr>
          <w:rFonts w:ascii="Arial" w:hAnsi="Arial" w:cs="Arial"/>
          <w:sz w:val="24"/>
          <w:szCs w:val="24"/>
        </w:rPr>
        <w:t>.</w:t>
      </w:r>
    </w:p>
    <w:p w:rsidR="00690D4E" w:rsidRDefault="00E97C7B" w:rsidP="00AA356A">
      <w:pPr>
        <w:spacing w:line="360" w:lineRule="auto"/>
        <w:ind w:left="426"/>
        <w:jc w:val="both"/>
        <w:rPr>
          <w:rFonts w:ascii="Arial" w:hAnsi="Arial" w:cs="Arial"/>
          <w:sz w:val="24"/>
          <w:szCs w:val="24"/>
        </w:rPr>
      </w:pPr>
      <w:r w:rsidRPr="00E97C7B">
        <w:rPr>
          <w:rFonts w:ascii="Arial" w:hAnsi="Arial" w:cs="Arial"/>
          <w:sz w:val="24"/>
          <w:szCs w:val="24"/>
        </w:rPr>
        <w:t xml:space="preserve">Previamente a la celebración de estos encuentros, </w:t>
      </w:r>
      <w:r w:rsidR="00AA356A">
        <w:rPr>
          <w:rFonts w:ascii="Arial" w:hAnsi="Arial" w:cs="Arial"/>
          <w:sz w:val="24"/>
          <w:szCs w:val="24"/>
          <w:lang w:val="es-ES_tradnl"/>
        </w:rPr>
        <w:t xml:space="preserve">el </w:t>
      </w:r>
      <w:r w:rsidR="00AA356A" w:rsidRPr="00AA356A">
        <w:rPr>
          <w:rFonts w:ascii="Arial" w:hAnsi="Arial" w:cs="Arial"/>
          <w:sz w:val="24"/>
          <w:szCs w:val="24"/>
        </w:rPr>
        <w:t>Con</w:t>
      </w:r>
      <w:r w:rsidR="00AA356A">
        <w:rPr>
          <w:rFonts w:ascii="Arial" w:hAnsi="Arial" w:cs="Arial"/>
          <w:sz w:val="24"/>
          <w:szCs w:val="24"/>
        </w:rPr>
        <w:t xml:space="preserve">sejero de Cohesión Territorial </w:t>
      </w:r>
      <w:r w:rsidR="00AA356A" w:rsidRPr="00AA356A">
        <w:rPr>
          <w:rFonts w:ascii="Arial" w:hAnsi="Arial" w:cs="Arial"/>
          <w:sz w:val="24"/>
          <w:szCs w:val="24"/>
        </w:rPr>
        <w:t>solicitó un documento</w:t>
      </w:r>
      <w:r w:rsidR="00647622">
        <w:rPr>
          <w:rFonts w:ascii="Arial" w:hAnsi="Arial" w:cs="Arial"/>
          <w:sz w:val="24"/>
          <w:szCs w:val="24"/>
        </w:rPr>
        <w:t xml:space="preserve"> o informe</w:t>
      </w:r>
      <w:r w:rsidR="00796BF0">
        <w:rPr>
          <w:rFonts w:ascii="Arial" w:hAnsi="Arial" w:cs="Arial"/>
          <w:sz w:val="24"/>
          <w:szCs w:val="24"/>
        </w:rPr>
        <w:t xml:space="preserve"> consultivo al Área de Riegos de INTIA</w:t>
      </w:r>
      <w:r w:rsidR="00AA356A" w:rsidRPr="00AA356A">
        <w:rPr>
          <w:rFonts w:ascii="Arial" w:hAnsi="Arial" w:cs="Arial"/>
          <w:sz w:val="24"/>
          <w:szCs w:val="24"/>
        </w:rPr>
        <w:t xml:space="preserve">, sobre la idoneidad de la realización del Proyecto de la 2ª Fase del Canal de Navarra con doble tubería sin </w:t>
      </w:r>
      <w:proofErr w:type="spellStart"/>
      <w:r w:rsidR="00AA356A" w:rsidRPr="00AA356A">
        <w:rPr>
          <w:rFonts w:ascii="Arial" w:hAnsi="Arial" w:cs="Arial"/>
          <w:sz w:val="24"/>
          <w:szCs w:val="24"/>
        </w:rPr>
        <w:t>decalaje</w:t>
      </w:r>
      <w:proofErr w:type="spellEnd"/>
      <w:r w:rsidR="00AA356A" w:rsidRPr="00AA356A">
        <w:rPr>
          <w:rFonts w:ascii="Arial" w:hAnsi="Arial" w:cs="Arial"/>
          <w:sz w:val="24"/>
          <w:szCs w:val="24"/>
        </w:rPr>
        <w:t xml:space="preserve">. </w:t>
      </w:r>
    </w:p>
    <w:p w:rsidR="00690D4E" w:rsidRDefault="00647622" w:rsidP="00647622">
      <w:pPr>
        <w:spacing w:line="360" w:lineRule="auto"/>
        <w:ind w:left="426"/>
        <w:jc w:val="both"/>
        <w:rPr>
          <w:rFonts w:ascii="Arial" w:hAnsi="Arial" w:cs="Arial"/>
          <w:sz w:val="24"/>
          <w:szCs w:val="24"/>
        </w:rPr>
      </w:pPr>
      <w:r>
        <w:rPr>
          <w:rFonts w:ascii="Arial" w:hAnsi="Arial" w:cs="Arial"/>
          <w:sz w:val="24"/>
          <w:szCs w:val="24"/>
        </w:rPr>
        <w:lastRenderedPageBreak/>
        <w:t>Cabe destacar que dicho documento</w:t>
      </w:r>
      <w:r w:rsidR="00AA356A" w:rsidRPr="00AA356A">
        <w:rPr>
          <w:rFonts w:ascii="Arial" w:hAnsi="Arial" w:cs="Arial"/>
          <w:sz w:val="24"/>
          <w:szCs w:val="24"/>
        </w:rPr>
        <w:t xml:space="preserve"> carece de </w:t>
      </w:r>
      <w:r w:rsidR="00296292">
        <w:rPr>
          <w:rFonts w:ascii="Arial" w:hAnsi="Arial" w:cs="Arial"/>
          <w:sz w:val="24"/>
          <w:szCs w:val="24"/>
        </w:rPr>
        <w:t>rúbrica</w:t>
      </w:r>
      <w:r w:rsidR="00AA356A" w:rsidRPr="00AA356A">
        <w:rPr>
          <w:rFonts w:ascii="Arial" w:hAnsi="Arial" w:cs="Arial"/>
          <w:sz w:val="24"/>
          <w:szCs w:val="24"/>
        </w:rPr>
        <w:t xml:space="preserve"> dado que</w:t>
      </w:r>
      <w:r>
        <w:rPr>
          <w:rFonts w:ascii="Arial" w:hAnsi="Arial" w:cs="Arial"/>
          <w:sz w:val="24"/>
          <w:szCs w:val="24"/>
        </w:rPr>
        <w:t>,</w:t>
      </w:r>
      <w:r w:rsidR="00AA356A" w:rsidRPr="00AA356A">
        <w:rPr>
          <w:rFonts w:ascii="Arial" w:hAnsi="Arial" w:cs="Arial"/>
          <w:sz w:val="24"/>
          <w:szCs w:val="24"/>
        </w:rPr>
        <w:t xml:space="preserve"> al tratarse de un documento</w:t>
      </w:r>
      <w:r>
        <w:rPr>
          <w:rFonts w:ascii="Arial" w:hAnsi="Arial" w:cs="Arial"/>
          <w:sz w:val="24"/>
          <w:szCs w:val="24"/>
        </w:rPr>
        <w:t xml:space="preserve"> o informe</w:t>
      </w:r>
      <w:r w:rsidR="00AA356A" w:rsidRPr="00AA356A">
        <w:rPr>
          <w:rFonts w:ascii="Arial" w:hAnsi="Arial" w:cs="Arial"/>
          <w:sz w:val="24"/>
          <w:szCs w:val="24"/>
        </w:rPr>
        <w:t xml:space="preserve"> consultivo</w:t>
      </w:r>
      <w:r>
        <w:rPr>
          <w:rFonts w:ascii="Arial" w:hAnsi="Arial" w:cs="Arial"/>
          <w:sz w:val="24"/>
          <w:szCs w:val="24"/>
        </w:rPr>
        <w:t>,</w:t>
      </w:r>
      <w:r w:rsidR="00AA356A" w:rsidRPr="00AA356A">
        <w:rPr>
          <w:rFonts w:ascii="Arial" w:hAnsi="Arial" w:cs="Arial"/>
          <w:sz w:val="24"/>
          <w:szCs w:val="24"/>
        </w:rPr>
        <w:t xml:space="preserve"> </w:t>
      </w:r>
      <w:r w:rsidR="00AB3881">
        <w:rPr>
          <w:rFonts w:ascii="Arial" w:hAnsi="Arial" w:cs="Arial"/>
          <w:sz w:val="24"/>
          <w:szCs w:val="24"/>
        </w:rPr>
        <w:t xml:space="preserve">el equipo técnico que lo elaboró no </w:t>
      </w:r>
      <w:r w:rsidR="00175A1B">
        <w:rPr>
          <w:rFonts w:ascii="Arial" w:hAnsi="Arial" w:cs="Arial"/>
          <w:sz w:val="24"/>
          <w:szCs w:val="24"/>
        </w:rPr>
        <w:t xml:space="preserve">consideró necesario proceder </w:t>
      </w:r>
      <w:r w:rsidR="00AB3881">
        <w:rPr>
          <w:rFonts w:ascii="Arial" w:hAnsi="Arial" w:cs="Arial"/>
          <w:sz w:val="24"/>
          <w:szCs w:val="24"/>
        </w:rPr>
        <w:t>a su</w:t>
      </w:r>
      <w:r w:rsidR="00AA356A" w:rsidRPr="00AA356A">
        <w:rPr>
          <w:rFonts w:ascii="Arial" w:hAnsi="Arial" w:cs="Arial"/>
          <w:sz w:val="24"/>
          <w:szCs w:val="24"/>
        </w:rPr>
        <w:t xml:space="preserve"> firma. </w:t>
      </w:r>
      <w:r>
        <w:rPr>
          <w:rFonts w:ascii="Arial" w:hAnsi="Arial" w:cs="Arial"/>
          <w:sz w:val="24"/>
          <w:szCs w:val="24"/>
        </w:rPr>
        <w:t xml:space="preserve">En ningún caso el citado documento tenía la finalidad de adjuntarse </w:t>
      </w:r>
      <w:r w:rsidR="00AA291D">
        <w:rPr>
          <w:rFonts w:ascii="Arial" w:hAnsi="Arial" w:cs="Arial"/>
          <w:sz w:val="24"/>
          <w:szCs w:val="24"/>
        </w:rPr>
        <w:t>en</w:t>
      </w:r>
      <w:r>
        <w:rPr>
          <w:rFonts w:ascii="Arial" w:hAnsi="Arial" w:cs="Arial"/>
          <w:sz w:val="24"/>
          <w:szCs w:val="24"/>
        </w:rPr>
        <w:t xml:space="preserve"> ningún expediente administrativo, por lo tanto, no tenía vocación de informe administrativo. </w:t>
      </w:r>
    </w:p>
    <w:p w:rsidR="00690D4E" w:rsidRDefault="00AA356A" w:rsidP="00AA356A">
      <w:pPr>
        <w:spacing w:line="360" w:lineRule="auto"/>
        <w:ind w:left="426"/>
        <w:jc w:val="both"/>
        <w:rPr>
          <w:rFonts w:ascii="Arial" w:hAnsi="Arial" w:cs="Arial"/>
          <w:sz w:val="24"/>
          <w:szCs w:val="24"/>
        </w:rPr>
      </w:pPr>
      <w:r w:rsidRPr="00AA356A">
        <w:rPr>
          <w:rFonts w:ascii="Arial" w:hAnsi="Arial" w:cs="Arial"/>
          <w:sz w:val="24"/>
          <w:szCs w:val="24"/>
        </w:rPr>
        <w:t>En relación a la facturación, señalar que no se realizó un encargo sino una solicitud de información y</w:t>
      </w:r>
      <w:r w:rsidR="00AA291D">
        <w:rPr>
          <w:rFonts w:ascii="Arial" w:hAnsi="Arial" w:cs="Arial"/>
          <w:sz w:val="24"/>
          <w:szCs w:val="24"/>
        </w:rPr>
        <w:t>,</w:t>
      </w:r>
      <w:r w:rsidRPr="00AA356A">
        <w:rPr>
          <w:rFonts w:ascii="Arial" w:hAnsi="Arial" w:cs="Arial"/>
          <w:sz w:val="24"/>
          <w:szCs w:val="24"/>
        </w:rPr>
        <w:t xml:space="preserve"> por ello</w:t>
      </w:r>
      <w:r w:rsidR="00AA291D">
        <w:rPr>
          <w:rFonts w:ascii="Arial" w:hAnsi="Arial" w:cs="Arial"/>
          <w:sz w:val="24"/>
          <w:szCs w:val="24"/>
        </w:rPr>
        <w:t>,</w:t>
      </w:r>
      <w:r w:rsidRPr="00AA356A">
        <w:rPr>
          <w:rFonts w:ascii="Arial" w:hAnsi="Arial" w:cs="Arial"/>
          <w:sz w:val="24"/>
          <w:szCs w:val="24"/>
        </w:rPr>
        <w:t xml:space="preserve"> </w:t>
      </w:r>
      <w:r w:rsidR="00346845">
        <w:rPr>
          <w:rFonts w:ascii="Arial" w:hAnsi="Arial" w:cs="Arial"/>
          <w:sz w:val="24"/>
          <w:szCs w:val="24"/>
        </w:rPr>
        <w:t>el Departamento de Cohesión Territorial no ha abonado</w:t>
      </w:r>
      <w:r w:rsidRPr="00AA356A">
        <w:rPr>
          <w:rFonts w:ascii="Arial" w:hAnsi="Arial" w:cs="Arial"/>
          <w:sz w:val="24"/>
          <w:szCs w:val="24"/>
        </w:rPr>
        <w:t xml:space="preserve"> cuantía alguna.</w:t>
      </w:r>
    </w:p>
    <w:p w:rsidR="00690D4E" w:rsidRDefault="00AA356A" w:rsidP="00AA356A">
      <w:pPr>
        <w:spacing w:line="360" w:lineRule="auto"/>
        <w:ind w:left="426"/>
        <w:jc w:val="both"/>
        <w:rPr>
          <w:rFonts w:ascii="Arial" w:hAnsi="Arial" w:cs="Arial"/>
          <w:sz w:val="24"/>
          <w:szCs w:val="24"/>
        </w:rPr>
      </w:pPr>
      <w:r w:rsidRPr="00AA356A">
        <w:rPr>
          <w:rFonts w:ascii="Arial" w:hAnsi="Arial" w:cs="Arial"/>
          <w:sz w:val="24"/>
          <w:szCs w:val="24"/>
        </w:rPr>
        <w:t xml:space="preserve">Informarle igualmente que este Consejero </w:t>
      </w:r>
      <w:r w:rsidRPr="00346845">
        <w:rPr>
          <w:rFonts w:ascii="Arial" w:hAnsi="Arial" w:cs="Arial"/>
          <w:sz w:val="24"/>
          <w:szCs w:val="24"/>
        </w:rPr>
        <w:t>desconoce los</w:t>
      </w:r>
      <w:r w:rsidR="00553C40" w:rsidRPr="00346845">
        <w:rPr>
          <w:rFonts w:ascii="Arial" w:hAnsi="Arial" w:cs="Arial"/>
          <w:sz w:val="24"/>
          <w:szCs w:val="24"/>
        </w:rPr>
        <w:t xml:space="preserve"> documentos o</w:t>
      </w:r>
      <w:r w:rsidRPr="00346845">
        <w:rPr>
          <w:rFonts w:ascii="Arial" w:hAnsi="Arial" w:cs="Arial"/>
          <w:sz w:val="24"/>
          <w:szCs w:val="24"/>
        </w:rPr>
        <w:t xml:space="preserve"> informes </w:t>
      </w:r>
      <w:r w:rsidRPr="00AA356A">
        <w:rPr>
          <w:rFonts w:ascii="Arial" w:hAnsi="Arial" w:cs="Arial"/>
          <w:sz w:val="24"/>
          <w:szCs w:val="24"/>
        </w:rPr>
        <w:t>que los representantes de Navarra en el Consejo de Administración de CANASA pudieron recabar entre empresas públicas y departamentos de</w:t>
      </w:r>
      <w:r w:rsidR="00175A1B">
        <w:rPr>
          <w:rFonts w:ascii="Arial" w:hAnsi="Arial" w:cs="Arial"/>
          <w:sz w:val="24"/>
          <w:szCs w:val="24"/>
        </w:rPr>
        <w:t>l</w:t>
      </w:r>
      <w:r w:rsidRPr="00AA356A">
        <w:rPr>
          <w:rFonts w:ascii="Arial" w:hAnsi="Arial" w:cs="Arial"/>
          <w:sz w:val="24"/>
          <w:szCs w:val="24"/>
        </w:rPr>
        <w:t xml:space="preserve"> Gobierno de Navarra para su información personal de cara a la toma de la decisión de la alternativa técnica de conducción de agua por parte de CANASA en la segunda fase de Canal de Navarra.   </w:t>
      </w:r>
    </w:p>
    <w:p w:rsidR="00B87287" w:rsidRDefault="00AA356A" w:rsidP="00577C70">
      <w:pPr>
        <w:spacing w:line="360" w:lineRule="auto"/>
        <w:ind w:left="426"/>
        <w:jc w:val="both"/>
        <w:rPr>
          <w:rFonts w:ascii="Arial" w:hAnsi="Arial" w:cs="Arial"/>
          <w:sz w:val="24"/>
          <w:szCs w:val="24"/>
        </w:rPr>
      </w:pPr>
      <w:r w:rsidRPr="00AA356A">
        <w:rPr>
          <w:rFonts w:ascii="Arial" w:hAnsi="Arial" w:cs="Arial"/>
          <w:sz w:val="24"/>
          <w:szCs w:val="24"/>
        </w:rPr>
        <w:t xml:space="preserve">En relación a la reunión del Consejo de Administración de CANASA celebrado el 27 de octubre de 2020, o a las celebradas por la Comisión de Seguimiento Estado-Navarra de las obras del Canal de Navarra, </w:t>
      </w:r>
      <w:r w:rsidR="00EE0938" w:rsidRPr="00EE0938">
        <w:rPr>
          <w:rFonts w:ascii="Arial" w:hAnsi="Arial" w:cs="Arial"/>
          <w:sz w:val="24"/>
          <w:szCs w:val="24"/>
        </w:rPr>
        <w:t>informar que se aludió al contenido del citado documento así como al de otr</w:t>
      </w:r>
      <w:r w:rsidR="00EE0938">
        <w:rPr>
          <w:rFonts w:ascii="Arial" w:hAnsi="Arial" w:cs="Arial"/>
          <w:sz w:val="24"/>
          <w:szCs w:val="24"/>
        </w:rPr>
        <w:t>os documentos, informes o actas</w:t>
      </w:r>
      <w:r w:rsidR="00EE0938" w:rsidRPr="00EE0938">
        <w:rPr>
          <w:rFonts w:ascii="Arial" w:hAnsi="Arial" w:cs="Arial"/>
          <w:sz w:val="24"/>
          <w:szCs w:val="24"/>
        </w:rPr>
        <w:t>.</w:t>
      </w:r>
    </w:p>
    <w:p w:rsidR="00442565" w:rsidRDefault="00577C70" w:rsidP="00577C70">
      <w:pPr>
        <w:spacing w:line="360" w:lineRule="auto"/>
        <w:ind w:left="426"/>
        <w:jc w:val="both"/>
        <w:rPr>
          <w:rFonts w:ascii="Arial" w:hAnsi="Arial" w:cs="Arial"/>
          <w:sz w:val="24"/>
          <w:szCs w:val="24"/>
          <w:lang w:val="es-ES_tradnl"/>
        </w:rPr>
      </w:pPr>
      <w:r>
        <w:rPr>
          <w:rFonts w:ascii="Arial" w:hAnsi="Arial" w:cs="Arial"/>
          <w:sz w:val="24"/>
          <w:szCs w:val="24"/>
        </w:rPr>
        <w:t>Es cuanto informo en cumplimiento de lo dispuesto en el artículo 194 del Reglamento del Parlamento de Navarra.</w:t>
      </w:r>
    </w:p>
    <w:p w:rsidR="00577C70" w:rsidRDefault="00577C70" w:rsidP="00577C70">
      <w:pPr>
        <w:spacing w:line="360" w:lineRule="auto"/>
        <w:jc w:val="center"/>
        <w:rPr>
          <w:rFonts w:ascii="Arial" w:hAnsi="Arial" w:cs="Arial"/>
          <w:sz w:val="24"/>
          <w:szCs w:val="24"/>
        </w:rPr>
      </w:pPr>
      <w:r>
        <w:rPr>
          <w:rFonts w:ascii="Arial" w:hAnsi="Arial" w:cs="Arial"/>
          <w:sz w:val="24"/>
          <w:szCs w:val="24"/>
        </w:rPr>
        <w:t xml:space="preserve">Pamplona-Iruña, a </w:t>
      </w:r>
      <w:r w:rsidR="00925E50">
        <w:rPr>
          <w:rFonts w:ascii="Arial" w:hAnsi="Arial" w:cs="Arial"/>
          <w:sz w:val="24"/>
          <w:szCs w:val="24"/>
        </w:rPr>
        <w:t>8</w:t>
      </w:r>
      <w:r w:rsidR="00A022E3">
        <w:rPr>
          <w:rFonts w:ascii="Arial" w:hAnsi="Arial" w:cs="Arial"/>
          <w:sz w:val="24"/>
          <w:szCs w:val="24"/>
        </w:rPr>
        <w:t xml:space="preserve"> </w:t>
      </w:r>
      <w:r>
        <w:rPr>
          <w:rFonts w:ascii="Arial" w:hAnsi="Arial" w:cs="Arial"/>
          <w:sz w:val="24"/>
          <w:szCs w:val="24"/>
        </w:rPr>
        <w:t xml:space="preserve">de </w:t>
      </w:r>
      <w:r w:rsidR="00B87287">
        <w:rPr>
          <w:rFonts w:ascii="Arial" w:hAnsi="Arial" w:cs="Arial"/>
          <w:sz w:val="24"/>
          <w:szCs w:val="24"/>
        </w:rPr>
        <w:t>abril</w:t>
      </w:r>
      <w:r>
        <w:rPr>
          <w:rFonts w:ascii="Arial" w:hAnsi="Arial" w:cs="Arial"/>
          <w:sz w:val="24"/>
          <w:szCs w:val="24"/>
        </w:rPr>
        <w:t xml:space="preserve"> de 2021</w:t>
      </w:r>
    </w:p>
    <w:p w:rsidR="00577C70" w:rsidRDefault="00690D4E" w:rsidP="00577C70">
      <w:pPr>
        <w:spacing w:line="360" w:lineRule="auto"/>
        <w:jc w:val="center"/>
        <w:rPr>
          <w:rFonts w:ascii="Arial" w:hAnsi="Arial" w:cs="Arial"/>
          <w:sz w:val="24"/>
          <w:szCs w:val="24"/>
        </w:rPr>
      </w:pPr>
      <w:r>
        <w:rPr>
          <w:rFonts w:ascii="Arial" w:hAnsi="Arial" w:cs="Arial"/>
          <w:sz w:val="24"/>
          <w:szCs w:val="24"/>
          <w:lang w:val="es-ES_tradnl"/>
        </w:rPr>
        <w:t>El Consejero de Cohesión Territorial</w:t>
      </w:r>
      <w:r>
        <w:rPr>
          <w:rFonts w:ascii="Arial" w:hAnsi="Arial" w:cs="Arial"/>
          <w:sz w:val="24"/>
          <w:szCs w:val="24"/>
          <w:lang w:val="es-ES_tradnl"/>
        </w:rPr>
        <w:t>:</w:t>
      </w:r>
      <w:bookmarkStart w:id="0" w:name="_GoBack"/>
      <w:bookmarkEnd w:id="0"/>
      <w:r>
        <w:rPr>
          <w:rFonts w:ascii="Arial" w:hAnsi="Arial" w:cs="Arial"/>
          <w:sz w:val="24"/>
          <w:szCs w:val="24"/>
        </w:rPr>
        <w:t xml:space="preserve"> </w:t>
      </w:r>
      <w:r w:rsidR="00577C70">
        <w:rPr>
          <w:rFonts w:ascii="Arial" w:hAnsi="Arial" w:cs="Arial"/>
          <w:sz w:val="24"/>
          <w:szCs w:val="24"/>
        </w:rPr>
        <w:t xml:space="preserve">Bernardo </w:t>
      </w:r>
      <w:proofErr w:type="spellStart"/>
      <w:r w:rsidR="00577C70">
        <w:rPr>
          <w:rFonts w:ascii="Arial" w:hAnsi="Arial" w:cs="Arial"/>
          <w:sz w:val="24"/>
          <w:szCs w:val="24"/>
        </w:rPr>
        <w:t>Ciriza</w:t>
      </w:r>
      <w:proofErr w:type="spellEnd"/>
      <w:r w:rsidR="00577C70">
        <w:rPr>
          <w:rFonts w:ascii="Arial" w:hAnsi="Arial" w:cs="Arial"/>
          <w:sz w:val="24"/>
          <w:szCs w:val="24"/>
        </w:rPr>
        <w:t xml:space="preserve"> Pérez</w:t>
      </w:r>
    </w:p>
    <w:sectPr w:rsidR="00577C70" w:rsidSect="005B095B">
      <w:headerReference w:type="default" r:id="rId8"/>
      <w:headerReference w:type="first" r:id="rId9"/>
      <w:footerReference w:type="first" r:id="rId10"/>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508" w:rsidRDefault="00780508">
      <w:r>
        <w:separator/>
      </w:r>
    </w:p>
  </w:endnote>
  <w:endnote w:type="continuationSeparator" w:id="0">
    <w:p w:rsidR="00780508" w:rsidRDefault="0078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5B" w:rsidRPr="00A2145B" w:rsidRDefault="00A2145B"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000A0670"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000A0670" w:rsidRPr="00A2145B">
      <w:rPr>
        <w:rStyle w:val="Nmerodepgina"/>
        <w:rFonts w:ascii="Courier New" w:hAnsi="Courier New" w:cs="Courier New"/>
        <w:sz w:val="18"/>
        <w:szCs w:val="18"/>
      </w:rPr>
      <w:fldChar w:fldCharType="separate"/>
    </w:r>
    <w:r w:rsidR="00C362DE">
      <w:rPr>
        <w:rStyle w:val="Nmerodepgina"/>
        <w:rFonts w:ascii="Courier New" w:hAnsi="Courier New" w:cs="Courier New"/>
        <w:noProof/>
        <w:sz w:val="18"/>
        <w:szCs w:val="18"/>
      </w:rPr>
      <w:t>1</w:t>
    </w:r>
    <w:r w:rsidR="000A0670" w:rsidRPr="00A2145B">
      <w:rPr>
        <w:rStyle w:val="Nmerodepgina"/>
        <w:rFonts w:ascii="Courier New" w:hAnsi="Courier New" w:cs="Courier Ne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508" w:rsidRDefault="00780508">
      <w:r>
        <w:separator/>
      </w:r>
    </w:p>
  </w:footnote>
  <w:footnote w:type="continuationSeparator" w:id="0">
    <w:p w:rsidR="00780508" w:rsidRDefault="00780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6F" w:rsidRPr="007250F0" w:rsidRDefault="00832136" w:rsidP="00B17CCC">
    <w:pPr>
      <w:pStyle w:val="Encabezado"/>
      <w:tabs>
        <w:tab w:val="clear" w:pos="4252"/>
        <w:tab w:val="clear" w:pos="8504"/>
        <w:tab w:val="left" w:pos="7860"/>
        <w:tab w:val="right" w:pos="9070"/>
      </w:tabs>
    </w:pPr>
    <w:r>
      <w:tab/>
    </w:r>
    <w:r w:rsidR="00B17CCC">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F6F" w:rsidRDefault="00CA2943" w:rsidP="00696F6F">
    <w:pPr>
      <w:pStyle w:val="Encabezado"/>
      <w:ind w:left="-765"/>
    </w:pPr>
    <w:r>
      <w:rPr>
        <w:noProof/>
      </w:rPr>
      <w:drawing>
        <wp:anchor distT="0" distB="0" distL="114300" distR="114300" simplePos="0" relativeHeight="251657216" behindDoc="0" locked="0" layoutInCell="1" allowOverlap="1" wp14:anchorId="4A5BD3CC" wp14:editId="3FD91532">
          <wp:simplePos x="0" y="0"/>
          <wp:positionH relativeFrom="page">
            <wp:align>left</wp:align>
          </wp:positionH>
          <wp:positionV relativeFrom="page">
            <wp:align>top</wp:align>
          </wp:positionV>
          <wp:extent cx="7569186" cy="1803058"/>
          <wp:effectExtent l="25400" t="0" r="14" b="0"/>
          <wp:wrapNone/>
          <wp:docPr id="10" name="Imagen 10" descr="DG Funcion 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G Funcion Publica"/>
                  <pic:cNvPicPr>
                    <a:picLocks noChangeAspect="1" noChangeArrowheads="1"/>
                  </pic:cNvPicPr>
                </pic:nvPicPr>
                <pic:blipFill>
                  <a:blip r:embed="rId1"/>
                  <a:stretch>
                    <a:fillRect/>
                  </a:stretch>
                </pic:blipFill>
                <pic:spPr bwMode="auto">
                  <a:xfrm>
                    <a:off x="0" y="0"/>
                    <a:ext cx="7569186" cy="180305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C715F"/>
    <w:multiLevelType w:val="hybridMultilevel"/>
    <w:tmpl w:val="70747DA8"/>
    <w:lvl w:ilvl="0" w:tplc="A1F2318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nsid w:val="23D304F4"/>
    <w:multiLevelType w:val="hybridMultilevel"/>
    <w:tmpl w:val="023C2D06"/>
    <w:lvl w:ilvl="0" w:tplc="591AA4BA">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84"/>
    <w:rsid w:val="000729E0"/>
    <w:rsid w:val="0009463A"/>
    <w:rsid w:val="000A0670"/>
    <w:rsid w:val="000A4FEF"/>
    <w:rsid w:val="000B64A1"/>
    <w:rsid w:val="00175A1B"/>
    <w:rsid w:val="00192C26"/>
    <w:rsid w:val="002168BE"/>
    <w:rsid w:val="00226E06"/>
    <w:rsid w:val="00265884"/>
    <w:rsid w:val="0027054E"/>
    <w:rsid w:val="00277C9A"/>
    <w:rsid w:val="00296292"/>
    <w:rsid w:val="00346845"/>
    <w:rsid w:val="003B3D76"/>
    <w:rsid w:val="003F1206"/>
    <w:rsid w:val="004031A8"/>
    <w:rsid w:val="00426486"/>
    <w:rsid w:val="00442565"/>
    <w:rsid w:val="00484305"/>
    <w:rsid w:val="004C58DB"/>
    <w:rsid w:val="004F4088"/>
    <w:rsid w:val="00524782"/>
    <w:rsid w:val="00534B72"/>
    <w:rsid w:val="005367EB"/>
    <w:rsid w:val="00553C40"/>
    <w:rsid w:val="00577C70"/>
    <w:rsid w:val="00597336"/>
    <w:rsid w:val="005B0812"/>
    <w:rsid w:val="005B095B"/>
    <w:rsid w:val="00610AAA"/>
    <w:rsid w:val="00647622"/>
    <w:rsid w:val="006764C1"/>
    <w:rsid w:val="00690D4E"/>
    <w:rsid w:val="00696F6F"/>
    <w:rsid w:val="006A5952"/>
    <w:rsid w:val="0072622D"/>
    <w:rsid w:val="00736661"/>
    <w:rsid w:val="007456ED"/>
    <w:rsid w:val="00776285"/>
    <w:rsid w:val="00780508"/>
    <w:rsid w:val="00780CA4"/>
    <w:rsid w:val="00793F61"/>
    <w:rsid w:val="00796BF0"/>
    <w:rsid w:val="007E640E"/>
    <w:rsid w:val="0082352D"/>
    <w:rsid w:val="00832136"/>
    <w:rsid w:val="0088529C"/>
    <w:rsid w:val="008F071C"/>
    <w:rsid w:val="009226EF"/>
    <w:rsid w:val="00925E50"/>
    <w:rsid w:val="00994342"/>
    <w:rsid w:val="009D73FA"/>
    <w:rsid w:val="009E202F"/>
    <w:rsid w:val="009E381E"/>
    <w:rsid w:val="00A00160"/>
    <w:rsid w:val="00A022E3"/>
    <w:rsid w:val="00A117E7"/>
    <w:rsid w:val="00A2145B"/>
    <w:rsid w:val="00AA291D"/>
    <w:rsid w:val="00AA356A"/>
    <w:rsid w:val="00AB3881"/>
    <w:rsid w:val="00AC3455"/>
    <w:rsid w:val="00AD74DD"/>
    <w:rsid w:val="00B17CCC"/>
    <w:rsid w:val="00B46857"/>
    <w:rsid w:val="00B87287"/>
    <w:rsid w:val="00B93971"/>
    <w:rsid w:val="00BD6A02"/>
    <w:rsid w:val="00BE09A3"/>
    <w:rsid w:val="00BE5976"/>
    <w:rsid w:val="00C362DE"/>
    <w:rsid w:val="00C613F4"/>
    <w:rsid w:val="00C7645D"/>
    <w:rsid w:val="00CA2943"/>
    <w:rsid w:val="00CC186C"/>
    <w:rsid w:val="00CC6123"/>
    <w:rsid w:val="00D84479"/>
    <w:rsid w:val="00DA6D6E"/>
    <w:rsid w:val="00DC1E38"/>
    <w:rsid w:val="00DC2FF3"/>
    <w:rsid w:val="00DF6784"/>
    <w:rsid w:val="00E21BF7"/>
    <w:rsid w:val="00E97C7B"/>
    <w:rsid w:val="00ED5CA9"/>
    <w:rsid w:val="00EE0938"/>
    <w:rsid w:val="00EF11B9"/>
    <w:rsid w:val="00F228ED"/>
    <w:rsid w:val="00F323EB"/>
    <w:rsid w:val="00F423E1"/>
    <w:rsid w:val="00F7222A"/>
    <w:rsid w:val="00FF25BB"/>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FF25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FF2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956235">
      <w:bodyDiv w:val="1"/>
      <w:marLeft w:val="0"/>
      <w:marRight w:val="0"/>
      <w:marTop w:val="0"/>
      <w:marBottom w:val="0"/>
      <w:divBdr>
        <w:top w:val="none" w:sz="0" w:space="0" w:color="auto"/>
        <w:left w:val="none" w:sz="0" w:space="0" w:color="auto"/>
        <w:bottom w:val="none" w:sz="0" w:space="0" w:color="auto"/>
        <w:right w:val="none" w:sz="0" w:space="0" w:color="auto"/>
      </w:divBdr>
    </w:div>
    <w:div w:id="1402873957">
      <w:bodyDiv w:val="1"/>
      <w:marLeft w:val="0"/>
      <w:marRight w:val="0"/>
      <w:marTop w:val="0"/>
      <w:marBottom w:val="0"/>
      <w:divBdr>
        <w:top w:val="none" w:sz="0" w:space="0" w:color="auto"/>
        <w:left w:val="none" w:sz="0" w:space="0" w:color="auto"/>
        <w:bottom w:val="none" w:sz="0" w:space="0" w:color="auto"/>
        <w:right w:val="none" w:sz="0" w:space="0" w:color="auto"/>
      </w:divBdr>
    </w:div>
    <w:div w:id="1618370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580</Words>
  <Characters>3194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Aranaz, Carlota</cp:lastModifiedBy>
  <cp:revision>6</cp:revision>
  <cp:lastPrinted>2015-10-05T06:52:00Z</cp:lastPrinted>
  <dcterms:created xsi:type="dcterms:W3CDTF">2021-04-07T09:23:00Z</dcterms:created>
  <dcterms:modified xsi:type="dcterms:W3CDTF">2021-04-12T08:07:00Z</dcterms:modified>
</cp:coreProperties>
</file>