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Pfizerren txertoari buruzkoa. Galdera 2021eko otsailaren 26ko 27. Nafarroako Parlamentuko Aldizkari Ofizialean argitaratu zen.</w:t>
      </w:r>
    </w:p>
    <w:p>
      <w:pPr>
        <w:pStyle w:val="0"/>
        <w:suppressAutoHyphens w:val="false"/>
        <w:rPr>
          <w:rStyle w:val="1"/>
        </w:rPr>
      </w:pPr>
      <w:r>
        <w:rPr>
          <w:rStyle w:val="1"/>
        </w:rPr>
        <w:t xml:space="preserve">Iruñean, 2021eko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(10-21/PES-00085), zeinaren bidez informazioa eskatzen baitu “Pfizer txertoaren bialen seigarren dosia emateari buruz”. Hona Nafarroako Gobernuko Osasuneko kontseilariak igortzen dion informazioa:</w:t>
      </w:r>
    </w:p>
    <w:p>
      <w:pPr>
        <w:pStyle w:val="0"/>
        <w:suppressAutoHyphens w:val="false"/>
        <w:rPr>
          <w:rStyle w:val="1"/>
          <w:i w:val="true"/>
        </w:rPr>
      </w:pPr>
      <w:r>
        <w:rPr>
          <w:rStyle w:val="1"/>
          <w:i w:val="true"/>
        </w:rPr>
        <w:t xml:space="preserve">Noiz hasi zen zehazki Nafarroan Pfizer-en txertoaren bialen seigarren dosia ematen?</w:t>
      </w:r>
    </w:p>
    <w:p>
      <w:pPr>
        <w:pStyle w:val="0"/>
        <w:suppressAutoHyphens w:val="false"/>
        <w:rPr>
          <w:rStyle w:val="1"/>
        </w:rPr>
      </w:pPr>
      <w:r>
        <w:rPr>
          <w:rStyle w:val="1"/>
        </w:rPr>
        <w:t xml:space="preserve">Nafarroak txertaketaren hasieratik zeukan material egokia, xiringak eta espazio-galerarik gabeko orratzak. Horri esker, seigarren dosiaren lorpena hasiera-hasieratik izan zen posible, Osasuneko Ministerioak seigarren dosiaren erabilpena onetsi zuenetik (urtarrilaren 25), fabrikatzaileak hasiera batean bost dosi gomendatzen bazituen ere.</w:t>
      </w:r>
    </w:p>
    <w:p>
      <w:pPr>
        <w:pStyle w:val="0"/>
        <w:suppressAutoHyphens w:val="false"/>
        <w:rPr>
          <w:rStyle w:val="1"/>
          <w:i w:val="true"/>
        </w:rPr>
      </w:pPr>
      <w:r>
        <w:rPr>
          <w:rStyle w:val="1"/>
          <w:i w:val="true"/>
        </w:rPr>
        <w:t xml:space="preserve">Nola jakinarazi zitzaien txertaketa-taldeei?</w:t>
      </w:r>
    </w:p>
    <w:p>
      <w:pPr>
        <w:pStyle w:val="0"/>
        <w:suppressAutoHyphens w:val="false"/>
        <w:rPr>
          <w:rStyle w:val="1"/>
        </w:rPr>
      </w:pPr>
      <w:r>
        <w:rPr>
          <w:rStyle w:val="1"/>
        </w:rPr>
        <w:t xml:space="preserve">Haien arduradunen bitartez; garai hartan, Covid Unitatearen bitartez.</w:t>
      </w:r>
    </w:p>
    <w:p>
      <w:pPr>
        <w:pStyle w:val="0"/>
        <w:suppressAutoHyphens w:val="false"/>
        <w:rPr>
          <w:rStyle w:val="1"/>
          <w:i w:val="true"/>
        </w:rPr>
      </w:pPr>
      <w:r>
        <w:rPr>
          <w:rStyle w:val="1"/>
          <w:i w:val="true"/>
        </w:rPr>
        <w:t xml:space="preserve">Non erregistratzen da bial jakin batean ezin badira 6 dosiak aprobetxatu?</w:t>
      </w:r>
    </w:p>
    <w:p>
      <w:pPr>
        <w:pStyle w:val="0"/>
        <w:suppressAutoHyphens w:val="false"/>
        <w:rPr>
          <w:rStyle w:val="1"/>
        </w:rPr>
      </w:pPr>
      <w:r>
        <w:rPr>
          <w:rStyle w:val="1"/>
        </w:rPr>
        <w:t xml:space="preserve">Txertaketako edozein gorabeheratarako –hau barne– prestaturiko gorabehera-orri batzuetan.</w:t>
      </w:r>
    </w:p>
    <w:p>
      <w:pPr>
        <w:pStyle w:val="0"/>
        <w:suppressAutoHyphens w:val="false"/>
        <w:rPr>
          <w:rStyle w:val="1"/>
          <w:i w:val="true"/>
        </w:rPr>
      </w:pPr>
      <w:r>
        <w:rPr>
          <w:rStyle w:val="1"/>
          <w:i w:val="true"/>
        </w:rPr>
        <w:t xml:space="preserve">Zenbat bialekin gertatu da hori? Zenbat dosi ezin izan dira aprobetxatu eta zergatik, kasu bakoitzean?</w:t>
      </w:r>
    </w:p>
    <w:p>
      <w:pPr>
        <w:pStyle w:val="0"/>
        <w:suppressAutoHyphens w:val="false"/>
        <w:rPr>
          <w:rStyle w:val="1"/>
        </w:rPr>
      </w:pPr>
      <w:r>
        <w:rPr>
          <w:rStyle w:val="1"/>
        </w:rPr>
        <w:t xml:space="preserve">Txertaleku bakoitzerako prestatu diren gorabehera-orrietan agertzen zaigu informazio hori. Orriok egunero betetzen dira. Informazio hori berrikusi egiten dute, egunero ere, Nafarroako Osasun Publikoaren eta Lan Osasunaren Institutuko txerto-arduradunek eta Txertatze-unitate Teknikoak, eta berrikusten da ea galeraren arrazoia justifikatuta dagoen eta kasuko orria baliabidearen koordinatzaile den erizaintzako profesionalak betetakoa den.</w:t>
      </w:r>
    </w:p>
    <w:p>
      <w:pPr>
        <w:pStyle w:val="0"/>
        <w:suppressAutoHyphens w:val="false"/>
        <w:rPr>
          <w:rStyle w:val="1"/>
        </w:rPr>
      </w:pPr>
      <w:r>
        <w:rPr>
          <w:rStyle w:val="1"/>
        </w:rPr>
        <w:t xml:space="preserve">Informazio hori ez daukagu metaturik.</w:t>
      </w:r>
    </w:p>
    <w:p>
      <w:pPr>
        <w:pStyle w:val="0"/>
        <w:suppressAutoHyphens w:val="false"/>
        <w:rPr>
          <w:rStyle w:val="1"/>
        </w:rPr>
      </w:pPr>
      <w:r>
        <w:rPr>
          <w:rStyle w:val="1"/>
        </w:rPr>
        <w:t xml:space="preserve">Gertakari horiek ez dira ohikoak, baina kasu batzuetan gertatu izan dira, disolbagarri gisa erabiltzen den serumean injektatzeko unean likido-galerak izateagatik, injekzio-xiringa gaizki kargatzeagatik edo xiringako likidoa galtzeagatik.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27an</w:t>
      </w:r>
    </w:p>
    <w:p>
      <w:pPr>
        <w:pStyle w:val="0"/>
        <w:suppressAutoHyphens w:val="false"/>
        <w:rPr>
          <w:rStyle w:val="1"/>
          <w:spacing w:val="-2.88"/>
        </w:rPr>
      </w:pPr>
      <w:r>
        <w:rPr>
          <w:rStyle w:val="1"/>
          <w:spacing w:val="-2.88"/>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