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4an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Ziberdelinkuentzia areagotzeari buruz Ainhoa Aznárez Igarza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2021eko urriaren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Unibertsitateko, Berrikuntzako eta Eraldaketa Digitaleko kontseilariak hurrengo Osoko Bilkuran, urriaren 7an, ahoz erantzun dezan.</w:t>
      </w:r>
    </w:p>
    <w:p>
      <w:pPr>
        <w:pStyle w:val="0"/>
        <w:suppressAutoHyphens w:val="false"/>
        <w:rPr>
          <w:rStyle w:val="1"/>
        </w:rPr>
      </w:pPr>
      <w:r>
        <w:rPr>
          <w:rStyle w:val="1"/>
        </w:rPr>
        <w:t xml:space="preserve">Nafarroan ziberdelinkuentzia 2020an % 39,1 igo dela jakin ondoren,</w:t>
      </w:r>
    </w:p>
    <w:p>
      <w:pPr>
        <w:pStyle w:val="0"/>
        <w:suppressAutoHyphens w:val="false"/>
        <w:rPr>
          <w:rStyle w:val="1"/>
        </w:rPr>
      </w:pPr>
      <w:r>
        <w:rPr>
          <w:rStyle w:val="1"/>
        </w:rPr>
        <w:t xml:space="preserve">Zer neurri ari dira hartzen nafar herritarren aurkako delinkuentzia-mota horrekin amaitzeko?</w:t>
      </w:r>
    </w:p>
    <w:p>
      <w:pPr>
        <w:pStyle w:val="0"/>
        <w:suppressAutoHyphens w:val="false"/>
        <w:rPr>
          <w:rStyle w:val="1"/>
        </w:rPr>
      </w:pPr>
      <w:r>
        <w:rPr>
          <w:rStyle w:val="1"/>
        </w:rPr>
        <w:t xml:space="preserve">Iruñean, 2021eko irailaren 30ean</w:t>
      </w:r>
    </w:p>
    <w:p>
      <w:pPr>
        <w:pStyle w:val="0"/>
        <w:suppressAutoHyphens w:val="false"/>
        <w:rPr>
          <w:rStyle w:val="1"/>
        </w:rPr>
      </w:pPr>
      <w:r>
        <w:rPr>
          <w:rStyle w:val="1"/>
        </w:rPr>
        <w:t xml:space="preserve">Foru parlamentaria: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