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TICS-SCHOOL. Softwarearen garapeneko espezialitate berrietan profesionalak prestatzea eta enpresa-ehunaren nahiz Nafarroako zerbitzu publikoen eraldaketa digitalerako behar diren konponbideak ezartzea” jarduketarako laguntza teknikoa kontrat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10-21/PES-00267) egin du REACT EU Navarra funtsetako “TICS-SCHOOL. Softwarearen garapeneko espezialitate berrietan profesionalak prestatzea eta Nafarroako enpresa-ehunduraren nahiz zerbitzu publikoen eraldaketa digitalerako behar diren konponbideak ezartzea” neurria dela-eta aurreikusitako laguntza teknikoari buruz .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