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B43D" w14:textId="77777777" w:rsidR="007F0398" w:rsidRDefault="009573E3" w:rsidP="00E44044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La </w:t>
      </w:r>
      <w:proofErr w:type="gramStart"/>
      <w:r>
        <w:rPr>
          <w:rFonts w:cs="Arial"/>
          <w:sz w:val="22"/>
          <w:szCs w:val="22"/>
        </w:rPr>
        <w:t>Consejera</w:t>
      </w:r>
      <w:proofErr w:type="gramEnd"/>
      <w:r w:rsidR="00E44044">
        <w:rPr>
          <w:rFonts w:cs="Arial"/>
          <w:sz w:val="22"/>
          <w:szCs w:val="22"/>
        </w:rPr>
        <w:t xml:space="preserve"> de Desarrollo Rural </w:t>
      </w:r>
      <w:r w:rsidR="007F0398">
        <w:rPr>
          <w:rFonts w:cs="Arial"/>
          <w:sz w:val="22"/>
          <w:szCs w:val="22"/>
        </w:rPr>
        <w:t xml:space="preserve">y </w:t>
      </w:r>
      <w:r w:rsidR="00E44044">
        <w:rPr>
          <w:rFonts w:cs="Arial"/>
          <w:sz w:val="22"/>
          <w:szCs w:val="22"/>
        </w:rPr>
        <w:t>Medio Ambiente</w:t>
      </w:r>
      <w:r w:rsidRPr="00901293">
        <w:rPr>
          <w:rFonts w:cs="Arial"/>
          <w:sz w:val="22"/>
          <w:szCs w:val="22"/>
        </w:rPr>
        <w:t xml:space="preserve">, en relación con la pregunta para su contestación por escrito formulada por </w:t>
      </w:r>
      <w:r w:rsidR="00AE2D76">
        <w:rPr>
          <w:rFonts w:cs="Arial"/>
          <w:sz w:val="22"/>
          <w:szCs w:val="22"/>
        </w:rPr>
        <w:t xml:space="preserve">el </w:t>
      </w:r>
      <w:r w:rsidR="00506F4C">
        <w:rPr>
          <w:rFonts w:cs="Arial"/>
          <w:sz w:val="22"/>
          <w:szCs w:val="22"/>
        </w:rPr>
        <w:t>Parlamentario Foral Ilustrísimo Sr. D.</w:t>
      </w:r>
      <w:r w:rsidR="003E2751">
        <w:rPr>
          <w:rFonts w:cs="Arial"/>
          <w:sz w:val="22"/>
          <w:szCs w:val="22"/>
        </w:rPr>
        <w:t xml:space="preserve"> Adolfo Araiz Flamarique,</w:t>
      </w:r>
      <w:r w:rsidR="003E2751" w:rsidRPr="003E2751">
        <w:rPr>
          <w:rFonts w:cs="Arial"/>
          <w:sz w:val="22"/>
          <w:szCs w:val="22"/>
        </w:rPr>
        <w:t xml:space="preserve"> </w:t>
      </w:r>
      <w:r w:rsidR="00AE2D76">
        <w:rPr>
          <w:rFonts w:cs="Arial"/>
          <w:sz w:val="22"/>
          <w:szCs w:val="22"/>
        </w:rPr>
        <w:t>adscrito</w:t>
      </w:r>
      <w:r w:rsidR="009F7AE0">
        <w:rPr>
          <w:rFonts w:cs="Arial"/>
          <w:sz w:val="22"/>
          <w:szCs w:val="22"/>
        </w:rPr>
        <w:t xml:space="preserve"> al Grupo Parlamentario</w:t>
      </w:r>
      <w:r w:rsidR="003E2751">
        <w:rPr>
          <w:rFonts w:cs="Arial"/>
          <w:sz w:val="22"/>
          <w:szCs w:val="22"/>
        </w:rPr>
        <w:t xml:space="preserve"> </w:t>
      </w:r>
      <w:r w:rsidR="003E2751" w:rsidRPr="003E2751">
        <w:rPr>
          <w:rFonts w:cs="Arial"/>
          <w:sz w:val="22"/>
          <w:szCs w:val="22"/>
        </w:rPr>
        <w:t xml:space="preserve">EH </w:t>
      </w:r>
      <w:r w:rsidR="007F0398" w:rsidRPr="003E2751">
        <w:rPr>
          <w:rFonts w:cs="Arial"/>
          <w:sz w:val="22"/>
          <w:szCs w:val="22"/>
        </w:rPr>
        <w:t>Bildu Nafarroa</w:t>
      </w:r>
      <w:r w:rsidRPr="00901293">
        <w:rPr>
          <w:rFonts w:cs="Arial"/>
          <w:sz w:val="22"/>
          <w:szCs w:val="22"/>
        </w:rPr>
        <w:t xml:space="preserve">, </w:t>
      </w:r>
      <w:r w:rsidR="00E44044" w:rsidRPr="00E44044">
        <w:rPr>
          <w:rFonts w:cs="Arial"/>
          <w:sz w:val="22"/>
          <w:szCs w:val="22"/>
        </w:rPr>
        <w:t>sobre</w:t>
      </w:r>
      <w:r w:rsidR="003E2751">
        <w:rPr>
          <w:rFonts w:cs="Arial"/>
          <w:sz w:val="22"/>
          <w:szCs w:val="22"/>
        </w:rPr>
        <w:t xml:space="preserve"> las d</w:t>
      </w:r>
      <w:r w:rsidR="003E2751" w:rsidRPr="003E2751">
        <w:rPr>
          <w:rFonts w:cs="Arial"/>
          <w:sz w:val="22"/>
          <w:szCs w:val="22"/>
        </w:rPr>
        <w:t>eclaraciones de emisiones de CO</w:t>
      </w:r>
      <w:r w:rsidR="003E2751" w:rsidRPr="007F0398">
        <w:rPr>
          <w:rFonts w:cs="Arial"/>
          <w:szCs w:val="24"/>
          <w:vertAlign w:val="subscript"/>
        </w:rPr>
        <w:t>2</w:t>
      </w:r>
      <w:r w:rsidR="003E2751" w:rsidRPr="003E2751">
        <w:rPr>
          <w:rFonts w:cs="Arial"/>
          <w:sz w:val="22"/>
          <w:szCs w:val="22"/>
        </w:rPr>
        <w:t xml:space="preserve"> de la </w:t>
      </w:r>
      <w:proofErr w:type="spellStart"/>
      <w:r w:rsidR="003E2751" w:rsidRPr="003E2751">
        <w:rPr>
          <w:rFonts w:cs="Arial"/>
          <w:sz w:val="22"/>
          <w:szCs w:val="22"/>
        </w:rPr>
        <w:t>macrogranja</w:t>
      </w:r>
      <w:proofErr w:type="spellEnd"/>
      <w:r w:rsidR="003E2751" w:rsidRPr="003E2751">
        <w:rPr>
          <w:rFonts w:cs="Arial"/>
          <w:sz w:val="22"/>
          <w:szCs w:val="22"/>
        </w:rPr>
        <w:t xml:space="preserve"> y planta de biogás de Caparroso</w:t>
      </w:r>
      <w:r w:rsidR="009F7AE0">
        <w:rPr>
          <w:rFonts w:cs="Arial"/>
          <w:sz w:val="22"/>
          <w:szCs w:val="22"/>
        </w:rPr>
        <w:t xml:space="preserve"> </w:t>
      </w:r>
      <w:r w:rsidR="00901293" w:rsidRPr="00901293">
        <w:rPr>
          <w:rFonts w:cs="Arial"/>
          <w:sz w:val="22"/>
          <w:szCs w:val="22"/>
        </w:rPr>
        <w:t>(</w:t>
      </w:r>
      <w:r w:rsidR="003E2751" w:rsidRPr="003E2751">
        <w:rPr>
          <w:rFonts w:cs="Arial"/>
          <w:sz w:val="22"/>
          <w:szCs w:val="22"/>
        </w:rPr>
        <w:t>10-21-PES-00288</w:t>
      </w:r>
      <w:r w:rsidR="00901293" w:rsidRPr="009F7AE0">
        <w:rPr>
          <w:rFonts w:cs="Arial"/>
          <w:sz w:val="22"/>
          <w:szCs w:val="22"/>
        </w:rPr>
        <w:t>)</w:t>
      </w:r>
      <w:r w:rsidR="00901293" w:rsidRPr="00901293">
        <w:rPr>
          <w:rFonts w:cs="Arial"/>
          <w:sz w:val="22"/>
          <w:szCs w:val="22"/>
        </w:rPr>
        <w:t>, tiene el honor de remitirle la siguiente contestación:</w:t>
      </w:r>
    </w:p>
    <w:p w14:paraId="51735124" w14:textId="77777777" w:rsidR="007F0398" w:rsidRDefault="007A5C50" w:rsidP="007A5C50">
      <w:pPr>
        <w:pStyle w:val="Textoindependiente"/>
        <w:spacing w:line="360" w:lineRule="auto"/>
        <w:rPr>
          <w:rFonts w:cs="Arial"/>
          <w:sz w:val="22"/>
          <w:szCs w:val="22"/>
        </w:rPr>
      </w:pPr>
      <w:r w:rsidRPr="007A5C50">
        <w:rPr>
          <w:rFonts w:cs="Arial"/>
          <w:sz w:val="22"/>
          <w:szCs w:val="22"/>
        </w:rPr>
        <w:t xml:space="preserve">1.- ¿Considera el Gobierno de Navarra que las instalaciones de la </w:t>
      </w:r>
      <w:proofErr w:type="spellStart"/>
      <w:r w:rsidRPr="007A5C50">
        <w:rPr>
          <w:rFonts w:cs="Arial"/>
          <w:sz w:val="22"/>
          <w:szCs w:val="22"/>
        </w:rPr>
        <w:t>macrogranja</w:t>
      </w:r>
      <w:proofErr w:type="spellEnd"/>
      <w:r w:rsidRPr="007A5C50">
        <w:rPr>
          <w:rFonts w:cs="Arial"/>
          <w:sz w:val="22"/>
          <w:szCs w:val="22"/>
        </w:rPr>
        <w:t xml:space="preserve"> y la planta de biogás de Caparroso, cuyos los titulares son Valle de Odieta, S.C.L. y HTN SL, que disponen de una de la Autorización Ambiental Integrada, deben estar sometidos a las obligaciones de comunicar las emisiones de </w:t>
      </w:r>
      <w:r w:rsidR="007F0398" w:rsidRPr="003E2751">
        <w:rPr>
          <w:rFonts w:cs="Arial"/>
          <w:sz w:val="22"/>
          <w:szCs w:val="22"/>
        </w:rPr>
        <w:t>CO</w:t>
      </w:r>
      <w:r w:rsidR="007F0398" w:rsidRPr="007F0398">
        <w:rPr>
          <w:rFonts w:cs="Arial"/>
          <w:szCs w:val="24"/>
          <w:vertAlign w:val="subscript"/>
        </w:rPr>
        <w:t>2</w:t>
      </w:r>
      <w:r w:rsidR="007F0398" w:rsidRPr="003E2751">
        <w:rPr>
          <w:rFonts w:cs="Arial"/>
          <w:sz w:val="22"/>
          <w:szCs w:val="22"/>
        </w:rPr>
        <w:t xml:space="preserve"> </w:t>
      </w:r>
      <w:r w:rsidRPr="007A5C50">
        <w:rPr>
          <w:rFonts w:cs="Arial"/>
          <w:sz w:val="22"/>
          <w:szCs w:val="22"/>
        </w:rPr>
        <w:t>derivadas de la Ley 34/2007?</w:t>
      </w:r>
    </w:p>
    <w:p w14:paraId="4FFCA8C5" w14:textId="77777777" w:rsidR="007F0398" w:rsidRDefault="007A5C50" w:rsidP="007A5C50">
      <w:pPr>
        <w:pStyle w:val="Textoindependiente"/>
        <w:spacing w:line="360" w:lineRule="auto"/>
        <w:rPr>
          <w:rFonts w:cs="Arial"/>
          <w:sz w:val="22"/>
          <w:szCs w:val="22"/>
        </w:rPr>
      </w:pPr>
      <w:r w:rsidRPr="007A5C50">
        <w:rPr>
          <w:rFonts w:cs="Arial"/>
          <w:sz w:val="22"/>
          <w:szCs w:val="22"/>
        </w:rPr>
        <w:t xml:space="preserve">La Ley 34/2007, de 15 de noviembre, de calidad del aire y protección de la atmósfera, no establece la necesidad de comunicar emisiones de ningún tipo. La obligación de comunicar las emisiones de </w:t>
      </w:r>
      <w:r w:rsidR="007F0398" w:rsidRPr="003E2751">
        <w:rPr>
          <w:rFonts w:cs="Arial"/>
          <w:sz w:val="22"/>
          <w:szCs w:val="22"/>
        </w:rPr>
        <w:t>CO</w:t>
      </w:r>
      <w:r w:rsidR="007F0398" w:rsidRPr="007F0398">
        <w:rPr>
          <w:rFonts w:cs="Arial"/>
          <w:szCs w:val="24"/>
          <w:vertAlign w:val="subscript"/>
        </w:rPr>
        <w:t>2</w:t>
      </w:r>
      <w:r w:rsidR="007F0398" w:rsidRPr="003E2751">
        <w:rPr>
          <w:rFonts w:cs="Arial"/>
          <w:sz w:val="22"/>
          <w:szCs w:val="22"/>
        </w:rPr>
        <w:t xml:space="preserve"> </w:t>
      </w:r>
      <w:r w:rsidRPr="007A5C50">
        <w:rPr>
          <w:rFonts w:cs="Arial"/>
          <w:sz w:val="22"/>
          <w:szCs w:val="22"/>
        </w:rPr>
        <w:t xml:space="preserve">que se consideran en la pregunta parlamentaria pueden referirse a las obligaciones derivadas de la aplicación de la Ley 1/2005, de 9 de marzo, por la que se regula el régimen del comercio de derechos de emisión de gases de efecto invernadero, o al Real Decreto 508/2007, de 20 de abril, por el que se regula el suministro de información sobre emisiones del Reglamento E-PRTR y de las autorizaciones ambientales integradas. </w:t>
      </w:r>
    </w:p>
    <w:p w14:paraId="2AE36D7A" w14:textId="77777777" w:rsidR="007F0398" w:rsidRDefault="007A5C50" w:rsidP="007A5C50">
      <w:pPr>
        <w:pStyle w:val="Textoindependiente"/>
        <w:spacing w:line="360" w:lineRule="auto"/>
        <w:rPr>
          <w:rFonts w:cs="Arial"/>
          <w:sz w:val="22"/>
          <w:szCs w:val="22"/>
        </w:rPr>
      </w:pPr>
      <w:r w:rsidRPr="007A5C50">
        <w:rPr>
          <w:rFonts w:cs="Arial"/>
          <w:sz w:val="22"/>
          <w:szCs w:val="22"/>
        </w:rPr>
        <w:t>Cabe señalar a este respecto que ni la actividad desarrollada por HTN, S.L. ni la actividad desarrollada por Valle de Odieta, S.C.L. se hallan incluidas en el ámbito de aplicación de la Ley 1/2005.</w:t>
      </w:r>
    </w:p>
    <w:p w14:paraId="71EBA7FA" w14:textId="77777777" w:rsidR="007A5C50" w:rsidRPr="007A5C50" w:rsidRDefault="007A5C50" w:rsidP="007A5C50">
      <w:pPr>
        <w:pStyle w:val="Textoindependiente"/>
        <w:spacing w:line="360" w:lineRule="auto"/>
        <w:rPr>
          <w:rFonts w:cs="Arial"/>
          <w:sz w:val="22"/>
          <w:szCs w:val="22"/>
        </w:rPr>
      </w:pPr>
      <w:r w:rsidRPr="007A5C50">
        <w:rPr>
          <w:rFonts w:cs="Arial"/>
          <w:sz w:val="22"/>
          <w:szCs w:val="22"/>
        </w:rPr>
        <w:t>La obligación de notificar resultados de emisiones o vertidos por ciertas instalaciones industriales está recogida en el Real Decreto 508/2007, de 20 de abril, por el que se regula el suministro de información sobre emisiones del Reglamento E-PRTR y de las autorizaciones ambientales integradas y en su revisión mediante el Real Decreto 773/2017, de 28 de julio, por el que se modifican diversos reales decretos en materia de productos y emisiones industriales.</w:t>
      </w:r>
    </w:p>
    <w:p w14:paraId="789806AC" w14:textId="77777777" w:rsidR="007F0398" w:rsidRDefault="007A5C50" w:rsidP="007A5C50">
      <w:pPr>
        <w:pStyle w:val="Textoindependiente"/>
        <w:spacing w:line="360" w:lineRule="auto"/>
        <w:rPr>
          <w:rFonts w:cs="Arial"/>
          <w:sz w:val="22"/>
          <w:szCs w:val="22"/>
        </w:rPr>
      </w:pPr>
      <w:r w:rsidRPr="007A5C50">
        <w:rPr>
          <w:rFonts w:cs="Arial"/>
          <w:sz w:val="22"/>
          <w:szCs w:val="22"/>
        </w:rPr>
        <w:t xml:space="preserve">Dicha obligación es únicamente aplicable a la instalación de HTN, a partir de la entrada en vigor del Real Decreto 773/2017, por encontrarse incluida en el epígrafe 5.4 “Valorización, o una mezcla de valorización y eliminación, de residuos no peligrosos con una capacidad superior a 75 toneladas por día que incluyan una o más de las siguientes actividades, excluyendo las incluidas en el Real Decreto-Ley 11/1995, de 28 de diciembre, por el que se establecen las normas aplicables al tratamiento de las aguas residuales urbanas. Cuando la única actividad de tratamiento de residuos que se lleve a cabo en la instalación sea la digestión anaeróbica, los umbrales de capacidad para esta actividad serán de 100 toneladas al día”, del capítulo 1 del Anejo I. Es esta instalación y dentro de este marco normativo la </w:t>
      </w:r>
      <w:r w:rsidRPr="007A5C50">
        <w:rPr>
          <w:rFonts w:cs="Arial"/>
          <w:sz w:val="22"/>
          <w:szCs w:val="22"/>
        </w:rPr>
        <w:lastRenderedPageBreak/>
        <w:t xml:space="preserve">que está obligada a notificar las emisiones de </w:t>
      </w:r>
      <w:r w:rsidR="007F0398" w:rsidRPr="003E2751">
        <w:rPr>
          <w:rFonts w:cs="Arial"/>
          <w:sz w:val="22"/>
          <w:szCs w:val="22"/>
        </w:rPr>
        <w:t>CO</w:t>
      </w:r>
      <w:r w:rsidR="007F0398" w:rsidRPr="007F0398">
        <w:rPr>
          <w:rFonts w:cs="Arial"/>
          <w:szCs w:val="24"/>
          <w:vertAlign w:val="subscript"/>
        </w:rPr>
        <w:t>2</w:t>
      </w:r>
      <w:r w:rsidR="007F0398" w:rsidRPr="003E2751">
        <w:rPr>
          <w:rFonts w:cs="Arial"/>
          <w:sz w:val="22"/>
          <w:szCs w:val="22"/>
        </w:rPr>
        <w:t xml:space="preserve"> </w:t>
      </w:r>
      <w:r w:rsidRPr="007A5C50">
        <w:rPr>
          <w:rFonts w:cs="Arial"/>
          <w:sz w:val="22"/>
          <w:szCs w:val="22"/>
        </w:rPr>
        <w:t>en las condiciones que se detallan en la respuesta a la tercera pregunta.</w:t>
      </w:r>
    </w:p>
    <w:p w14:paraId="7B44E134" w14:textId="77777777" w:rsidR="007F0398" w:rsidRDefault="007A5C50" w:rsidP="007A5C50">
      <w:pPr>
        <w:pStyle w:val="Textoindependiente"/>
        <w:spacing w:line="360" w:lineRule="auto"/>
        <w:rPr>
          <w:rFonts w:cs="Arial"/>
          <w:sz w:val="22"/>
          <w:szCs w:val="22"/>
        </w:rPr>
      </w:pPr>
      <w:r w:rsidRPr="007A5C50">
        <w:rPr>
          <w:rFonts w:cs="Arial"/>
          <w:sz w:val="22"/>
          <w:szCs w:val="22"/>
        </w:rPr>
        <w:t xml:space="preserve">2.- ¿Considera el Gobierno que las actividades autorizadas en esas instalaciones (ganadería intensiva con más de 7000 cabezas de ganado y planta de </w:t>
      </w:r>
      <w:proofErr w:type="spellStart"/>
      <w:r w:rsidRPr="007A5C50">
        <w:rPr>
          <w:rFonts w:cs="Arial"/>
          <w:sz w:val="22"/>
          <w:szCs w:val="22"/>
        </w:rPr>
        <w:t>biometanización</w:t>
      </w:r>
      <w:proofErr w:type="spellEnd"/>
      <w:r w:rsidRPr="007A5C50">
        <w:rPr>
          <w:rFonts w:cs="Arial"/>
          <w:sz w:val="22"/>
          <w:szCs w:val="22"/>
        </w:rPr>
        <w:t>) están dentro de las reguladas por el Real Decreto 100/2011, de 28 de enero, por el que se actualiza el catálogo de actividades potencialmente contaminadoras de la atmósfera y se establecen las disposiciones básicas para su aplicación con las obligaciones sobre comunicación y publicidad se derivan?</w:t>
      </w:r>
    </w:p>
    <w:p w14:paraId="1C807750" w14:textId="77777777" w:rsidR="007F0398" w:rsidRDefault="007A5C50" w:rsidP="007A5C50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7A5C50">
        <w:rPr>
          <w:rFonts w:cs="Arial"/>
          <w:sz w:val="22"/>
          <w:szCs w:val="22"/>
        </w:rPr>
        <w:t xml:space="preserve">Ambas actividades se encuentran incluidas en el ámbito de aplicación del Real Decreto 100/2011, de 28 de enero, por el que se actualiza el catálogo de actividades potencialmente contaminadoras de la atmósfera y se establecen las disposiciones básicas para su aplicación. En concreto, en los epígrafes B 09 10 09 02 “Valorización no energética de residuos peligrosos con capacidad &lt;= 10 t/día o de residuos no peligrosos con capacidad &gt; 50 t /día”, en el caso de HTN, y B 10 04 02 01” Otro ganado vacuno. Instalaciones con capacidad =&gt; 600 cabezas”, en el caso de Valle de </w:t>
      </w:r>
      <w:proofErr w:type="spellStart"/>
      <w:r w:rsidRPr="007A5C50">
        <w:rPr>
          <w:rFonts w:cs="Arial"/>
          <w:sz w:val="22"/>
          <w:szCs w:val="22"/>
        </w:rPr>
        <w:t>Odieta</w:t>
      </w:r>
      <w:proofErr w:type="spellEnd"/>
      <w:r w:rsidRPr="007A5C50">
        <w:rPr>
          <w:rFonts w:cs="Arial"/>
          <w:sz w:val="22"/>
          <w:szCs w:val="22"/>
        </w:rPr>
        <w:t>.</w:t>
      </w:r>
    </w:p>
    <w:p w14:paraId="076DEF70" w14:textId="77777777" w:rsidR="00977BDB" w:rsidRPr="00977BDB" w:rsidRDefault="00977BDB" w:rsidP="00977BDB">
      <w:pPr>
        <w:pStyle w:val="Textoindependiente"/>
        <w:spacing w:line="360" w:lineRule="auto"/>
        <w:rPr>
          <w:rFonts w:cs="Arial"/>
          <w:sz w:val="22"/>
          <w:szCs w:val="22"/>
        </w:rPr>
      </w:pPr>
      <w:r w:rsidRPr="00977BDB">
        <w:rPr>
          <w:rFonts w:cs="Arial"/>
          <w:sz w:val="22"/>
          <w:szCs w:val="22"/>
        </w:rPr>
        <w:t xml:space="preserve">En todo caso, las obligaciones de notificación derivadas de la aplicación de esta norma y de la mencionada Ley 34/2007, no están referidas a la notificación de datos de emisión de </w:t>
      </w:r>
      <w:r w:rsidR="007F0398">
        <w:rPr>
          <w:rFonts w:cs="Arial"/>
          <w:sz w:val="22"/>
          <w:szCs w:val="22"/>
        </w:rPr>
        <w:t>CO</w:t>
      </w:r>
      <w:r w:rsidR="007F0398">
        <w:rPr>
          <w:rFonts w:cs="Arial"/>
          <w:szCs w:val="24"/>
          <w:vertAlign w:val="subscript"/>
        </w:rPr>
        <w:t>2</w:t>
      </w:r>
      <w:r w:rsidRPr="00977BDB">
        <w:rPr>
          <w:rFonts w:cs="Arial"/>
          <w:sz w:val="22"/>
          <w:szCs w:val="22"/>
        </w:rPr>
        <w:t xml:space="preserve">.  </w:t>
      </w:r>
    </w:p>
    <w:p w14:paraId="1F875815" w14:textId="77777777" w:rsidR="007F0398" w:rsidRDefault="00977BDB" w:rsidP="00977BDB">
      <w:pPr>
        <w:pStyle w:val="Textoindependiente"/>
        <w:spacing w:line="360" w:lineRule="auto"/>
        <w:rPr>
          <w:rFonts w:cs="Arial"/>
          <w:sz w:val="22"/>
          <w:szCs w:val="22"/>
        </w:rPr>
      </w:pPr>
      <w:r w:rsidRPr="00977BDB">
        <w:rPr>
          <w:rFonts w:cs="Arial"/>
          <w:sz w:val="22"/>
          <w:szCs w:val="22"/>
        </w:rPr>
        <w:t xml:space="preserve">3.- ¿Qué declaraciones de emisiones han realizado esas empresas desde 2010 a 2020 sobre emisiones de </w:t>
      </w:r>
      <w:r w:rsidR="007F0398" w:rsidRPr="003E2751">
        <w:rPr>
          <w:rFonts w:cs="Arial"/>
          <w:sz w:val="22"/>
          <w:szCs w:val="22"/>
        </w:rPr>
        <w:t>CO</w:t>
      </w:r>
      <w:r w:rsidR="007F0398" w:rsidRPr="007F0398">
        <w:rPr>
          <w:rFonts w:cs="Arial"/>
          <w:szCs w:val="24"/>
          <w:vertAlign w:val="subscript"/>
        </w:rPr>
        <w:t>2</w:t>
      </w:r>
      <w:r w:rsidRPr="00977BDB">
        <w:rPr>
          <w:rFonts w:cs="Arial"/>
          <w:sz w:val="22"/>
          <w:szCs w:val="22"/>
        </w:rPr>
        <w:t>? ¿Con qué contenido?</w:t>
      </w:r>
    </w:p>
    <w:p w14:paraId="264AE08B" w14:textId="77777777" w:rsidR="007F0398" w:rsidRDefault="00977BDB" w:rsidP="00977BDB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977BDB">
        <w:rPr>
          <w:rFonts w:cs="Arial"/>
          <w:sz w:val="22"/>
          <w:szCs w:val="22"/>
        </w:rPr>
        <w:t>Han sido notificados al registro PRTR los datos de emisiones atmosféricas correspondientes a HTN durante los años 2019 y 2020, calculados a partir del biogás utilizado en los motores de cogeneración, según notificación del titular y basado en las lecturas de los caudalímetros, y de los factores de emisión facilitados por el Gobierno de Navarra en el siguiente enlace: https://www.navarra.es/NR/rdonlyres/E2575175-56E9-48E5-A44F-7718B5DA5DED/440514/Factoresdeemision2018.pdf</w:t>
      </w:r>
    </w:p>
    <w:p w14:paraId="2194EFD7" w14:textId="77777777" w:rsidR="007F0398" w:rsidRDefault="00E44044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01293">
        <w:rPr>
          <w:rFonts w:ascii="Arial" w:hAnsi="Arial" w:cs="Arial"/>
          <w:sz w:val="22"/>
          <w:szCs w:val="22"/>
        </w:rPr>
        <w:t xml:space="preserve">Pamplona, </w:t>
      </w:r>
      <w:r w:rsidR="00105B75">
        <w:rPr>
          <w:rFonts w:ascii="Arial" w:hAnsi="Arial" w:cs="Arial"/>
          <w:sz w:val="22"/>
          <w:szCs w:val="22"/>
        </w:rPr>
        <w:t>27</w:t>
      </w:r>
      <w:r w:rsidR="007A5C50">
        <w:rPr>
          <w:rFonts w:ascii="Arial" w:hAnsi="Arial" w:cs="Arial"/>
          <w:sz w:val="22"/>
          <w:szCs w:val="22"/>
        </w:rPr>
        <w:t xml:space="preserve"> de octubre de 2021</w:t>
      </w:r>
    </w:p>
    <w:p w14:paraId="69C1DF8C" w14:textId="77777777" w:rsidR="007F0398" w:rsidRDefault="007F0398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F0398">
        <w:rPr>
          <w:rFonts w:ascii="Arial" w:hAnsi="Arial" w:cs="Arial"/>
          <w:sz w:val="22"/>
          <w:szCs w:val="22"/>
        </w:rPr>
        <w:t>La Consejera de Desarrollo Rural y Medio Ambiente</w:t>
      </w:r>
      <w:r>
        <w:rPr>
          <w:rFonts w:ascii="Arial" w:hAnsi="Arial" w:cs="Arial"/>
          <w:sz w:val="22"/>
          <w:szCs w:val="22"/>
        </w:rPr>
        <w:t xml:space="preserve">: </w:t>
      </w:r>
      <w:r w:rsidR="00E44044">
        <w:rPr>
          <w:rFonts w:ascii="Arial" w:hAnsi="Arial" w:cs="Arial"/>
          <w:sz w:val="22"/>
          <w:szCs w:val="22"/>
        </w:rPr>
        <w:t>Itziar Gómez López</w:t>
      </w:r>
    </w:p>
    <w:p w14:paraId="4DA9F2E6" w14:textId="77777777" w:rsidR="00E44044" w:rsidRDefault="00E44044" w:rsidP="002C487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E44044" w:rsidSect="00F008A3">
      <w:headerReference w:type="default" r:id="rId8"/>
      <w:footerReference w:type="first" r:id="rId9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D8A1" w14:textId="77777777" w:rsidR="00A664BC" w:rsidRDefault="00A664BC">
      <w:r>
        <w:separator/>
      </w:r>
    </w:p>
  </w:endnote>
  <w:endnote w:type="continuationSeparator" w:id="0">
    <w:p w14:paraId="19759F62" w14:textId="77777777" w:rsidR="00A664BC" w:rsidRDefault="00A6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6692" w14:textId="77777777" w:rsidR="0051364C" w:rsidRPr="00124D6B" w:rsidRDefault="0051364C" w:rsidP="0051364C">
    <w:pPr>
      <w:pStyle w:val="Piedepgina"/>
      <w:rPr>
        <w:sz w:val="14"/>
        <w:szCs w:val="14"/>
      </w:rPr>
    </w:pPr>
    <w:r>
      <w:tab/>
    </w:r>
    <w:r>
      <w:rPr>
        <w:sz w:val="12"/>
      </w:rPr>
      <w:tab/>
    </w:r>
  </w:p>
  <w:p w14:paraId="6BE4B7A4" w14:textId="77777777" w:rsidR="0051364C" w:rsidRDefault="00513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30C2" w14:textId="77777777" w:rsidR="00A664BC" w:rsidRDefault="00A664BC">
      <w:r>
        <w:separator/>
      </w:r>
    </w:p>
  </w:footnote>
  <w:footnote w:type="continuationSeparator" w:id="0">
    <w:p w14:paraId="64C103B3" w14:textId="77777777" w:rsidR="00A664BC" w:rsidRDefault="00A6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2603"/>
      <w:gridCol w:w="515"/>
      <w:gridCol w:w="2835"/>
    </w:tblGrid>
    <w:tr w:rsidR="00E44044" w14:paraId="5E20C290" w14:textId="77777777" w:rsidTr="003B78C2">
      <w:trPr>
        <w:jc w:val="right"/>
      </w:trPr>
      <w:tc>
        <w:tcPr>
          <w:tcW w:w="2603" w:type="dxa"/>
        </w:tcPr>
        <w:p w14:paraId="7921228E" w14:textId="77777777" w:rsidR="00E44044" w:rsidRDefault="00E44044" w:rsidP="0087671F">
          <w:pPr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515" w:type="dxa"/>
        </w:tcPr>
        <w:p w14:paraId="0737A1A4" w14:textId="77777777"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2835" w:type="dxa"/>
        </w:tcPr>
        <w:p w14:paraId="7C40D463" w14:textId="77777777"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</w:p>
      </w:tc>
    </w:tr>
  </w:tbl>
  <w:p w14:paraId="29D4FE08" w14:textId="77777777" w:rsidR="0041058C" w:rsidRDefault="0041058C" w:rsidP="0041058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F393A"/>
    <w:multiLevelType w:val="hybridMultilevel"/>
    <w:tmpl w:val="E6840712"/>
    <w:lvl w:ilvl="0" w:tplc="D646D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220335"/>
    <w:multiLevelType w:val="hybridMultilevel"/>
    <w:tmpl w:val="8A34854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DC3975"/>
    <w:multiLevelType w:val="hybridMultilevel"/>
    <w:tmpl w:val="F5BCEC66"/>
    <w:lvl w:ilvl="0" w:tplc="64F2F2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258"/>
    <w:rsid w:val="000429E0"/>
    <w:rsid w:val="000608A6"/>
    <w:rsid w:val="00072C4F"/>
    <w:rsid w:val="0008313F"/>
    <w:rsid w:val="00097B20"/>
    <w:rsid w:val="000C4EA8"/>
    <w:rsid w:val="00105B75"/>
    <w:rsid w:val="00162111"/>
    <w:rsid w:val="001D3AA7"/>
    <w:rsid w:val="001E2EDF"/>
    <w:rsid w:val="00224D93"/>
    <w:rsid w:val="002364F6"/>
    <w:rsid w:val="0026616C"/>
    <w:rsid w:val="002A0B82"/>
    <w:rsid w:val="002A0F33"/>
    <w:rsid w:val="002A528F"/>
    <w:rsid w:val="002A7F52"/>
    <w:rsid w:val="002B0435"/>
    <w:rsid w:val="002C487D"/>
    <w:rsid w:val="002D7F3F"/>
    <w:rsid w:val="002F09BF"/>
    <w:rsid w:val="0030333F"/>
    <w:rsid w:val="00313027"/>
    <w:rsid w:val="00330BEB"/>
    <w:rsid w:val="00335D98"/>
    <w:rsid w:val="00354E75"/>
    <w:rsid w:val="0037010A"/>
    <w:rsid w:val="003B78C2"/>
    <w:rsid w:val="003E2751"/>
    <w:rsid w:val="003F202A"/>
    <w:rsid w:val="004036F1"/>
    <w:rsid w:val="0041058C"/>
    <w:rsid w:val="00440B04"/>
    <w:rsid w:val="00453C47"/>
    <w:rsid w:val="0046104F"/>
    <w:rsid w:val="004E12F7"/>
    <w:rsid w:val="004F4DAA"/>
    <w:rsid w:val="00506F4C"/>
    <w:rsid w:val="0051364C"/>
    <w:rsid w:val="00592A62"/>
    <w:rsid w:val="005D18F1"/>
    <w:rsid w:val="005D420C"/>
    <w:rsid w:val="00612F2B"/>
    <w:rsid w:val="006309E1"/>
    <w:rsid w:val="006415DD"/>
    <w:rsid w:val="006620EA"/>
    <w:rsid w:val="00662C9C"/>
    <w:rsid w:val="00672223"/>
    <w:rsid w:val="006C3F95"/>
    <w:rsid w:val="006D7A7E"/>
    <w:rsid w:val="006E3228"/>
    <w:rsid w:val="0070568E"/>
    <w:rsid w:val="00710131"/>
    <w:rsid w:val="0073583F"/>
    <w:rsid w:val="00752DAD"/>
    <w:rsid w:val="007751A2"/>
    <w:rsid w:val="007A5C50"/>
    <w:rsid w:val="007B6AB3"/>
    <w:rsid w:val="007D3B60"/>
    <w:rsid w:val="007F0398"/>
    <w:rsid w:val="00807388"/>
    <w:rsid w:val="00820E88"/>
    <w:rsid w:val="00842199"/>
    <w:rsid w:val="008501A8"/>
    <w:rsid w:val="00862504"/>
    <w:rsid w:val="00886558"/>
    <w:rsid w:val="008932F8"/>
    <w:rsid w:val="008E7325"/>
    <w:rsid w:val="00901293"/>
    <w:rsid w:val="009222E1"/>
    <w:rsid w:val="009573E3"/>
    <w:rsid w:val="00966998"/>
    <w:rsid w:val="00977BDB"/>
    <w:rsid w:val="0099134F"/>
    <w:rsid w:val="009F7AE0"/>
    <w:rsid w:val="00A526BF"/>
    <w:rsid w:val="00A52CE4"/>
    <w:rsid w:val="00A572B9"/>
    <w:rsid w:val="00A664BC"/>
    <w:rsid w:val="00A77E30"/>
    <w:rsid w:val="00AA4C9C"/>
    <w:rsid w:val="00AE2D76"/>
    <w:rsid w:val="00B8751E"/>
    <w:rsid w:val="00BA2B0D"/>
    <w:rsid w:val="00BA3258"/>
    <w:rsid w:val="00BB0277"/>
    <w:rsid w:val="00BD7FDC"/>
    <w:rsid w:val="00BE0C7D"/>
    <w:rsid w:val="00BE0E56"/>
    <w:rsid w:val="00BF26FD"/>
    <w:rsid w:val="00BF58BB"/>
    <w:rsid w:val="00C0086A"/>
    <w:rsid w:val="00C14281"/>
    <w:rsid w:val="00C75BB9"/>
    <w:rsid w:val="00C8136E"/>
    <w:rsid w:val="00CE2258"/>
    <w:rsid w:val="00CE3A5E"/>
    <w:rsid w:val="00D32628"/>
    <w:rsid w:val="00D33F89"/>
    <w:rsid w:val="00D56BC4"/>
    <w:rsid w:val="00D81ABA"/>
    <w:rsid w:val="00D81E4B"/>
    <w:rsid w:val="00D92403"/>
    <w:rsid w:val="00DA210E"/>
    <w:rsid w:val="00DC4813"/>
    <w:rsid w:val="00DC4FB9"/>
    <w:rsid w:val="00E16985"/>
    <w:rsid w:val="00E26C65"/>
    <w:rsid w:val="00E320CB"/>
    <w:rsid w:val="00E44044"/>
    <w:rsid w:val="00E638E1"/>
    <w:rsid w:val="00E76CF6"/>
    <w:rsid w:val="00E85304"/>
    <w:rsid w:val="00E9767F"/>
    <w:rsid w:val="00EB02C9"/>
    <w:rsid w:val="00EC19B2"/>
    <w:rsid w:val="00EC430E"/>
    <w:rsid w:val="00EF6384"/>
    <w:rsid w:val="00F008A3"/>
    <w:rsid w:val="00F0596D"/>
    <w:rsid w:val="00F57AC4"/>
    <w:rsid w:val="00F63EC9"/>
    <w:rsid w:val="00F72A37"/>
    <w:rsid w:val="00F76EE5"/>
    <w:rsid w:val="00FA100F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0D5684"/>
  <w15:docId w15:val="{252FE330-6B27-49C8-B9A7-DBA04CE0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  <w:style w:type="paragraph" w:styleId="Subttulo">
    <w:name w:val="Subtitle"/>
    <w:basedOn w:val="Normal"/>
    <w:next w:val="Normal"/>
    <w:link w:val="SubttuloCar"/>
    <w:qFormat/>
    <w:rsid w:val="007F03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7F03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EE9F-A5B6-4975-A01C-9D371EA6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20</TotalTime>
  <Pages>2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Aranaz, Carlota</cp:lastModifiedBy>
  <cp:revision>11</cp:revision>
  <cp:lastPrinted>2018-10-04T09:14:00Z</cp:lastPrinted>
  <dcterms:created xsi:type="dcterms:W3CDTF">2021-02-11T11:34:00Z</dcterms:created>
  <dcterms:modified xsi:type="dcterms:W3CDTF">2021-12-30T10:56:00Z</dcterms:modified>
</cp:coreProperties>
</file>