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Juan Luis Sánchez de Muniáin Lacasia jaunak aurkeztutako galdera, Garraioaren hiriaren Udalez gaindiko Plan Sektoriala handitzea onestetik heldu diren administrazio-jarduketei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Juan Luis Sánchez de Munián Lacasia jaunak honako galdera hau aurkezten du, Nafarroako Gobernuko Lurralde Antolamenduko, Etxebizitzako, Paisaiako eta Proiektu Estrategikoetako kontseilariak Osoko Bilkuran ahoz erantzun dezan:</w:t>
      </w:r>
    </w:p>
    <w:p>
      <w:pPr>
        <w:pStyle w:val="0"/>
        <w:suppressAutoHyphens w:val="false"/>
        <w:rPr>
          <w:rStyle w:val="1"/>
        </w:rPr>
      </w:pPr>
      <w:r>
        <w:rPr>
          <w:rStyle w:val="1"/>
        </w:rPr>
        <w:t xml:space="preserve">Auzitegiek erabat deusez deklaratu ondoren Garraioaren hiriaren Udalez gaindiko Plan Sektoriala handitzearen onespena, zer administrazio-jarduketa geratu dira baliogabeturik deuseztasun horren ondorioz?</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