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Miguel Bujanda Cirauqui jaunak aurkezturiko galdera, Nekazaritzako elikagaien sektorea eta landa-eremua digitalizatzeko estrategiaren gaineko ekintza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departamentuak ba al du Nekazaritzako elikagaien sektorea eta landa-eremua digitalizatzeko estrategiaren gaineko ekintza planik?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epe darabilzue gogoan?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egin beharreko ekintzen eskema?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