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w:t>
        <w:softHyphen/>
        <w:t xml:space="preserve">rro</w:t>
        <w:softHyphen/>
        <w:t xml:space="preserve">a</w:t>
        <w:softHyphen/>
        <w:t xml:space="preserve">ko Par</w:t>
        <w:softHyphen/>
        <w:t xml:space="preserve">la</w:t>
        <w:softHyphen/>
        <w:t xml:space="preserve">men</w:t>
        <w:softHyphen/>
        <w:t xml:space="preserve">tu</w:t>
        <w:softHyphen/>
        <w:t xml:space="preserve">ko Mahai</w:t>
        <w:softHyphen/>
        <w:t xml:space="preserve">ak, 2022ko otsailaren 28an egin</w:t>
        <w:softHyphen/>
        <w:t xml:space="preserve">da</w:t>
        <w:softHyphen/>
        <w:t xml:space="preserve">ko bil</w:t>
        <w:softHyphen/>
        <w:t xml:space="preserve">ku</w:t>
        <w:softHyphen/>
        <w:t xml:space="preserve">ran, Ele</w:t>
        <w:softHyphen/>
        <w:t xml:space="preserve">du</w:t>
        <w:softHyphen/>
        <w:t xml:space="preserve">nen Ba</w:t>
        <w:softHyphen/>
        <w:softHyphen/>
        <w:softHyphen/>
        <w:softHyphen/>
        <w:softHyphen/>
        <w:softHyphen/>
        <w:softHyphen/>
        <w:softHyphen/>
        <w:softHyphen/>
        <w:t xml:space="preserve">tza</w:t>
        <w:softHyphen/>
        <w:t xml:space="preserve">rra</w:t>
        <w:softHyphen/>
        <w:t xml:space="preserve">ri en</w:t>
        <w:softHyphen/>
        <w:softHyphen/>
        <w:softHyphen/>
        <w:softHyphen/>
        <w:softHyphen/>
        <w:softHyphen/>
        <w:softHyphen/>
        <w:softHyphen/>
        <w:softHyphen/>
        <w:t xml:space="preserve">tzun ondo</w:t>
        <w:softHyphen/>
        <w:t xml:space="preserve">ren, hurren</w:t>
        <w:softHyphen/>
        <w:t xml:space="preserve">go era</w:t>
        <w:softHyphen/>
        <w:t xml:space="preserve">ba</w:t>
        <w:softHyphen/>
        <w:t xml:space="preserve">kia hartu zuen, bes</w:t>
        <w:softHyphen/>
        <w:t xml:space="preserve">te</w:t>
        <w:softHyphen/>
        <w:t xml:space="preserve">ak beste:</w:t>
      </w:r>
    </w:p>
    <w:p>
      <w:pPr>
        <w:pStyle w:val="0"/>
        <w:suppressAutoHyphens w:val="false"/>
        <w:rPr>
          <w:rStyle w:val="1"/>
        </w:rPr>
      </w:pPr>
      <w:r>
        <w:rPr>
          <w:rStyle w:val="1"/>
          <w:b w:val="true"/>
        </w:rPr>
        <w:t xml:space="preserve">1. </w:t>
      </w:r>
      <w:r>
        <w:rPr>
          <w:rStyle w:val="1"/>
        </w:rPr>
        <w:t xml:space="preserve">Izapide</w:t>
        <w:softHyphen/>
        <w:softHyphen/>
        <w:softHyphen/>
        <w:t xml:space="preserve">tzeko onar</w:t>
        <w:softHyphen/>
        <w:softHyphen/>
        <w:softHyphen/>
        <w:t xml:space="preserve">tzea Marta Álvarez Alonso andreak aurkezturiko mozioa, zeinaren bidez Nafarroako Gobernua premiatzen baita Parlamentuari 2022ko Irisgarritasun Plan Operatiboa igor diezaion.</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t xml:space="preserve">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w:t>
        <w:softHyphen/>
        <w:softHyphen/>
        <w:softHyphen/>
        <w:t xml:space="preserve">tzea, eta zuzenketak aurkezteko epea buka</w:t>
        <w:softHyphen/>
        <w:softHyphen/>
        <w:softHyphen/>
        <w:t xml:space="preserve">tzea eztabaidari ekiteko bilkura-egunaren aurrekoaren eguerdiko hamabietan.</w:t>
      </w:r>
    </w:p>
    <w:p>
      <w:pPr>
        <w:pStyle w:val="0"/>
        <w:suppressAutoHyphens w:val="false"/>
        <w:rPr>
          <w:rStyle w:val="1"/>
        </w:rPr>
      </w:pPr>
      <w:r>
        <w:rPr>
          <w:rStyle w:val="1"/>
        </w:rPr>
        <w:t xml:space="preserve">Iru</w:t>
        <w:softHyphen/>
        <w:t xml:space="preserve">ñe</w:t>
        <w:softHyphen/>
        <w:t xml:space="preserve">an, 2022ko otsailaren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(NA+) talde parlamentarioari atxikita dagoen Marta Álvarez Alonso andreak, Legebiltzarreko Erregelamenduan xedatuaren babesean, honako presako mozio hau aurkezten du, Lehendakaritzako, Berdintasuneko, Funtzio Publikoko eta Barneko Batzordean eztabaidatzeko:</w:t>
      </w:r>
    </w:p>
    <w:p>
      <w:pPr>
        <w:pStyle w:val="0"/>
        <w:suppressAutoHyphens w:val="false"/>
        <w:rPr>
          <w:rStyle w:val="1"/>
        </w:rPr>
      </w:pPr>
      <w:r>
        <w:rPr>
          <w:rStyle w:val="1"/>
        </w:rPr>
        <w:t xml:space="preserve">Irisgarritasun Unibertsalari buruzko ekainaren 14ko 12/2018 Foru Legeak bere lehen xedapen gehigarrian ezartzen zuen Nafarroako Gobernuak irisgarritasun unibertsalaren arloko jarduketa-plan bat Nafarroako Parlamentuari aurkezteko betebeharra, non finkatuko baitira pertsona guztientzako irisgarritasun unibertsalerako eta pertsona ororentzako diseinurako eskubidearen inguruan egun dauden gabeziak ahal den eperik laburrenean zuzentzeko behar diren neurriak, egutegia eta diru-zenbatekoak.</w:t>
      </w:r>
    </w:p>
    <w:p>
      <w:pPr>
        <w:pStyle w:val="0"/>
        <w:suppressAutoHyphens w:val="false"/>
        <w:rPr>
          <w:rStyle w:val="1"/>
        </w:rPr>
      </w:pPr>
      <w:r>
        <w:rPr>
          <w:rStyle w:val="1"/>
        </w:rPr>
        <w:t xml:space="preserve">Plan hori ez zen prestatu 2018an, ez 2019an ez eta 2020an ere, eta are gutxiago Nafarroako Parlamentuan aurkeztu.</w:t>
      </w:r>
    </w:p>
    <w:p>
      <w:pPr>
        <w:pStyle w:val="0"/>
        <w:suppressAutoHyphens w:val="false"/>
        <w:rPr>
          <w:rStyle w:val="1"/>
        </w:rPr>
      </w:pPr>
      <w:r>
        <w:rPr>
          <w:rStyle w:val="1"/>
        </w:rPr>
        <w:t xml:space="preserve">2021ean, Parlamentuak xede horren alde egindako presioaren ondotik, Lehendakaritzako Departamentuak Irisgarritasunari buruzko 2021eko Plan Operatiboaren prestaketa koordinatu zuen. Talde parlamentario baten eskariz Batzordean aurkeztu zen, baina edukiak ez du betetzen aipatu xedapen gehigarrian xedatzen dena.</w:t>
      </w:r>
    </w:p>
    <w:p>
      <w:pPr>
        <w:pStyle w:val="0"/>
        <w:suppressAutoHyphens w:val="false"/>
        <w:rPr>
          <w:rStyle w:val="1"/>
        </w:rPr>
      </w:pPr>
      <w:r>
        <w:rPr>
          <w:rStyle w:val="1"/>
        </w:rPr>
        <w:t xml:space="preserve">2021eko Plan Operatiboaren ebaluazioaren ondotik Nafarroako Gobernuak iragarri du 2022rako plan berri bat prestatuko dela, antza denez izaera estrategikorik berriz ere edukiko ez duena, ez eta irisgarritasunaren arloko gabeziak zuzentzeko zenbateko ekonomikoen egutegi finkorik ere.</w:t>
      </w:r>
    </w:p>
    <w:p>
      <w:pPr>
        <w:pStyle w:val="0"/>
        <w:suppressAutoHyphens w:val="false"/>
        <w:rPr>
          <w:rStyle w:val="1"/>
        </w:rPr>
      </w:pPr>
      <w:r>
        <w:rPr>
          <w:rStyle w:val="1"/>
        </w:rPr>
        <w:t xml:space="preserve">Gainera, aipatu ebaluazioan gabezia guztiz garrantzitsuak atzeman dira departamentuetan, Irisgarritasunari buruzko Foru Legeak esan nahi duena ezagutzeari dagozkionak, bai eta, kasu askotan, hura betetzeko borondateari ere dagozkionak.</w:t>
      </w:r>
    </w:p>
    <w:p>
      <w:pPr>
        <w:pStyle w:val="0"/>
        <w:suppressAutoHyphens w:val="false"/>
        <w:rPr>
          <w:rStyle w:val="1"/>
        </w:rPr>
      </w:pPr>
      <w:r>
        <w:rPr>
          <w:rStyle w:val="1"/>
        </w:rPr>
        <w:t xml:space="preserve">Horregatik, beharrezkotzat jotzen da Parlamentuak esku hartu ahal izatea, Nafarroako Parlamentuko Erregelamenduan xedatutakoa beterik, 2022ko Plan Operatibo horretan egon ahal diren gabeziak osatze aldera.</w:t>
      </w:r>
    </w:p>
    <w:p>
      <w:pPr>
        <w:pStyle w:val="0"/>
        <w:suppressAutoHyphens w:val="false"/>
        <w:rPr>
          <w:rStyle w:val="1"/>
        </w:rPr>
      </w:pPr>
      <w:r>
        <w:rPr>
          <w:rStyle w:val="1"/>
        </w:rPr>
        <w:t xml:space="preserve">Hori dela-eta, ondoko erabaki proposamena aurkeztu dugu:</w:t>
      </w:r>
    </w:p>
    <w:p>
      <w:pPr>
        <w:pStyle w:val="0"/>
        <w:suppressAutoHyphens w:val="false"/>
        <w:rPr>
          <w:rStyle w:val="1"/>
        </w:rPr>
      </w:pPr>
      <w:r>
        <w:rPr>
          <w:rStyle w:val="1"/>
        </w:rPr>
        <w:t xml:space="preserve">Nafarroako Parlamentuak Nafarroako Gobernua premiatzen du Nafarroako Parlamentuari 2022ko Irisgarritasun Plan Operatiboa igor diezaion, Nafarroako Parlamentuko Erregelamenduaren XIII. tituluaren II. kapituluan xedatuari jarraikiz izapidetua izan dadin.</w:t>
      </w:r>
    </w:p>
    <w:p>
      <w:pPr>
        <w:pStyle w:val="0"/>
        <w:suppressAutoHyphens w:val="false"/>
        <w:rPr>
          <w:rStyle w:val="1"/>
        </w:rPr>
      </w:pPr>
      <w:r>
        <w:rPr>
          <w:rStyle w:val="1"/>
        </w:rPr>
        <w:t xml:space="preserve">Iruñean, 2022ko otsailaren 24an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