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febrero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conmemoración del Día Mundial de las Enfermedades Raras iluminando su fachada de color rosa el día 28 de febrero.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considera fundamental el impulso de la investigación.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se suma a las peticiones de FEDER y GERNA de que es necesario garantizar el acceso en condiciones de equidad a los servicios asistenciales necesarios, tales como la atención temprana, rehabilitación, logopedia y atención psicológica.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apuesta por el fortalecimiento de los servicios sociales, especialmente los relacionados con la atención a la discapacidad y a la dependencia.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considera que los y las menores con enfermedades raras tienen que acceder a la educación de manera plena y ajustada a sus necesidades específicas, así como favorecer la inclusión laboral de las personas con enfermedades raras.” (10-22/DEC-00010).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