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28 de febrero de 2022, la Junta de Portavoces del Parlamento de Navarra aprobó la siguiente declaración: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“1. El Parlamento de Navarra se suma a la conmemoración del Día Mundial de las Enfermedades Raras iluminando su fachada de color rosa el día 28 de febrero.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El Parlamento de Navarra considera fundamental el impulso de la investigación.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El Parlamento de Navarra se suma a las peticiones de FEDER y GERNA de que es necesario garantizar el acceso en condiciones de equidad a los servicios asistenciales necesarios, tales como la atención temprana, rehabilitación, logopedia y atención psicológica.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4. El Parlamento de Navarra apuesta por el fortalecimiento de los servicios sociales, especialmente los relacionados con la atención a la discapacidad y a la dependencia.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5. El Parlamento de Navarra considera que los y las menores con enfermedades raras tienen que acceder a la educación de manera plena y ajustada a sus necesidades específicas, así como favorecer la inclusión laboral de las personas con enfermedades raras.” (10-22/DEC-00010).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28 de febrero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