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Pleno del Parlamento de Navarra, en sesión celebrada el día 3 de marzo de 2022, acordó rechazar la enmienda a la totalidad presentada por el Grupo Parlamentario Navarra Suma al proyecto de Ley Foral por la que se establece la distribución y reparto del fondo de participación de las entidades locales en los tributos de Navarra por transferencias corrientes.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consecuencia, a tenor de lo dispuesto en el artículo 132.5 del Reglamento de la Cámara, el referido proyecto se remite a la Comisión de Cohesión Territorial.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4 de marzo de 2022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