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reivindicaciones que plantean los transportistas en huelga, formulada por el Ilmo. Sr. D. Javier García Jiménez (10-22/POR-00145).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dirigida Consejero de Cohesión Territorial, para contestación en Comisión:</w:t>
      </w:r>
    </w:p>
    <w:p>
      <w:pPr>
        <w:pStyle w:val="0"/>
        <w:suppressAutoHyphens w:val="false"/>
        <w:rPr>
          <w:rStyle w:val="1"/>
        </w:rPr>
      </w:pPr>
      <w:r>
        <w:rPr>
          <w:rStyle w:val="1"/>
        </w:rPr>
        <w:t xml:space="preserve">¿Comparte el Gobierno de Navarra las reivindicaciones que plantean los transportistas en huelga?</w:t>
      </w:r>
    </w:p>
    <w:p>
      <w:pPr>
        <w:pStyle w:val="0"/>
        <w:suppressAutoHyphens w:val="false"/>
        <w:rPr>
          <w:rStyle w:val="1"/>
        </w:rPr>
      </w:pPr>
      <w:r>
        <w:rPr>
          <w:rStyle w:val="1"/>
        </w:rPr>
        <w:t xml:space="preserve">Pamplona, 28 de marzo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