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4371" w14:textId="281B7E64" w:rsidR="0038718E" w:rsidRPr="0038718E" w:rsidRDefault="00577C70" w:rsidP="0038718E">
      <w:pPr>
        <w:spacing w:after="240" w:line="360" w:lineRule="auto"/>
        <w:ind w:left="426"/>
        <w:jc w:val="both"/>
        <w:rPr>
          <w:sz w:val="24"/>
          <w:szCs w:val="24"/>
          <w:rFonts w:ascii="Arial" w:hAnsi="Arial" w:cs="Arial"/>
        </w:rPr>
      </w:pPr>
      <w:r>
        <w:rPr>
          <w:sz w:val="24"/>
          <w:rFonts w:ascii="Arial" w:hAnsi="Arial"/>
        </w:rPr>
        <w:t xml:space="preserve">Navarra Suma talde parlamentarioari atxikitako foru parlamentari Bernardo Ciriza Pérez jaunak galdera egin du, non informazioa eskatzen baitu gazteak herrietako jaietara eramateko “Joan eta etorri” zerbitzurako deialdiari buruz (10-22/PES-00076). Hori dela eta, hona Nafarroako Gobernuko Lurralde Kohesiorako kontseilari Ángel Ansa Echegaray jaunak ematen duen informazioa: Herri Lan, Garraio eta Komunikazioetako kontseilariaren apirilaren 13ko 290/2000 Foru Aginduaren bidez Nafarroako Foru Komunitatean “Joan eta etorri” bidaiarien garraio zerbitzua arautu zen eta hura ezartzeko jarraibideak onetsi ziren.</w:t>
      </w:r>
    </w:p>
    <w:p w14:paraId="28242DAE" w14:textId="77777777" w:rsidR="0038718E" w:rsidRPr="0038718E" w:rsidRDefault="0038718E" w:rsidP="0038718E">
      <w:pPr>
        <w:spacing w:after="240" w:line="360" w:lineRule="auto"/>
        <w:ind w:left="426"/>
        <w:jc w:val="both"/>
        <w:rPr>
          <w:sz w:val="24"/>
          <w:szCs w:val="24"/>
          <w:rFonts w:ascii="Arial" w:hAnsi="Arial" w:cs="Arial"/>
        </w:rPr>
      </w:pPr>
      <w:r>
        <w:rPr>
          <w:sz w:val="24"/>
          <w:rFonts w:ascii="Arial" w:hAnsi="Arial"/>
        </w:rPr>
        <w:t xml:space="preserve">Foru agindu horren hitzaurrean azaltzen da araudiaren xedea: udal, kontzeju eta mankomunitateen jardunaren barruan ohikoa da kasuan kasuko udalerriko gazteen trafiko istripuei aurrea hartzeko kanpainak antolatzea, haientzako gaueko autobus zerbitzuak paratuz, aipatu gazteak beste udalerri edo herri batzuetara “eraman eta ekartzeko”. Horrela, ordu horietan auto partikularrak erabil ditzaten galarazten da.</w:t>
      </w:r>
      <w:r>
        <w:rPr>
          <w:sz w:val="24"/>
          <w:rFonts w:ascii="Arial" w:hAnsi="Arial"/>
        </w:rPr>
        <w:t xml:space="preserve"> </w:t>
      </w:r>
      <w:r>
        <w:rPr>
          <w:sz w:val="24"/>
          <w:rFonts w:ascii="Arial" w:hAnsi="Arial"/>
        </w:rPr>
        <w:t xml:space="preserve">Zerbitzu horiei “Joan eta etorri” izena eman ohi zaie, eta aipatu erakundeek antolatzen dituzte, haiek baitira beren gazteen dibertsioetarako joera eta ohiturak hobekien ezagutzen dituztenak.</w:t>
      </w:r>
    </w:p>
    <w:p w14:paraId="0EF927B5" w14:textId="77777777" w:rsidR="0038718E" w:rsidRPr="0038718E" w:rsidRDefault="0038718E" w:rsidP="0038718E">
      <w:pPr>
        <w:spacing w:after="240" w:line="360" w:lineRule="auto"/>
        <w:ind w:left="426"/>
        <w:jc w:val="both"/>
        <w:rPr>
          <w:sz w:val="24"/>
          <w:szCs w:val="24"/>
          <w:rFonts w:ascii="Arial" w:hAnsi="Arial" w:cs="Arial"/>
        </w:rPr>
      </w:pPr>
      <w:r>
        <w:rPr>
          <w:sz w:val="24"/>
          <w:rFonts w:ascii="Arial" w:hAnsi="Arial"/>
        </w:rPr>
        <w:t xml:space="preserve">Maiatzaren 23ko 464/2001 Foru Aginduaren bidez, “Joan eta etorri” zerbitzuak ezartzeko prozedura arintze aldera, jarraibideak aldatu ziren zerbitzu modalitate ohikoenean, hau da, hilean gehienez ere ibilbide bereko lau bidaia egiteko udalek kontratatzen dituzten zerbitzuetan.</w:t>
      </w:r>
      <w:r>
        <w:rPr>
          <w:sz w:val="24"/>
          <w:rFonts w:ascii="Arial" w:hAnsi="Arial"/>
        </w:rPr>
        <w:t xml:space="preserve"> </w:t>
      </w:r>
      <w:r>
        <w:rPr>
          <w:sz w:val="24"/>
          <w:rFonts w:ascii="Arial" w:hAnsi="Arial"/>
        </w:rPr>
        <w:t xml:space="preserve">Zerbitzu horietarako, garraioen arloan eskumena duen zerbitzuari (Garraioen Ikuskapen, Kudeaketa eta Antolamenduaren eta Mugikortasunaren Zerbitzua) baimena eskatu ordez, aurretiazko jakinarazpena egin behar zitzaiola ezarri zen.</w:t>
      </w:r>
      <w:r>
        <w:rPr>
          <w:sz w:val="24"/>
          <w:rFonts w:ascii="Arial" w:hAnsi="Arial"/>
        </w:rPr>
        <w:t xml:space="preserve">  </w:t>
      </w:r>
    </w:p>
    <w:p w14:paraId="077506C6" w14:textId="77777777" w:rsidR="0038718E" w:rsidRPr="0038718E" w:rsidRDefault="0038718E" w:rsidP="0038718E">
      <w:pPr>
        <w:spacing w:after="240" w:line="360" w:lineRule="auto"/>
        <w:ind w:left="426"/>
        <w:jc w:val="both"/>
        <w:rPr>
          <w:sz w:val="24"/>
          <w:szCs w:val="24"/>
          <w:rFonts w:ascii="Arial" w:hAnsi="Arial" w:cs="Arial"/>
        </w:rPr>
      </w:pPr>
      <w:r>
        <w:rPr>
          <w:sz w:val="24"/>
          <w:rFonts w:ascii="Arial" w:hAnsi="Arial"/>
        </w:rPr>
        <w:t xml:space="preserve">Prozedura hau ezarri zen foru agindu horretan:</w:t>
      </w:r>
    </w:p>
    <w:p w14:paraId="2F91A05D" w14:textId="77777777" w:rsidR="0038718E" w:rsidRPr="0038718E" w:rsidRDefault="0038718E" w:rsidP="0038718E">
      <w:pPr>
        <w:pStyle w:val="Prrafodelista"/>
        <w:numPr>
          <w:ilvl w:val="0"/>
          <w:numId w:val="4"/>
        </w:numPr>
        <w:spacing w:after="240" w:line="360" w:lineRule="auto"/>
        <w:jc w:val="both"/>
        <w:rPr>
          <w:sz w:val="24"/>
          <w:szCs w:val="24"/>
          <w:rFonts w:ascii="Arial" w:hAnsi="Arial" w:cs="Arial"/>
        </w:rPr>
      </w:pPr>
      <w:r>
        <w:rPr>
          <w:sz w:val="24"/>
          <w:rFonts w:ascii="Arial" w:hAnsi="Arial"/>
        </w:rPr>
        <w:t xml:space="preserve">Toki entitateak, indarra duen araudiaren arabera segitu beharreko prozedurari jarraikiz, zerbitzua kontratatuko du bidaiarien garraio publikorako indarreko baimena duen bidaiarien garraio enpresa batekin.</w:t>
      </w:r>
    </w:p>
    <w:p w14:paraId="00C1DFBD" w14:textId="77777777" w:rsidR="0038718E" w:rsidRPr="0038718E" w:rsidRDefault="0038718E" w:rsidP="0038718E">
      <w:pPr>
        <w:pStyle w:val="Prrafodelista"/>
        <w:numPr>
          <w:ilvl w:val="0"/>
          <w:numId w:val="4"/>
        </w:numPr>
        <w:spacing w:after="240" w:line="360" w:lineRule="auto"/>
        <w:jc w:val="both"/>
        <w:rPr>
          <w:sz w:val="24"/>
          <w:szCs w:val="24"/>
          <w:rFonts w:ascii="Arial" w:hAnsi="Arial" w:cs="Arial"/>
        </w:rPr>
      </w:pPr>
      <w:r>
        <w:rPr>
          <w:sz w:val="24"/>
          <w:rFonts w:ascii="Arial" w:hAnsi="Arial"/>
        </w:rPr>
        <w:t xml:space="preserve">Adjudikazioa hartu duen enpresak zerbitzua emateko baldintzen berri emanen dio Garraioen Ikuskapen, Kudeaketa eta Antolamenduaren eta Mugikortasunaren Zerbitzuari, zerbitzua eman aurretik 15 eguneko gutxieneko epean.</w:t>
      </w:r>
    </w:p>
    <w:p w14:paraId="28B101DF" w14:textId="77777777" w:rsidR="0038718E" w:rsidRPr="0038718E" w:rsidRDefault="0038718E" w:rsidP="0038718E">
      <w:pPr>
        <w:pStyle w:val="Prrafodelista"/>
        <w:numPr>
          <w:ilvl w:val="0"/>
          <w:numId w:val="4"/>
        </w:numPr>
        <w:spacing w:after="240" w:line="360" w:lineRule="auto"/>
        <w:jc w:val="both"/>
        <w:rPr>
          <w:sz w:val="24"/>
          <w:szCs w:val="24"/>
          <w:rFonts w:ascii="Arial" w:hAnsi="Arial" w:cs="Arial"/>
        </w:rPr>
      </w:pPr>
      <w:r>
        <w:rPr>
          <w:sz w:val="24"/>
          <w:rFonts w:ascii="Arial" w:hAnsi="Arial"/>
        </w:rPr>
        <w:t xml:space="preserve">Jakinarazpena ezarritako epean eta moduan egin ondoren, zerbitzua baimendutzat hartuko da, aipatu zerbitzuak, hartutako jakinarazpena azterturik, zerbitzua ez emateko interes publikoko arrazoiak daudela egiaztatzen duenean salbu, kasu horretan baimena ukatuko baita.</w:t>
      </w:r>
    </w:p>
    <w:p w14:paraId="29A181EF" w14:textId="77777777" w:rsidR="00AA7D7F" w:rsidRPr="00AA7D7F" w:rsidRDefault="0038718E" w:rsidP="00AA7D7F">
      <w:pPr>
        <w:spacing w:after="240" w:line="360" w:lineRule="auto"/>
        <w:ind w:left="426"/>
        <w:jc w:val="both"/>
        <w:rPr>
          <w:sz w:val="24"/>
          <w:szCs w:val="24"/>
          <w:rFonts w:ascii="Arial" w:hAnsi="Arial" w:cs="Arial"/>
        </w:rPr>
      </w:pPr>
      <w:r>
        <w:rPr>
          <w:sz w:val="24"/>
          <w:rFonts w:ascii="Arial" w:hAnsi="Arial"/>
        </w:rPr>
        <w:t xml:space="preserve">Horregatik guztiagatik, argitu behar da Nafarroako Gobernuak ez duela “Joan eta etorri” zerbitzurako deialdirik egiten, aitzitik, toki entitateek sustatzen dituzte “Joan eta etorri” kanpainak beren eskumeneko eremuan, eta bidaiarien garraioko enpresak kontratatzen dituzte zerbitzu horiek egiteko, eta, kasua bada, zerbitzuok erabiltzeko dirulaguntza ematen dute.</w:t>
      </w:r>
    </w:p>
    <w:p w14:paraId="34027C76" w14:textId="77777777" w:rsidR="00AA7D7F" w:rsidRPr="00AA7D7F" w:rsidRDefault="00AA7D7F" w:rsidP="00AA7D7F">
      <w:pPr>
        <w:spacing w:after="240" w:line="360" w:lineRule="auto"/>
        <w:ind w:left="426"/>
        <w:jc w:val="both"/>
        <w:rPr>
          <w:sz w:val="24"/>
          <w:szCs w:val="24"/>
          <w:rFonts w:ascii="Arial" w:hAnsi="Arial" w:cs="Arial"/>
        </w:rPr>
      </w:pPr>
      <w:r>
        <w:rPr>
          <w:sz w:val="24"/>
          <w:rFonts w:ascii="Arial" w:hAnsi="Arial"/>
        </w:rPr>
        <w:t xml:space="preserve">Garraioen Ikuskapen, Kudeaketa eta Antolamenduaren eta Mugikortasunaren Zerbitzuaren lana da erregistratzea “Joan eta etorri” zerbitzuaren kontratazioari buruzko jakinarazpena, garraio enpresek egina; horrela egiaztatzen ahal da enpresa horiek garraioaren arloko araudia betetzen dutela eta badutela baimen indarduna.</w:t>
      </w:r>
    </w:p>
    <w:p w14:paraId="5E6D99C3" w14:textId="77777777" w:rsidR="0082352D" w:rsidRDefault="00AA7D7F" w:rsidP="00AA7D7F">
      <w:pPr>
        <w:spacing w:after="240" w:line="360" w:lineRule="auto"/>
        <w:ind w:left="426"/>
        <w:jc w:val="both"/>
        <w:rPr>
          <w:sz w:val="24"/>
          <w:szCs w:val="24"/>
          <w:rFonts w:ascii="Arial" w:hAnsi="Arial" w:cs="Arial"/>
        </w:rPr>
      </w:pPr>
      <w:r>
        <w:rPr>
          <w:sz w:val="24"/>
          <w:rFonts w:ascii="Arial" w:hAnsi="Arial"/>
        </w:rPr>
        <w:t xml:space="preserve">Garraio enpresei jakinarazpenen bidalketa errazteko, jakinarazpenaren eredua eta haren tramitazio telematikoa egiteko bidea ezarri dira Nafarroako Gobernuaren atarian, helbide honetan: </w:t>
      </w:r>
      <w:hyperlink r:id="rId7" w:history="1">
        <w:r>
          <w:rPr>
            <w:rStyle w:val="Hipervnculo"/>
            <w:sz w:val="24"/>
            <w:rFonts w:ascii="Arial" w:hAnsi="Arial"/>
          </w:rPr>
          <w:t xml:space="preserve">https://www.navarra.es/eu/tramiteak/on/-/line/jaibus-garraio-zerbitzua-emateko-jakinarazpena</w:t>
        </w:r>
      </w:hyperlink>
      <w:r>
        <w:rPr>
          <w:sz w:val="24"/>
          <w:rFonts w:ascii="Arial" w:hAnsi="Arial"/>
        </w:rPr>
        <w:t xml:space="preserve"> </w:t>
      </w:r>
    </w:p>
    <w:p w14:paraId="5D9EFCAF" w14:textId="77777777" w:rsidR="004504EE" w:rsidRDefault="00577C70" w:rsidP="00577C70">
      <w:pPr>
        <w:spacing w:line="360" w:lineRule="auto"/>
        <w:ind w:left="426"/>
        <w:jc w:val="both"/>
        <w:rPr>
          <w:sz w:val="24"/>
          <w:szCs w:val="24"/>
          <w:rFonts w:ascii="Arial" w:hAnsi="Arial" w:cs="Arial"/>
        </w:rPr>
      </w:pPr>
      <w:r>
        <w:rPr>
          <w:sz w:val="24"/>
          <w:rFonts w:ascii="Arial" w:hAnsi="Arial"/>
        </w:rPr>
        <w:t xml:space="preserve">Hori guztia jakinarazten dut, Nafarroako Parlamentuko Erregelamenduaren 194. artikuluan xedatutakoa betez.</w:t>
      </w:r>
    </w:p>
    <w:p w14:paraId="764B40E2" w14:textId="41CC81DE" w:rsidR="00577C70" w:rsidRDefault="00577C70" w:rsidP="00577C70">
      <w:pPr>
        <w:spacing w:line="360" w:lineRule="auto"/>
        <w:jc w:val="center"/>
        <w:rPr>
          <w:sz w:val="24"/>
          <w:szCs w:val="24"/>
          <w:rFonts w:ascii="Arial" w:hAnsi="Arial" w:cs="Arial"/>
        </w:rPr>
      </w:pPr>
      <w:r>
        <w:rPr>
          <w:sz w:val="24"/>
          <w:rFonts w:ascii="Arial" w:hAnsi="Arial"/>
        </w:rPr>
        <w:t xml:space="preserve">Iruñean, 2022ko apirilaren 19an</w:t>
      </w:r>
    </w:p>
    <w:p w14:paraId="69F91FF1" w14:textId="7A348483" w:rsidR="004504EE" w:rsidRDefault="004504EE" w:rsidP="00577C70">
      <w:pPr>
        <w:spacing w:line="360" w:lineRule="auto"/>
        <w:jc w:val="center"/>
        <w:rPr>
          <w:sz w:val="24"/>
          <w:szCs w:val="24"/>
          <w:rFonts w:ascii="Arial" w:hAnsi="Arial" w:cs="Arial"/>
        </w:rPr>
      </w:pPr>
      <w:r>
        <w:rPr>
          <w:sz w:val="24"/>
          <w:rFonts w:ascii="Arial" w:hAnsi="Arial"/>
        </w:rPr>
        <w:t xml:space="preserve">Lurralde Kohesiorako kontseilaria:</w:t>
      </w:r>
      <w:r>
        <w:rPr>
          <w:sz w:val="24"/>
          <w:rFonts w:ascii="Arial" w:hAnsi="Arial"/>
        </w:rPr>
        <w:t xml:space="preserve"> </w:t>
      </w:r>
      <w:r>
        <w:rPr>
          <w:sz w:val="24"/>
          <w:rFonts w:ascii="Arial" w:hAnsi="Arial"/>
        </w:rPr>
        <w:t xml:space="preserve">Bernardo Ciriza Pérez</w:t>
      </w:r>
    </w:p>
    <w:sectPr w:rsidR="004504EE" w:rsidSect="004504EE">
      <w:headerReference w:type="default" r:id="rId8"/>
      <w:footerReference w:type="default" r:id="rId9"/>
      <w:headerReference w:type="first" r:id="rId10"/>
      <w:footerReference w:type="first" r:id="rId11"/>
      <w:pgSz w:w="11906" w:h="16838" w:code="9"/>
      <w:pgMar w:top="1843"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F6F4" w14:textId="77777777" w:rsidR="00D01713" w:rsidRDefault="00D01713">
      <w:r>
        <w:separator/>
      </w:r>
    </w:p>
  </w:endnote>
  <w:endnote w:type="continuationSeparator" w:id="0">
    <w:p w14:paraId="62A198A2" w14:textId="77777777" w:rsidR="00D01713" w:rsidRDefault="00D0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634B"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996E9F">
      <w:rPr>
        <w:rStyle w:val="Nmerodepgina"/>
        <w:sz w:val="18"/>
        <w:rFonts w:ascii="Courier New" w:hAnsi="Courier New" w:cs="Courier New"/>
      </w:rPr>
      <w:t>3</w:t>
    </w:r>
    <w:r w:rsidR="000A0670" w:rsidRPr="00A2145B">
      <w:rPr>
        <w:rStyle w:val="Nmerodepgina"/>
        <w:sz w:val="18"/>
        <w:rFonts w:ascii="Courier New" w:hAnsi="Courier New"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98CA"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C362DE">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5C4A" w14:textId="77777777" w:rsidR="00D01713" w:rsidRDefault="00D01713">
      <w:r>
        <w:separator/>
      </w:r>
    </w:p>
  </w:footnote>
  <w:footnote w:type="continuationSeparator" w:id="0">
    <w:p w14:paraId="38B52178" w14:textId="77777777" w:rsidR="00D01713" w:rsidRDefault="00D0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B8B2" w14:textId="2A32C74F" w:rsidR="00696F6F" w:rsidRPr="007250F0" w:rsidRDefault="00B17CCC"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B882" w14:textId="77777777" w:rsidR="00696F6F" w:rsidRDefault="00CA2943" w:rsidP="00696F6F">
    <w:pPr>
      <w:pStyle w:val="Encabezado"/>
      <w:ind w:left="-765"/>
    </w:pPr>
    <w:r>
      <w:drawing>
        <wp:anchor distT="0" distB="0" distL="114300" distR="114300" simplePos="0" relativeHeight="251657216" behindDoc="0" locked="0" layoutInCell="1" allowOverlap="1" wp14:anchorId="61C7FC96" wp14:editId="5031FCF4">
          <wp:simplePos x="0" y="0"/>
          <wp:positionH relativeFrom="page">
            <wp:align>left</wp:align>
          </wp:positionH>
          <wp:positionV relativeFrom="page">
            <wp:align>top</wp:align>
          </wp:positionV>
          <wp:extent cx="7569186" cy="1803058"/>
          <wp:effectExtent l="25400" t="0" r="14" b="0"/>
          <wp:wrapNone/>
          <wp:docPr id="4" name="Imagen 4"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842935634">
    <w:abstractNumId w:val="1"/>
  </w:num>
  <w:num w:numId="2" w16cid:durableId="215437189">
    <w:abstractNumId w:val="0"/>
  </w:num>
  <w:num w:numId="3" w16cid:durableId="1639526056">
    <w:abstractNumId w:val="3"/>
  </w:num>
  <w:num w:numId="4" w16cid:durableId="863861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9E0"/>
    <w:rsid w:val="0009463A"/>
    <w:rsid w:val="000A0670"/>
    <w:rsid w:val="000B64A1"/>
    <w:rsid w:val="000F462E"/>
    <w:rsid w:val="00192C26"/>
    <w:rsid w:val="002168BE"/>
    <w:rsid w:val="00277C9A"/>
    <w:rsid w:val="0038718E"/>
    <w:rsid w:val="003D5737"/>
    <w:rsid w:val="003F1206"/>
    <w:rsid w:val="004031A8"/>
    <w:rsid w:val="00426486"/>
    <w:rsid w:val="00442565"/>
    <w:rsid w:val="004504EE"/>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4B01"/>
    <w:rsid w:val="00610AAA"/>
    <w:rsid w:val="006764C1"/>
    <w:rsid w:val="00696F6F"/>
    <w:rsid w:val="006A5952"/>
    <w:rsid w:val="0072622D"/>
    <w:rsid w:val="0074093A"/>
    <w:rsid w:val="00776285"/>
    <w:rsid w:val="00780CA4"/>
    <w:rsid w:val="00793F61"/>
    <w:rsid w:val="007E640E"/>
    <w:rsid w:val="0082352D"/>
    <w:rsid w:val="00832136"/>
    <w:rsid w:val="008744BE"/>
    <w:rsid w:val="008F071C"/>
    <w:rsid w:val="009226EF"/>
    <w:rsid w:val="009357DF"/>
    <w:rsid w:val="009913A6"/>
    <w:rsid w:val="00994342"/>
    <w:rsid w:val="00996E9F"/>
    <w:rsid w:val="009D73FA"/>
    <w:rsid w:val="009E202F"/>
    <w:rsid w:val="009E381E"/>
    <w:rsid w:val="009F2B65"/>
    <w:rsid w:val="009F7163"/>
    <w:rsid w:val="00A00160"/>
    <w:rsid w:val="00A117E7"/>
    <w:rsid w:val="00A2145B"/>
    <w:rsid w:val="00AA7D7F"/>
    <w:rsid w:val="00AC3455"/>
    <w:rsid w:val="00AC79C9"/>
    <w:rsid w:val="00B17CCC"/>
    <w:rsid w:val="00B46857"/>
    <w:rsid w:val="00B93971"/>
    <w:rsid w:val="00BD6A02"/>
    <w:rsid w:val="00BE5976"/>
    <w:rsid w:val="00C362DE"/>
    <w:rsid w:val="00C679D5"/>
    <w:rsid w:val="00C7645D"/>
    <w:rsid w:val="00CA2943"/>
    <w:rsid w:val="00CC186C"/>
    <w:rsid w:val="00D01713"/>
    <w:rsid w:val="00DA6D6E"/>
    <w:rsid w:val="00DC2FF3"/>
    <w:rsid w:val="00DF6784"/>
    <w:rsid w:val="00E20B4D"/>
    <w:rsid w:val="00E21BF7"/>
    <w:rsid w:val="00E36204"/>
    <w:rsid w:val="00ED5CA9"/>
    <w:rsid w:val="00F228ED"/>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1972D9"/>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varra.es/eu/tramiteak/on/-/line/jaibus-garraio-zerbitzua-emateko-jakinarazpe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3</cp:revision>
  <cp:lastPrinted>2022-04-12T12:37:00Z</cp:lastPrinted>
  <dcterms:created xsi:type="dcterms:W3CDTF">2022-04-19T06:57:00Z</dcterms:created>
  <dcterms:modified xsi:type="dcterms:W3CDTF">2022-05-12T09:49:00Z</dcterms:modified>
</cp:coreProperties>
</file>