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26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motivo por el que no se consultó a los servicios jurídicos de Intervención General en relación con el reparo suspensivo del contrato de compra de mascarillas FFP2 a la empresa Efficold,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26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Economía y Hacienda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Motivo por el que no se consultó a los servicios jurídicos de Intervención General en relación con el reparo suspensivo del contrato de compra de mascarillas FFP2 a la empresa Efficold.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22 de septiembre de 2022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