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0.961"/>
        </w:rPr>
      </w:pPr>
      <w:r>
        <w:rPr>
          <w:b w:val="true"/>
          <w:rFonts w:ascii="Helvetica LT Std" w:cs="Helvetica LT Std" w:eastAsia="Helvetica LT Std" w:hAnsi="Helvetica LT Std"/>
          <w:spacing w:val="0.961"/>
        </w:rPr>
        <w:t xml:space="preserve">1.º</w:t>
      </w:r>
      <w:r>
        <w:rPr>
          <w:rFonts w:ascii="Helvetica LT Std" w:cs="Helvetica LT Std" w:eastAsia="Helvetica LT Std" w:hAnsi="Helvetica LT Std"/>
          <w:spacing w:val="0.961"/>
        </w:rPr>
        <w:t xml:space="preserve"> Admitir a trámite la pregunta sobre los órganos de seguimiento del Plan Estratégico del Servicio de Bomberos de Navarra 2020-2023, formulada por el Ilmo. Sr. D. Adolfo Araiz Flamarique.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al Departamento de Presidencia, Igualdad, Función Pública e Interior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Plan Estratégico del Servicio de Bomberos de Navarra 2020-2023, en el apartado 6.1 “Coordinación” se indica que la gestión y coordinación del Plan se llevará a cabo mediante dos estructuras: el Comité estratégico y el Equipo de gestión operativa.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primero se establece que se reunirá trimestralmente para hacer seguimiento de los avances, y el segundo se reunirá mensualmente.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formulan las siguientes preguntas: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1.-¿En cuántas ocasiones se ha reunido el Comité Estratégico?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2.-¿En cuántas ocasiones se ha reunido el Equipo de gestión operativa?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3.-¿Cuántos informes mensuales ha emitido el Equipo de gestión operativa?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29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