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25 de noviembre  de 2022,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 manifiesta su firme compromiso y apoyo a la transferencia de tráfico enmarcada en la LORAFNA”.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noviembre 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