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landu den estrategiaren bat, desgaitasun baten ondorioz hezkun</w:t>
        <w:softHyphen/>
        <w:t xml:space="preserve">tza-premia bereziak dituzten ikasleak pixkanaka hezkun</w:t>
        <w:softHyphen/>
        <w:t xml:space="preserve">tza bereziko ikastetxeetatik ikastetxe arruntetara igaro</w:t>
        <w:softHyphen/>
        <w:t xml:space="preserve">tzen joan daitezen.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landu al da estrategiaren bat, desgaitasun baten ondorioz hezkun</w:t>
        <w:softHyphen/>
        <w:t xml:space="preserve">tza-premia bereziak dituzten ikasleak pixkanaka hezkun</w:t>
        <w:softHyphen/>
        <w:t xml:space="preserve">tza bereziko ikastetxeetatik ikastetxe arruntetara igaro</w:t>
        <w:softHyphen/>
        <w:t xml:space="preserve">tzen joan daitezen, hezkun</w:t>
        <w:softHyphen/>
        <w:t xml:space="preserve">tza bereziko ikstetxeetako jakin</w:t>
        <w:softHyphen/>
        <w:t xml:space="preserve">tza teknikoa eta langile teknikariak ikastetxe arruntetara transferi</w:t>
        <w:softHyphen/>
        <w:t xml:space="preserve">tzeko plan bat duena eta haiek baliabide-zentro bihur</w:t>
        <w:softHyphen/>
        <w:t xml:space="preserve">tzen dituena?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