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mantendu den eskola-erizainaren eta eskola-susta</w:t>
        <w:softHyphen/>
        <w:t xml:space="preserve">tzailearen pilota</w:t>
        <w:softHyphen/>
        <w:t xml:space="preserve">tzea Osasun Departamentuarekin eta Eskubide Sozialen Departamentuarekin koordinatuta.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tzarreko Erregelamenduan ezarritakoaren babesean, honako galdera hauek aurkezten ditu, Nafarroako Gobernuak ida</w:t>
        <w:softHyphen/>
        <w:t xml:space="preserve">tziz eran</w:t>
        <w:softHyphen/>
        <w:t xml:space="preserve">tzun di</w:t>
        <w:softHyphen/>
        <w:t xml:space="preserve">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mantendu den eskola-erizainaren eta eskola-susta</w:t>
        <w:softHyphen/>
        <w:t xml:space="preserve">tzailearen pilota</w:t>
        <w:softHyphen/>
        <w:t xml:space="preserve">tzea Osasun Departamentuarekin eta Eskubide Sozialen Departamentuarekin koordinatuta?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