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elaborado dosieres de posicionamiento estratégico sobre discapacidad y determinadas políticas sectoriales que planteen escenarios de innovación en el diseño de los servicios y las intervenciones asociadas a los mismos,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elaborado dosieres de posicionamiento estratégico sobre discapacidad y determinadas políticas sectoriales que planteen escenarios de innovación en el diseño de los servicios y las intervenciones asociadas a los mismos?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¿Cuáles y en qué fechas?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15 de diciembre de 2022.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