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F446" w14:textId="6C249372" w:rsidR="005D1594" w:rsidRPr="005D1594" w:rsidRDefault="00425D12" w:rsidP="00425D12">
      <w:pPr>
        <w:spacing w:after="0" w:line="360" w:lineRule="auto"/>
        <w:ind w:hanging="1"/>
        <w:jc w:val="both"/>
        <w:rPr>
          <w:rFonts w:ascii="Arial" w:eastAsia="Times New Roman" w:hAnsi="Arial" w:cs="Arial"/>
        </w:rPr>
      </w:pPr>
      <w:r>
        <w:rPr>
          <w:rFonts w:ascii="Arial" w:hAnsi="Arial"/>
        </w:rPr>
        <w:t xml:space="preserve">Navarra Suma talde parlamentarioari atxikitako foru parlamentari Marta Alvarez Alonso andreak idatziz erantzuteko galdera egin du, Nafarroako Parlamentuko 5093 irteera-zenbakiarekin erregistratua, 2022ko irailaren 26an (10-22/PES-259 galdera), Nafarroako Foru Komunitateko Administrazioan klausula sozialak aktibatzeko hartutako neurriei buruz. Hona Ekonomia eta Ogasun Departamentuko kontseilariak ematen dion informazioa:</w:t>
      </w:r>
    </w:p>
    <w:p w14:paraId="4D8DF042" w14:textId="77777777" w:rsidR="005D1594" w:rsidRPr="005D1594" w:rsidRDefault="00425D12" w:rsidP="00425D12">
      <w:pPr>
        <w:spacing w:after="0" w:line="360" w:lineRule="auto"/>
        <w:ind w:hanging="1"/>
        <w:jc w:val="both"/>
        <w:rPr>
          <w:rFonts w:ascii="Arial" w:eastAsia="Times New Roman" w:hAnsi="Arial" w:cs="Arial"/>
        </w:rPr>
      </w:pPr>
      <w:r>
        <w:rPr>
          <w:rFonts w:ascii="Arial" w:hAnsi="Arial"/>
        </w:rPr>
        <w:t xml:space="preserve">Kontratu Publikoei buruzko apirilaren 13ko 2/2018 Foru Legearen zioen azalpenak honako hau dio:</w:t>
      </w:r>
    </w:p>
    <w:p w14:paraId="11B3BB0F" w14:textId="19F0FFB1" w:rsidR="00425D12" w:rsidRPr="005D1594" w:rsidRDefault="00425D12" w:rsidP="00425D12">
      <w:pPr>
        <w:spacing w:after="0" w:line="360" w:lineRule="auto"/>
        <w:ind w:hanging="1"/>
        <w:jc w:val="both"/>
        <w:rPr>
          <w:i/>
          <w:rFonts w:ascii="Arial" w:eastAsia="Times New Roman" w:hAnsi="Arial" w:cs="Arial"/>
        </w:rPr>
      </w:pPr>
      <w:r>
        <w:rPr>
          <w:i/>
          <w:rFonts w:ascii="Arial" w:hAnsi="Arial"/>
        </w:rPr>
        <w:t xml:space="preserve">II.- Foru legearen helburuak</w:t>
      </w:r>
    </w:p>
    <w:p w14:paraId="371BEE97" w14:textId="77777777" w:rsidR="00425D12" w:rsidRPr="005D1594" w:rsidRDefault="00425D12" w:rsidP="00425D12">
      <w:pPr>
        <w:spacing w:after="0" w:line="360" w:lineRule="auto"/>
        <w:ind w:hanging="1"/>
        <w:jc w:val="both"/>
        <w:rPr>
          <w:i/>
          <w:rFonts w:ascii="Arial" w:eastAsia="Times New Roman" w:hAnsi="Arial" w:cs="Arial"/>
        </w:rPr>
      </w:pPr>
      <w:r>
        <w:rPr>
          <w:i/>
          <w:rFonts w:ascii="Arial" w:hAnsi="Arial"/>
        </w:rPr>
        <w:t xml:space="preserve">“Europako 2020 Estrategia”rekin bat, kontratazio publikoak zeregin garrantzitsua du, enplegu, produktibitate eta kohesio sozial handiagoak ekarriko dituen garapen ekonomikoko eredu bat sortzen lagundu beharko duen tresna den aldetik, funts publikoen erabilera efizientea bermatzearekin batera.</w:t>
      </w:r>
      <w:r>
        <w:rPr>
          <w:i/>
          <w:rFonts w:ascii="Arial" w:hAnsi="Arial"/>
        </w:rPr>
        <w:t xml:space="preserve"> </w:t>
      </w:r>
      <w:r>
        <w:rPr>
          <w:i/>
          <w:rFonts w:ascii="Arial" w:hAnsi="Arial"/>
        </w:rPr>
        <w:t xml:space="preserve">Esparru horren barrenean, zuzentarauek xede hori lortzeko helburuak aurreikusten dituzte; esate baterako, merkatu lehiakorragoa sustatzea, enpresa txiki eta ertainek kontratazio publikoan parte-har dezaten erraztea, eta bitartekoak ematea kontratazio publikoa gizarte, ingurumen edo ikerketa politiketan tresna gisa erabiltzeko, modernizaziorako asmoarekin eta globalizazio ekonomikoaren testuingurua aintzat harturik.</w:t>
      </w:r>
    </w:p>
    <w:p w14:paraId="459CDCEA" w14:textId="77777777" w:rsidR="00425D12" w:rsidRPr="005D1594" w:rsidRDefault="00425D12" w:rsidP="00425D12">
      <w:pPr>
        <w:spacing w:after="0" w:line="360" w:lineRule="auto"/>
        <w:ind w:hanging="1"/>
        <w:jc w:val="both"/>
        <w:rPr>
          <w:i/>
          <w:rFonts w:ascii="Arial" w:eastAsia="Times New Roman" w:hAnsi="Arial" w:cs="Arial"/>
        </w:rPr>
      </w:pPr>
      <w:r>
        <w:rPr>
          <w:i/>
          <w:rFonts w:ascii="Arial" w:hAnsi="Arial"/>
        </w:rPr>
        <w:t xml:space="preserve">Horiek dira, beraz, foru lege honek ere bere egiten dituen helburuak, eta Nafarroako ordenamendu juridikora ekarri nahi dituenak, guztiz aplikagarriak izan daitezen.</w:t>
      </w:r>
    </w:p>
    <w:p w14:paraId="2DD3D07B" w14:textId="77777777" w:rsidR="00425D12" w:rsidRPr="005D1594" w:rsidRDefault="00425D12" w:rsidP="00425D12">
      <w:pPr>
        <w:spacing w:after="0" w:line="360" w:lineRule="auto"/>
        <w:ind w:hanging="1"/>
        <w:jc w:val="both"/>
        <w:rPr>
          <w:i/>
          <w:rFonts w:ascii="Arial" w:eastAsia="Times New Roman" w:hAnsi="Arial" w:cs="Arial"/>
        </w:rPr>
      </w:pPr>
      <w:r>
        <w:rPr>
          <w:i/>
          <w:rFonts w:ascii="Arial" w:hAnsi="Arial"/>
        </w:rPr>
        <w:t xml:space="preserve">Europar Batasunaren ustetan, ezinbestekoa da merkatu bakarra eta lehiakorragoa sustatzea, gastu publikoan efizientzia handiagoa lortzeko bitartekoa izan dadin; izan ere, lehia handitzeak kalitate-prezio erlazio onena lortzeko aukera ematen duela ulertzen du, eta kontzeptu hori hemendik aurrera funtsezkoa izanen da zuzentarau berrien eta foru lege honen baitan egiten den edozein adjudikaziotan.</w:t>
      </w:r>
      <w:r>
        <w:rPr>
          <w:i/>
          <w:rFonts w:ascii="Arial" w:hAnsi="Arial"/>
        </w:rPr>
        <w:t xml:space="preserve"> </w:t>
      </w:r>
      <w:r>
        <w:rPr>
          <w:i/>
          <w:rFonts w:ascii="Arial" w:hAnsi="Arial"/>
        </w:rPr>
        <w:t xml:space="preserve">Aldi berean, ulertu da erdietsi nahi ditugun efizientzia eta lehiakortasuna lortzeko beharrezkoak direla arau errazagoak eta eraginkorragoak, adjudikazio botereen lana ez ezik lizitazioetan parte hartzen duten enpresa eta profesionalena ere errazteko.</w:t>
      </w:r>
    </w:p>
    <w:p w14:paraId="31F1BF7F" w14:textId="7FB12AB2" w:rsidR="00425D12" w:rsidRPr="005D1594" w:rsidRDefault="00425D12" w:rsidP="00425D12">
      <w:pPr>
        <w:spacing w:after="0" w:line="360" w:lineRule="auto"/>
        <w:ind w:hanging="1"/>
        <w:jc w:val="both"/>
        <w:rPr>
          <w:i/>
          <w:rFonts w:ascii="Arial" w:eastAsia="Times New Roman" w:hAnsi="Arial" w:cs="Arial"/>
        </w:rPr>
      </w:pPr>
      <w:r>
        <w:rPr>
          <w:i/>
          <w:rFonts w:ascii="Arial" w:hAnsi="Arial"/>
        </w:rPr>
        <w:t xml:space="preserve">Bestetik, lehen esan bezala, foru lege honen helburu nagusietako bat enpresa txiki eta ertainek kontratazio publikoan parte har dezatela lortzea da, Europar Batzordeak berak ezarritakoarekin bat, zeinak “Merkatu Bakarraren Aktara bidean, merkatuko ekonomia sozial lehiakorraren alde” izeneko COM(2010)608 agirian hau adierazi baitzuen: Enplegurako potentzial handiena enpresa txiki eta ertainek dute; merkatu bakarrean bete behar duten zereginari arreta berezia eman beharko zaio, eta haien kezkei erantzuteko jarduketa berariazkoak bete beharko dira”.</w:t>
      </w:r>
      <w:r>
        <w:rPr>
          <w:i/>
          <w:rFonts w:ascii="Arial" w:hAnsi="Arial"/>
        </w:rPr>
        <w:t xml:space="preserve"> </w:t>
      </w:r>
      <w:r>
        <w:rPr>
          <w:i/>
          <w:rFonts w:ascii="Arial" w:hAnsi="Arial"/>
        </w:rPr>
        <w:t xml:space="preserve">Horretarako, azpimarratzekoak dira prozedura errazteko neurriak, batetik, eta zama administratiboen jaitsiera, bestetik, foru lege honetan jaso direnak.</w:t>
      </w:r>
    </w:p>
    <w:p w14:paraId="11325BB2" w14:textId="77777777" w:rsidR="005D1594" w:rsidRPr="005D1594" w:rsidRDefault="00425D12" w:rsidP="00425D12">
      <w:pPr>
        <w:spacing w:after="0" w:line="360" w:lineRule="auto"/>
        <w:ind w:hanging="1"/>
        <w:jc w:val="both"/>
        <w:rPr>
          <w:i/>
          <w:rFonts w:ascii="Arial" w:eastAsia="Times New Roman" w:hAnsi="Arial" w:cs="Arial"/>
        </w:rPr>
      </w:pPr>
      <w:r>
        <w:rPr>
          <w:i/>
          <w:rFonts w:ascii="Arial" w:hAnsi="Arial"/>
        </w:rPr>
        <w:t xml:space="preserve">Kontratazio publikoa genero berdintasunaren, gizarte, ingurumenaren edo ikerketaren arloko politiketan tresna gisa erabiltzeak garrantzi handiagoa du orain, ulertu delako lotura zuzena dutela interes orokorrarekin, eta funts publikoak erabiltzeko modu egokia direla, kontratu bakoitzak bete nahi duen helburu zehatzagotik harago.</w:t>
      </w:r>
      <w:r>
        <w:rPr>
          <w:i/>
          <w:rFonts w:ascii="Arial" w:hAnsi="Arial"/>
        </w:rPr>
        <w:t xml:space="preserve"> </w:t>
      </w:r>
      <w:r>
        <w:rPr>
          <w:i/>
          <w:rFonts w:ascii="Arial" w:hAnsi="Arial"/>
        </w:rPr>
        <w:t xml:space="preserve">Horregatik, “klausula horizontalak” dei daitezkeenak ezartzen dira foru lege honetan, honako arloetan: gizon eta emakumeen arteko genero berdintasunaren arloko eta gizarte-, lan- eta ingurumen-gaietako araudia kontratuaren fase guztietan betetzen dela zaindu eta exigitu behar da, lizitatzaileen hautaketatik hasi eta kontratua exekutatu arte; eta beharkizun horiek ez betetzeak justifikatzen ahal du prozedura batetik kanpo uztea, eskaintza bat ez onartzea edo jadanik adjudikatutako kontratu bat suntsiaraztea.</w:t>
      </w:r>
    </w:p>
    <w:p w14:paraId="31F0827F" w14:textId="7081C605" w:rsidR="00425D12" w:rsidRPr="005D1594" w:rsidRDefault="00425D12" w:rsidP="00425D12">
      <w:pPr>
        <w:spacing w:after="0" w:line="360" w:lineRule="auto"/>
        <w:ind w:hanging="1"/>
        <w:jc w:val="both"/>
        <w:rPr>
          <w:rFonts w:ascii="Arial" w:eastAsia="Times New Roman" w:hAnsi="Arial" w:cs="Arial"/>
        </w:rPr>
      </w:pPr>
      <w:r>
        <w:rPr>
          <w:rFonts w:ascii="Arial" w:hAnsi="Arial"/>
        </w:rPr>
        <w:t xml:space="preserve">Aurrekoaren arabera, kontratazio estrategikoak hainbat alderdi ditu (gizartea, ingurumena, berrikuntza…), eta horien guztien artetik, ETEen parte hartzea bereziki hartu behar da kontuan bai Europako erakundeetan bai Kontratu Publikoei buruzko Foru Legean bertan.</w:t>
      </w:r>
      <w:r>
        <w:rPr>
          <w:rFonts w:ascii="Arial" w:hAnsi="Arial"/>
        </w:rPr>
        <w:t xml:space="preserve">  </w:t>
      </w:r>
      <w:r>
        <w:rPr>
          <w:rFonts w:ascii="Arial" w:hAnsi="Arial"/>
        </w:rPr>
        <w:t xml:space="preserve">Kontratazio publikoan ETEen parte hartzea hobetzea helburutzat har daiteke berez, baina, horrez gain, bitarteko baliagarria ere bada kontratazio publikoaren gainerako helburu estrategikoak lortzeko (gizarte, ingurumen, genero edota berrikuntza arlokoak, etab.).</w:t>
      </w:r>
      <w:r>
        <w:rPr>
          <w:rFonts w:ascii="Arial" w:hAnsi="Arial"/>
        </w:rPr>
        <w:t xml:space="preserve">  </w:t>
      </w:r>
      <w:r>
        <w:rPr>
          <w:rFonts w:ascii="Arial" w:hAnsi="Arial"/>
        </w:rPr>
        <w:t xml:space="preserve">Hori horrela, jarraian azaltzen diren jarduketei ekin zaie, beste ezer baino lehen egin beharreko urrats gisa.</w:t>
      </w:r>
      <w:r>
        <w:rPr>
          <w:rFonts w:ascii="Arial" w:hAnsi="Arial"/>
        </w:rPr>
        <w:t xml:space="preserve"> </w:t>
      </w:r>
    </w:p>
    <w:p w14:paraId="72CB00D9" w14:textId="567F8014" w:rsidR="00425D12" w:rsidRPr="005D1594" w:rsidRDefault="00425D12" w:rsidP="00425D12">
      <w:pPr>
        <w:spacing w:after="0" w:line="360" w:lineRule="auto"/>
        <w:ind w:hanging="1"/>
        <w:jc w:val="both"/>
        <w:rPr>
          <w:rFonts w:ascii="Arial" w:eastAsia="Times New Roman" w:hAnsi="Arial" w:cs="Arial"/>
        </w:rPr>
      </w:pPr>
      <w:r>
        <w:rPr>
          <w:rFonts w:ascii="Arial" w:hAnsi="Arial"/>
        </w:rPr>
        <w:t xml:space="preserve">Aurrekoa kontuan izanik, kontratazio publikoaren arloko </w:t>
      </w:r>
      <w:hyperlink r:id="rId7" w:history="1">
        <w:r>
          <w:rPr>
            <w:color w:val="0000FF" w:themeColor="hyperlink"/>
            <w:u w:val="single"/>
            <w:rFonts w:ascii="Arial" w:hAnsi="Arial"/>
          </w:rPr>
          <w:t xml:space="preserve">gastuaren azterketa</w:t>
        </w:r>
      </w:hyperlink>
      <w:r>
        <w:rPr>
          <w:rFonts w:ascii="Arial" w:hAnsi="Arial"/>
        </w:rPr>
        <w:t xml:space="preserve"> egin ondoren (Kontratazio Atarian argitaratuta dago nahi duten guztien eskura), erabaki zen Foru Komunitateko ETEengana hurbiltzen hastea haien premien berri entzuteko eta erantzunak planteatzeko, lizitazioetan gehiago parte har zezaten eta arrakasta tasa hobea izan zezaten.</w:t>
      </w:r>
      <w:r>
        <w:rPr>
          <w:rFonts w:ascii="Arial" w:hAnsi="Arial"/>
        </w:rPr>
        <w:t xml:space="preserve">   </w:t>
      </w:r>
    </w:p>
    <w:p w14:paraId="70EC864E" w14:textId="59672728" w:rsidR="00425D12" w:rsidRPr="005D1594" w:rsidRDefault="00425D12" w:rsidP="00425D12">
      <w:pPr>
        <w:spacing w:after="0" w:line="360" w:lineRule="auto"/>
        <w:ind w:hanging="1"/>
        <w:jc w:val="both"/>
        <w:rPr>
          <w:rFonts w:ascii="Arial" w:eastAsia="Times New Roman" w:hAnsi="Arial" w:cs="Arial"/>
        </w:rPr>
      </w:pPr>
      <w:r>
        <w:rPr>
          <w:rFonts w:ascii="Arial" w:hAnsi="Arial"/>
        </w:rPr>
        <w:t xml:space="preserve">Nafarroako Enpresaburuen Konfederazioak lagunduta eta parte hartuta –CEPYMEN konfederazio horren barnean dago–,  Ondare Zerbitzuak bilera sorta bat egin zuen, eta ezarritako helburuari begira konklusio baliagarriak atera ziren bilera horietan.</w:t>
      </w:r>
      <w:r>
        <w:rPr>
          <w:rFonts w:ascii="Arial" w:hAnsi="Arial"/>
        </w:rPr>
        <w:t xml:space="preserve">  </w:t>
      </w:r>
      <w:r>
        <w:rPr>
          <w:rFonts w:ascii="Arial" w:hAnsi="Arial"/>
        </w:rPr>
        <w:t xml:space="preserve">Erabaki zen konklusioetatik eratorritako zenbait neurri inplementatzea Kontratazio Publikoaren Batzarraren bitartez, kontratazioan esku hartzen duten eragileak erakunde horretan elkartuta baitaude. Hala, </w:t>
      </w:r>
      <w:hyperlink r:id="rId8" w:history="1">
        <w:r>
          <w:rPr>
            <w:color w:val="0000FF" w:themeColor="hyperlink"/>
            <w:u w:val="single"/>
            <w:rFonts w:ascii="Arial" w:hAnsi="Arial"/>
          </w:rPr>
          <w:t xml:space="preserve">1/2022 Zirkularra</w:t>
        </w:r>
      </w:hyperlink>
      <w:r>
        <w:rPr>
          <w:rFonts w:ascii="Arial" w:hAnsi="Arial"/>
        </w:rPr>
        <w:t xml:space="preserve"> argitaratu zen: 2/2018 Foru Legearen aplikazioari buruzko gomendioa, ETEek kontratazio publikoan parte har dezaten errazteko. Kontratazio Atarian eskuragarri dago nahi duten pertsona guztientzat.</w:t>
      </w:r>
    </w:p>
    <w:p w14:paraId="3CE959BE" w14:textId="52D55DC4" w:rsidR="00425D12" w:rsidRPr="005D1594" w:rsidRDefault="00425D12" w:rsidP="00425D12">
      <w:pPr>
        <w:spacing w:after="0" w:line="360" w:lineRule="auto"/>
        <w:ind w:hanging="1"/>
        <w:jc w:val="both"/>
        <w:rPr>
          <w:rFonts w:ascii="Arial" w:eastAsia="Times New Roman" w:hAnsi="Arial" w:cs="Arial"/>
        </w:rPr>
      </w:pPr>
      <w:r>
        <w:rPr>
          <w:rFonts w:ascii="Arial" w:hAnsi="Arial"/>
        </w:rPr>
        <w:t xml:space="preserve">Gainera, erakunde kontratatzaileen beharrak eta ETEenak elkarri hurbiltzeko asmo berarekin, jarduketa hauek egin dira:</w:t>
      </w:r>
    </w:p>
    <w:p w14:paraId="5F24AE28" w14:textId="77777777" w:rsidR="00425D12" w:rsidRPr="005D1594" w:rsidRDefault="00425D12" w:rsidP="00425D12">
      <w:pPr>
        <w:numPr>
          <w:ilvl w:val="0"/>
          <w:numId w:val="2"/>
        </w:numPr>
        <w:spacing w:after="0" w:line="360" w:lineRule="auto"/>
        <w:ind w:hanging="1"/>
        <w:jc w:val="both"/>
        <w:rPr>
          <w:rFonts w:ascii="Arial" w:eastAsia="Times New Roman" w:hAnsi="Arial" w:cs="Arial"/>
        </w:rPr>
      </w:pPr>
      <w:r>
        <w:rPr>
          <w:rFonts w:ascii="Arial" w:hAnsi="Arial"/>
        </w:rPr>
        <w:t xml:space="preserve">Kontratazio publikoaren oinarrizko gida. Hiru bideotan jaso da, eta horiek ETEei banatuko zaizkie Nafarroako Enpresaburuen Konfederazioarekin elkarlanean. Bideo horiekin, gainera, autoprestakuntzarako ikastaro bat osatu da kontratazio publikoan esku hartzen duten langile publikoentzat, NAPIrekin elkarlanean (izena emateko epea 2022ko urriaren 20an hasi da)</w:t>
      </w:r>
      <w:r>
        <w:rPr>
          <w:rFonts w:ascii="Arial" w:hAnsi="Arial"/>
        </w:rPr>
        <w:t xml:space="preserve"> </w:t>
      </w:r>
    </w:p>
    <w:p w14:paraId="64B45A1A" w14:textId="12BC8FB8" w:rsidR="005D1594" w:rsidRPr="005D1594" w:rsidRDefault="00425D12" w:rsidP="00425D12">
      <w:pPr>
        <w:numPr>
          <w:ilvl w:val="0"/>
          <w:numId w:val="2"/>
        </w:numPr>
        <w:spacing w:after="0" w:line="360" w:lineRule="auto"/>
        <w:ind w:hanging="1"/>
        <w:jc w:val="both"/>
        <w:rPr>
          <w:rFonts w:ascii="Arial" w:eastAsia="Times New Roman" w:hAnsi="Arial" w:cs="Arial"/>
        </w:rPr>
      </w:pPr>
      <w:r>
        <w:rPr>
          <w:rFonts w:ascii="Arial" w:hAnsi="Arial"/>
        </w:rPr>
        <w:t xml:space="preserve">Kontratazio publikoan ETEek parte har dezaten sustatzeari buruzko lantegia: aurrez aurreko bi saio NAPIrekin elkarlanean 2022ko udaberrian, eta aurrez aurreko bi saio NUKFrekin elkarlanean 2022ko udazkenean.</w:t>
      </w:r>
    </w:p>
    <w:p w14:paraId="4A856FD6" w14:textId="66E2418F" w:rsidR="005D1594" w:rsidRPr="005D1594" w:rsidRDefault="00425D12" w:rsidP="00425D12">
      <w:pPr>
        <w:spacing w:after="0" w:line="360" w:lineRule="auto"/>
        <w:ind w:hanging="1"/>
        <w:rPr>
          <w:rFonts w:ascii="Arial" w:eastAsia="Times New Roman" w:hAnsi="Arial" w:cs="Arial"/>
        </w:rPr>
      </w:pPr>
      <w:r>
        <w:rPr>
          <w:rFonts w:ascii="Arial" w:hAnsi="Arial"/>
        </w:rPr>
        <w:t xml:space="preserve">Hori guztia jakinarazten dizut, Nafarroako Parlamentuko Erregelamenduaren 194. artikulua betez.</w:t>
      </w:r>
    </w:p>
    <w:p w14:paraId="01460091" w14:textId="0071A33D" w:rsidR="005D1594" w:rsidRPr="005D1594" w:rsidRDefault="00425D12" w:rsidP="00425D12">
      <w:pPr>
        <w:spacing w:after="0" w:line="240" w:lineRule="auto"/>
        <w:ind w:hanging="1"/>
        <w:rPr>
          <w:rFonts w:ascii="Arial" w:eastAsia="Times New Roman" w:hAnsi="Arial" w:cs="Arial"/>
        </w:rPr>
      </w:pPr>
      <w:r>
        <w:rPr>
          <w:rFonts w:ascii="Arial" w:hAnsi="Arial"/>
        </w:rPr>
        <w:t xml:space="preserve">Iruñean, 2022ko urriaren 24an</w:t>
      </w:r>
    </w:p>
    <w:p w14:paraId="1D9262A8" w14:textId="16C0E082" w:rsidR="005D1594" w:rsidRPr="005D1594" w:rsidRDefault="00425D12" w:rsidP="005D1594">
      <w:pPr>
        <w:spacing w:after="0" w:line="240" w:lineRule="auto"/>
        <w:ind w:hanging="1"/>
        <w:jc w:val="center"/>
        <w:rPr>
          <w:rFonts w:ascii="Arial" w:eastAsia="Times New Roman" w:hAnsi="Arial" w:cs="Arial"/>
        </w:rPr>
      </w:pPr>
      <w:r>
        <w:rPr>
          <w:rFonts w:ascii="Arial" w:hAnsi="Arial"/>
        </w:rPr>
        <w:t xml:space="preserve">Ekonomia eta Ogasuneko kontseilaria: Elma Saiz Delgado</w:t>
      </w:r>
    </w:p>
    <w:sectPr w:rsidR="005D1594" w:rsidRPr="005D1594" w:rsidSect="005D1594">
      <w:headerReference w:type="default" r:id="rId9"/>
      <w:pgSz w:w="11906" w:h="16838"/>
      <w:pgMar w:top="1985" w:right="991"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270C" w14:textId="77777777" w:rsidR="00FE7D64" w:rsidRDefault="00FE7D64" w:rsidP="00FE7D64">
      <w:pPr>
        <w:spacing w:after="0" w:line="240" w:lineRule="auto"/>
      </w:pPr>
      <w:r>
        <w:separator/>
      </w:r>
    </w:p>
  </w:endnote>
  <w:endnote w:type="continuationSeparator" w:id="0">
    <w:p w14:paraId="1DDBF33D" w14:textId="77777777" w:rsidR="00FE7D64" w:rsidRDefault="00FE7D64" w:rsidP="00FE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7735" w14:textId="77777777" w:rsidR="00FE7D64" w:rsidRDefault="00FE7D64" w:rsidP="00FE7D64">
      <w:pPr>
        <w:spacing w:after="0" w:line="240" w:lineRule="auto"/>
      </w:pPr>
      <w:r>
        <w:separator/>
      </w:r>
    </w:p>
  </w:footnote>
  <w:footnote w:type="continuationSeparator" w:id="0">
    <w:p w14:paraId="48CE901D" w14:textId="77777777" w:rsidR="00FE7D64" w:rsidRDefault="00FE7D64" w:rsidP="00FE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5074" w14:textId="77777777" w:rsidR="00FE7D64" w:rsidRDefault="00FE7D64" w:rsidP="00425D12">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32A"/>
    <w:multiLevelType w:val="hybridMultilevel"/>
    <w:tmpl w:val="24C875F2"/>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 w15:restartNumberingAfterBreak="0">
    <w:nsid w:val="021061C2"/>
    <w:multiLevelType w:val="hybridMultilevel"/>
    <w:tmpl w:val="356A7C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22655428">
    <w:abstractNumId w:val="1"/>
  </w:num>
  <w:num w:numId="2" w16cid:durableId="34363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16A"/>
    <w:rsid w:val="00150C19"/>
    <w:rsid w:val="001935C7"/>
    <w:rsid w:val="001E7CA8"/>
    <w:rsid w:val="00200014"/>
    <w:rsid w:val="0022019D"/>
    <w:rsid w:val="00425D12"/>
    <w:rsid w:val="005556BD"/>
    <w:rsid w:val="005D1594"/>
    <w:rsid w:val="00727158"/>
    <w:rsid w:val="00955BE7"/>
    <w:rsid w:val="00AB1042"/>
    <w:rsid w:val="00B200DA"/>
    <w:rsid w:val="00D6116A"/>
    <w:rsid w:val="00F85D0D"/>
    <w:rsid w:val="00F9763C"/>
    <w:rsid w:val="00FE7D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3C626F"/>
  <w15:chartTrackingRefBased/>
  <w15:docId w15:val="{C54B798B-BE4C-47F4-8D12-EF363F43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7D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7D64"/>
  </w:style>
  <w:style w:type="paragraph" w:styleId="Piedepgina">
    <w:name w:val="footer"/>
    <w:basedOn w:val="Normal"/>
    <w:link w:val="PiedepginaCar"/>
    <w:uiPriority w:val="99"/>
    <w:unhideWhenUsed/>
    <w:rsid w:val="00FE7D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53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portalcontratacion.navarra.es/documents/880958/0/RECOMENDACI&#211;N+actuaciones+para+favorecer+la+participaci&#243;n+de+las+PYMES.pdf/238b99b6-c50e-fbe8-5f73-596797e318cf?t=1654683317769" TargetMode="External"/><Relationship Id="rId3" Type="http://schemas.openxmlformats.org/officeDocument/2006/relationships/settings" Target="settings.xml"/><Relationship Id="rId7" Type="http://schemas.openxmlformats.org/officeDocument/2006/relationships/hyperlink" Target="https://portalcontratacion.navarra.es/eu/transparencia/analisis-del-gasto-de-la-contratacion-publ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1072</Words>
  <Characters>5901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X075485</dc:creator>
  <cp:keywords/>
  <dc:description/>
  <cp:lastModifiedBy>Aranaz, Carlota</cp:lastModifiedBy>
  <cp:revision>12</cp:revision>
  <cp:lastPrinted>2022-06-06T08:22:00Z</cp:lastPrinted>
  <dcterms:created xsi:type="dcterms:W3CDTF">2020-05-29T10:09:00Z</dcterms:created>
  <dcterms:modified xsi:type="dcterms:W3CDTF">2022-10-25T11:09:00Z</dcterms:modified>
</cp:coreProperties>
</file>