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Pilar Gogorcena eguneko zentroari buruz aurkezturiko galdera.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tzarraren Erregelamenduan ezarritakoaren babesean, galdera hauek aurkezten ditu, ida</w:t>
        <w:softHyphen/>
        <w:t xml:space="preserve">tziz eran</w:t>
        <w:softHyphen/>
        <w:t xml:space="preserve">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Zenbat erabil</w:t>
        <w:softHyphen/>
        <w:t xml:space="preserve">tzaile ditu Pilar Gogorcena eguneko zentroak?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Zenbat senideri eskaini zi</w:t>
        <w:softHyphen/>
        <w:t xml:space="preserve">tzaien eguneko zentroan egindako jarduketak balora</w:t>
        <w:softHyphen/>
        <w:t xml:space="preserve">tzeko inkestan parte har</w:t>
        <w:softHyphen/>
        <w:t xml:space="preserve">tzeko aukera?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Zer datatan eta nork egin zuen inkesta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