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EmanZipa eta DaVid programen bilakaerari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Lurralde Antolamenduko, Etxebizitzako, Paisaiako eta Proiektu Estrategikoetako kontseilariari, Osoko Bilkuran ahoz erantzun dezan:</w:t>
      </w:r>
    </w:p>
    <w:p>
      <w:pPr>
        <w:pStyle w:val="0"/>
        <w:suppressAutoHyphens w:val="false"/>
        <w:rPr>
          <w:rStyle w:val="1"/>
        </w:rPr>
      </w:pPr>
      <w:r>
        <w:rPr>
          <w:rStyle w:val="1"/>
        </w:rPr>
        <w:t xml:space="preserve">Emanzipa eta David programak etxebizitza duina arrazoizko prezioan lortzeko modua ematen duten tresnak dira.</w:t>
      </w:r>
    </w:p>
    <w:p>
      <w:pPr>
        <w:pStyle w:val="0"/>
        <w:suppressAutoHyphens w:val="false"/>
        <w:rPr>
          <w:rStyle w:val="1"/>
        </w:rPr>
      </w:pPr>
      <w:r>
        <w:rPr>
          <w:rStyle w:val="1"/>
        </w:rPr>
        <w:t xml:space="preserve">Zer bilakaera izan dute legegintzaldi honetan etxebizitza lortzeko eskubide subjektiboa garatzen duten EmanZipa eta DaVid programek?</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