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descomposición de la movilidad recogida en cada decila en función de la decila de destino,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Jorge Esparza Garrido, miembro de las Cortes de Navarra, adscrito al Grupo Parlamentario Navarra Suma (NA+), realizó el día 7 de noviembre una pregunta escrita (10-22/PES-00339), en la que se preguntaba cómo se descompone la movilidad recogida en cada decila en función de la decila de destino en el gráfico número 9 ("Movilidad en Navarra por decilas de ingresos entre 2019 y 2020') que se incluye en el VI Informe sobre la pobreza y la desigualdad social en Navarra. </w:t>
      </w:r>
    </w:p>
    <w:p>
      <w:pPr>
        <w:pStyle w:val="0"/>
        <w:suppressAutoHyphens w:val="false"/>
        <w:rPr>
          <w:rStyle w:val="1"/>
        </w:rPr>
      </w:pPr>
      <w:r>
        <w:rPr>
          <w:rStyle w:val="1"/>
        </w:rPr>
        <w:t xml:space="preserve">Con fecha 16 de diciembre la consejera de Derechos Sociales remitió respuesta en la que únicamente se explica cómo funciona el gráfico en cuestión. Se aporta información para interpretar el gráfico expuesto en el informe. </w:t>
      </w:r>
    </w:p>
    <w:p>
      <w:pPr>
        <w:pStyle w:val="0"/>
        <w:suppressAutoHyphens w:val="false"/>
        <w:rPr>
          <w:rStyle w:val="1"/>
        </w:rPr>
      </w:pPr>
      <w:r>
        <w:rPr>
          <w:rStyle w:val="1"/>
        </w:rPr>
        <w:t xml:space="preserve">Sin embargo, no es eso lo que este parlamentario está demandando. Lo que se pregunta literalmente es cómo se descompone la movilidad en cada una de las decilas en cuestión. Por ejemplo, cuando se dice que el 47 % de los miembros de la decila 7 se mueven a otras decilas intermedias (decilas 3-8), se pide que se descomponga a qué porcentaje de todos ellos se mueve cada decila intermedia concreta, puesto que no es lo mismo que se muevan a la decila 3 que a la decila 8. Y así con todas las decilas del gráfico. </w:t>
      </w:r>
    </w:p>
    <w:p>
      <w:pPr>
        <w:pStyle w:val="0"/>
        <w:suppressAutoHyphens w:val="false"/>
        <w:rPr>
          <w:rStyle w:val="1"/>
        </w:rPr>
      </w:pPr>
      <w:r>
        <w:rPr>
          <w:rStyle w:val="1"/>
        </w:rPr>
        <w:t xml:space="preserve">Por este motivo, se solicita la respuesta a la siguiente pregunta escrita a la Consejera de Derechos Sociales: </w:t>
      </w:r>
    </w:p>
    <w:p>
      <w:pPr>
        <w:pStyle w:val="0"/>
        <w:suppressAutoHyphens w:val="false"/>
        <w:rPr>
          <w:rStyle w:val="1"/>
        </w:rPr>
      </w:pPr>
      <w:r>
        <w:rPr>
          <w:rStyle w:val="1"/>
        </w:rPr>
        <w:t xml:space="preserve">¿Cómo se descompone la movilidad recogida en cada decila en función de la decila de destino? </w:t>
      </w:r>
    </w:p>
    <w:p>
      <w:pPr>
        <w:pStyle w:val="0"/>
        <w:suppressAutoHyphens w:val="false"/>
        <w:rPr>
          <w:rStyle w:val="1"/>
        </w:rPr>
      </w:pPr>
      <w:r>
        <w:rPr>
          <w:rStyle w:val="1"/>
        </w:rPr>
        <w:t xml:space="preserve">Pamplona, 9 de enero de 2023. </w:t>
      </w:r>
    </w:p>
    <w:p>
      <w:pPr>
        <w:pStyle w:val="0"/>
        <w:suppressAutoHyphens w:val="false"/>
        <w:rPr>
          <w:rStyle w:val="1"/>
        </w:rPr>
      </w:pPr>
      <w:r>
        <w:rPr>
          <w:rStyle w:val="1"/>
        </w:rPr>
        <w:t xml:space="preserve">El Parlamentario Foral: Jorge Esparza Garrido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