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30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decisión del Departamento de Cohesión Territorial de suprimir la línea directa de Corella, Cintruénigo y Fitero con Pamplona, formulada por el Ilmo. Sr. D. Javier García Jiménez.</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la Comisión de Cohesión Territorial.</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30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en comisión dirigida al consejero de   Cohesión Territorial:</w:t>
      </w:r>
    </w:p>
    <w:p>
      <w:pPr>
        <w:pStyle w:val="0"/>
        <w:suppressAutoHyphens w:val="false"/>
        <w:rPr>
          <w:rStyle w:val="1"/>
        </w:rPr>
      </w:pPr>
      <w:r>
        <w:rPr>
          <w:rStyle w:val="1"/>
        </w:rPr>
        <w:t xml:space="preserve">¿Por qué ha decidido el departamento suprimir la línea directa de Corella, Cintruénigo y Fitero con Pamplona?</w:t>
      </w:r>
    </w:p>
    <w:p>
      <w:pPr>
        <w:pStyle w:val="0"/>
        <w:suppressAutoHyphens w:val="false"/>
        <w:rPr>
          <w:rStyle w:val="1"/>
        </w:rPr>
      </w:pPr>
      <w:r>
        <w:rPr>
          <w:rStyle w:val="1"/>
        </w:rPr>
        <w:t xml:space="preserve">Pamplona, 24 de enero de 2023</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