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Mendigorriko hondakin organikoen biometanizazio plantaren ingurumen-baimen integratuari buruzkoa. Galdera 2022ko maiatzaren 6ko 57. Nafarroako Parlamentuko Aldizkari Ofizialean argitaratu zen.</w:t>
      </w:r>
    </w:p>
    <w:p>
      <w:pPr>
        <w:pStyle w:val="0"/>
        <w:suppressAutoHyphens w:val="false"/>
        <w:rPr>
          <w:rStyle w:val="1"/>
        </w:rPr>
      </w:pPr>
      <w:r>
        <w:rPr>
          <w:rStyle w:val="1"/>
        </w:rPr>
        <w:t xml:space="preserve">Iruñean, 2022ko abenduaren 22an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Adolfo Araiz Flamarique jaunak idatziz erantzuteko galdera egin du Mendigorriko hondakin organikoen biometanizazio plantaren ingurumen-baimen integratua eguneratzeari buruz (10-22-PES-00154). Instalazioaren titularra Bioenergía Mendi SL da. Galdera hori dela eta, Landa Garapeneko eta Ingurumeneko kontseilariak Ingurumeneko zuzendari nagusiaren txostenean dauden erantzunak helarazten dizkio.</w:t>
      </w:r>
    </w:p>
    <w:p>
      <w:pPr>
        <w:pStyle w:val="0"/>
        <w:suppressAutoHyphens w:val="false"/>
        <w:rPr>
          <w:rStyle w:val="1"/>
        </w:rPr>
      </w:pPr>
      <w:r>
        <w:rPr>
          <w:rStyle w:val="1"/>
        </w:rPr>
        <w:t xml:space="preserve">1. Lehen galdera: Egia al da 2020an Mendigorriko plantan tratatuak izateko sartu ziren tonak guztira 68.707,74 izan zirela?</w:t>
      </w:r>
    </w:p>
    <w:p>
      <w:pPr>
        <w:pStyle w:val="0"/>
        <w:suppressAutoHyphens w:val="false"/>
        <w:rPr>
          <w:rStyle w:val="1"/>
        </w:rPr>
      </w:pPr>
      <w:r>
        <w:rPr>
          <w:rStyle w:val="1"/>
          <w:rFonts w:ascii="Symbol" w:cs="Symbol" w:eastAsia="Symbol" w:hAnsi="Symbol"/>
        </w:rPr>
        <w:t xml:space="preserve"></w:t>
      </w:r>
      <w:r>
        <w:rPr>
          <w:rStyle w:val="1"/>
        </w:rPr>
        <w:t xml:space="preserve"> Erantzuna:</w:t>
      </w:r>
    </w:p>
    <w:p>
      <w:pPr>
        <w:pStyle w:val="0"/>
        <w:suppressAutoHyphens w:val="false"/>
        <w:rPr>
          <w:rStyle w:val="1"/>
        </w:rPr>
      </w:pPr>
      <w:r>
        <w:rPr>
          <w:rStyle w:val="1"/>
        </w:rPr>
        <w:t xml:space="preserve">Hondakin kopuruak hirugarren galderaren erantzunean aipatutakoak dira.</w:t>
      </w:r>
    </w:p>
    <w:p>
      <w:pPr>
        <w:pStyle w:val="0"/>
        <w:suppressAutoHyphens w:val="false"/>
        <w:rPr>
          <w:rStyle w:val="1"/>
        </w:rPr>
      </w:pPr>
      <w:r>
        <w:rPr>
          <w:rStyle w:val="1"/>
        </w:rPr>
        <w:t xml:space="preserve">2. Bigarren galdera: Egia al da 2022ko martxoaren 7ra arte ingurumen baimen integratuak ez zuela baimentzen plantan 28.991 tona baino gehiago jaso eta tratatzerik?</w:t>
      </w:r>
    </w:p>
    <w:p>
      <w:pPr>
        <w:pStyle w:val="0"/>
        <w:suppressAutoHyphens w:val="false"/>
        <w:rPr>
          <w:rStyle w:val="1"/>
        </w:rPr>
      </w:pPr>
      <w:r>
        <w:rPr>
          <w:rStyle w:val="1"/>
          <w:rFonts w:ascii="Symbol" w:cs="Symbol" w:eastAsia="Symbol" w:hAnsi="Symbol"/>
        </w:rPr>
        <w:t xml:space="preserve"></w:t>
      </w:r>
      <w:r>
        <w:rPr>
          <w:rStyle w:val="1"/>
        </w:rPr>
        <w:t xml:space="preserve"> Erantzuna:</w:t>
      </w:r>
    </w:p>
    <w:p>
      <w:pPr>
        <w:pStyle w:val="0"/>
        <w:suppressAutoHyphens w:val="false"/>
        <w:rPr>
          <w:rStyle w:val="1"/>
        </w:rPr>
      </w:pPr>
      <w:r>
        <w:rPr>
          <w:rStyle w:val="1"/>
        </w:rPr>
        <w:t xml:space="preserve">Ekonomia Zirkularraren eta Uraren Zerbitzuko zuzendariaren maiatzaren 4ko 107E/2017 Ebazpenean ezarritakoaren arabera, instalazioaren tratamendu ahalmena urtean 28.991 tonakoa zen.</w:t>
      </w:r>
    </w:p>
    <w:p>
      <w:pPr>
        <w:pStyle w:val="0"/>
        <w:suppressAutoHyphens w:val="false"/>
        <w:rPr>
          <w:rStyle w:val="1"/>
        </w:rPr>
      </w:pPr>
      <w:r>
        <w:rPr>
          <w:rStyle w:val="1"/>
        </w:rPr>
        <w:t xml:space="preserve">107E/2017 Ebazpen hori, ingurumen baimen integratua ofizioz aldatzekoa, deuseztatu egin zen Ekonomia Zirkularraren eta Uraren Zerbitzuko zuzendariaren maiatzaren 16ko 116E/2017 Ebazpenaren bidez, eta ondorioz jarduketak atzera ekarri ziren ofiziozko aldaketaren prozedura ebatzi aurreko unera, titularrak entzunaldiaren izapidean aurkeztu zituen alegazioak baloratzeko. Zerbitzu honek alegazioak baloratu zituen eta, haietan oinarrituta, artxibatu egin ziren ofiziozko aldaketaren espedienteko jarduketak. Halaxe ageri da Ekonomia Zirkularraren eta Uraren Zerbitzuko zuzendariaren 2017ko abuztuaren 3ko Ofizioan.</w:t>
      </w:r>
    </w:p>
    <w:p>
      <w:pPr>
        <w:pStyle w:val="0"/>
        <w:suppressAutoHyphens w:val="false"/>
        <w:rPr>
          <w:rStyle w:val="1"/>
        </w:rPr>
      </w:pPr>
      <w:r>
        <w:rPr>
          <w:rStyle w:val="1"/>
        </w:rPr>
        <w:t xml:space="preserve">Ondorioz, Ingurumenaren eta Uraren zuzendari nagusiaren urriaren 4ko 775/2013 Ebazpenean ezarritako ahalmena mantendu da, hau da, 33.100 tona guztira eta horietatik 9.500 tona minda (ebazpen horren bidez aldaketa egin zen txerrikumeen ekoizpenerako instalazioaren eta hondakin organikoen biometanizazio plantaren ingurumen baimen integratuan).</w:t>
      </w:r>
    </w:p>
    <w:p>
      <w:pPr>
        <w:pStyle w:val="0"/>
        <w:suppressAutoHyphens w:val="false"/>
        <w:rPr>
          <w:rStyle w:val="1"/>
        </w:rPr>
      </w:pPr>
      <w:r>
        <w:rPr>
          <w:rStyle w:val="1"/>
        </w:rPr>
        <w:t xml:space="preserve">3. Hirugarren galdera: Zenbat tona hondakin tratatu dira plantan 2015, 2016, 2017, 2018, 2019, 2020 eta 2021. urteetan?</w:t>
      </w:r>
    </w:p>
    <w:p>
      <w:pPr>
        <w:pStyle w:val="0"/>
        <w:suppressAutoHyphens w:val="false"/>
        <w:rPr>
          <w:rStyle w:val="1"/>
        </w:rPr>
      </w:pPr>
      <w:r>
        <w:rPr>
          <w:rStyle w:val="1"/>
          <w:rFonts w:ascii="Symbol" w:cs="Symbol" w:eastAsia="Symbol" w:hAnsi="Symbol"/>
        </w:rPr>
        <w:t xml:space="preserve"></w:t>
      </w:r>
      <w:r>
        <w:rPr>
          <w:rStyle w:val="1"/>
        </w:rPr>
        <w:t xml:space="preserve"> Erantzuna:</w:t>
      </w:r>
    </w:p>
    <w:p>
      <w:pPr>
        <w:pStyle w:val="3"/>
        <w:suppressAutoHyphens w:val="false"/>
        <w:tabs/>
        <w:rPr/>
      </w:pPr>
      <w:r>
        <w:rPr/>
        <w:t xml:space="preserve">URTEA</w:t>
        <w:tab/>
        <w:t xml:space="preserve">KOPURUA (TONAK)</w:t>
      </w:r>
    </w:p>
    <w:p>
      <w:pPr>
        <w:pStyle w:val="6"/>
        <w:suppressAutoHyphens w:val="false"/>
        <w:tabs/>
        <w:rPr/>
      </w:pPr>
      <w:r>
        <w:rPr/>
        <w:t xml:space="preserve">2015</w:t>
        <w:tab/>
        <w:t xml:space="preserve">36.813,21</w:t>
      </w:r>
    </w:p>
    <w:p>
      <w:pPr>
        <w:pStyle w:val="6"/>
        <w:suppressAutoHyphens w:val="false"/>
        <w:tabs/>
        <w:rPr/>
      </w:pPr>
      <w:r>
        <w:rPr/>
        <w:t xml:space="preserve">2016</w:t>
        <w:tab/>
        <w:t xml:space="preserve">51.489,17</w:t>
      </w:r>
    </w:p>
    <w:p>
      <w:pPr>
        <w:pStyle w:val="6"/>
        <w:suppressAutoHyphens w:val="false"/>
        <w:tabs/>
        <w:rPr/>
      </w:pPr>
      <w:r>
        <w:rPr/>
        <w:t xml:space="preserve">2017</w:t>
        <w:tab/>
        <w:t xml:space="preserve">50.740,04</w:t>
      </w:r>
    </w:p>
    <w:p>
      <w:pPr>
        <w:pStyle w:val="6"/>
        <w:suppressAutoHyphens w:val="false"/>
        <w:tabs/>
        <w:rPr/>
      </w:pPr>
      <w:r>
        <w:rPr/>
        <w:t xml:space="preserve">2018</w:t>
        <w:tab/>
        <w:t xml:space="preserve">60.271,25</w:t>
      </w:r>
    </w:p>
    <w:p>
      <w:pPr>
        <w:pStyle w:val="6"/>
        <w:suppressAutoHyphens w:val="false"/>
        <w:tabs/>
        <w:rPr/>
      </w:pPr>
      <w:r>
        <w:rPr/>
        <w:t xml:space="preserve">2019</w:t>
        <w:tab/>
        <w:t xml:space="preserve">67.244,74</w:t>
      </w:r>
    </w:p>
    <w:p>
      <w:pPr>
        <w:pStyle w:val="6"/>
        <w:suppressAutoHyphens w:val="false"/>
        <w:tabs/>
        <w:rPr/>
      </w:pPr>
      <w:r>
        <w:rPr/>
        <w:t xml:space="preserve">2020</w:t>
        <w:tab/>
        <w:t xml:space="preserve">68.707,74</w:t>
      </w:r>
    </w:p>
    <w:p>
      <w:pPr>
        <w:pStyle w:val="3"/>
        <w:suppressAutoHyphens w:val="false"/>
        <w:tabs/>
      </w:pPr>
      <w:r>
        <w:rPr/>
        <w:t xml:space="preserve">2021</w:t>
        <w:tab/>
        <w:t xml:space="preserve">79.736,51</w:t>
        <w:br w:type="column"/>
      </w:r>
    </w:p>
    <w:p>
      <w:pPr>
        <w:pStyle w:val="0"/>
        <w:suppressAutoHyphens w:val="false"/>
        <w:rPr>
          <w:rStyle w:val="1"/>
        </w:rPr>
      </w:pPr>
      <w:r>
        <w:rPr>
          <w:rStyle w:val="1"/>
        </w:rPr>
        <w:t xml:space="preserve">4. Laugarren galdera: Zer neurri hartu ditu ingurumen arloan eskumena duen departamentuak 2015etik 2021era bitartean, ekidite aldera plantan tona baimenduak baino gehiago tratatzea?</w:t>
      </w:r>
    </w:p>
    <w:p>
      <w:pPr>
        <w:pStyle w:val="0"/>
        <w:suppressAutoHyphens w:val="false"/>
        <w:rPr>
          <w:rStyle w:val="1"/>
        </w:rPr>
      </w:pPr>
      <w:r>
        <w:rPr>
          <w:rStyle w:val="1"/>
          <w:rFonts w:ascii="Symbol" w:cs="Symbol" w:eastAsia="Symbol" w:hAnsi="Symbol"/>
        </w:rPr>
        <w:t xml:space="preserve"></w:t>
      </w:r>
      <w:r>
        <w:rPr>
          <w:rStyle w:val="1"/>
        </w:rPr>
        <w:t xml:space="preserve"> Erantzuna:</w:t>
      </w:r>
    </w:p>
    <w:p>
      <w:pPr>
        <w:pStyle w:val="0"/>
        <w:suppressAutoHyphens w:val="false"/>
        <w:rPr>
          <w:rStyle w:val="1"/>
        </w:rPr>
      </w:pPr>
      <w:r>
        <w:rPr>
          <w:rStyle w:val="1"/>
        </w:rPr>
        <w:t xml:space="preserve">2015etik 2021era bitartean instalaziora hiru ikuskapen bisita egin dituzte Ekonomia Zirkularraren eta Klima Aldaketaren Zerbitzuko teknikariek. Zehazki, 2017-12-15ean, 2020-06-04an eta 2021-10-14an.</w:t>
      </w:r>
    </w:p>
    <w:p>
      <w:pPr>
        <w:pStyle w:val="0"/>
        <w:suppressAutoHyphens w:val="false"/>
        <w:rPr>
          <w:rStyle w:val="1"/>
        </w:rPr>
      </w:pPr>
      <w:r>
        <w:rPr>
          <w:rStyle w:val="1"/>
        </w:rPr>
        <w:t xml:space="preserve">Hiru bisitetako txostenetan digestoreetako egonaldi kalkulatua adierazten da: 30 egun ingurukoa 2017ko txostenean eta 20 egun ingurukoa 2020ko eta 2021eko txostenean; eta adierazten da digestioa mesofiloa dela (36-38º C) digestore primarioan eta termofiloa (50-55º C) sekundarioan.</w:t>
      </w:r>
    </w:p>
    <w:p>
      <w:pPr>
        <w:pStyle w:val="0"/>
        <w:suppressAutoHyphens w:val="false"/>
        <w:rPr>
          <w:rStyle w:val="1"/>
        </w:rPr>
      </w:pPr>
      <w:r>
        <w:rPr>
          <w:rStyle w:val="1"/>
        </w:rPr>
        <w:t xml:space="preserve">Digestio anaerobiokoari buruzko testu teknikoetan zabaldutako irizpideen arabera, 14 eguneko egonaldia gomendatzen da hondakinak 30º C-ko tenperaturan digeritzen badira, eta 10 egunekoa tenperatura 35º C-koa bada. Instalazioko digestore primarioak erregimen mesofiloan dihardu, 36 – 38º C-ko tenperaturan. Beraz, gomendatutako egonaldia 10 bat egunekoa litzateke. Digestore sekundarioak, berriz, erregimen termofiloan dihardu (50 – 55º C), eta gomendatutako egonaldia antzekoa litzateke, edo are laburragoa. Horregatik guztiagatik, hurrenez hurreneko ikuskapen jarduketetan ikusi da instalazioan egindako hondakin-tratamendua onargarria dela eta lortutako digestatoa behar adina egonkorturik dagoela.</w:t>
      </w:r>
    </w:p>
    <w:p>
      <w:pPr>
        <w:pStyle w:val="0"/>
        <w:suppressAutoHyphens w:val="false"/>
        <w:rPr>
          <w:rStyle w:val="1"/>
        </w:rPr>
      </w:pPr>
      <w:r>
        <w:rPr>
          <w:rStyle w:val="1"/>
        </w:rPr>
        <w:t xml:space="preserve">Adierazitako guztia kontuan izanik, lehenengo ikuskapenetik uste izan da biometanizazio plantak funtzionamendu egokia duela eta orain arte tratatutako hondakin kopururako behar adinako ahalmena duela. Izan ere, ez da ingurumenerako inolako eragin kaltegarririk egiaztatu.</w:t>
      </w:r>
    </w:p>
    <w:p>
      <w:pPr>
        <w:pStyle w:val="0"/>
        <w:suppressAutoHyphens w:val="false"/>
        <w:rPr>
          <w:rStyle w:val="1"/>
        </w:rPr>
      </w:pPr>
      <w:r>
        <w:rPr>
          <w:rStyle w:val="1"/>
        </w:rPr>
        <w:t xml:space="preserve">Halaber, digestatoa kudeatzeko hurrenez hurreneko planak onetsiz, beti bermatu da lurralde-oinarri nahikoa digestatoa nekazaritzako ongarri gisa egoki erabili ahal izateko, nahiz eta instalazioetan tratatutako hondakin kopurua gero eta handiagoa izan.</w:t>
      </w:r>
    </w:p>
    <w:p>
      <w:pPr>
        <w:pStyle w:val="0"/>
        <w:suppressAutoHyphens w:val="false"/>
        <w:rPr>
          <w:rStyle w:val="1"/>
        </w:rPr>
      </w:pPr>
      <w:r>
        <w:rPr>
          <w:rStyle w:val="1"/>
        </w:rPr>
        <w:t xml:space="preserve">Hori horrela dela berretsi da digestatoaren eta lurzoruaren kontrol eta jarraipenaren bidez, ingurumen baimen integratuan ezarritako baldintzen arabera.</w:t>
      </w:r>
    </w:p>
    <w:p>
      <w:pPr>
        <w:pStyle w:val="0"/>
        <w:suppressAutoHyphens w:val="false"/>
        <w:rPr>
          <w:rStyle w:val="1"/>
        </w:rPr>
      </w:pPr>
      <w:r>
        <w:rPr>
          <w:rStyle w:val="1"/>
        </w:rPr>
        <w:t xml:space="preserve">Urtero berrikusten da ea digestatoen banaketa bat datorren digestatoen ekoizpen eta kudeaketa planarekin.</w:t>
      </w:r>
    </w:p>
    <w:p>
      <w:pPr>
        <w:pStyle w:val="0"/>
        <w:suppressAutoHyphens w:val="false"/>
        <w:rPr>
          <w:rStyle w:val="1"/>
        </w:rPr>
      </w:pPr>
      <w:r>
        <w:rPr>
          <w:rStyle w:val="1"/>
        </w:rPr>
        <w:t xml:space="preserve">Egoera ikusirik, onargarritzat jo da instalazioaren funtzionamendua eta instalazioak daukan ingurumen baimen integratuan ezarritakoaren betetzea.</w:t>
      </w:r>
    </w:p>
    <w:p>
      <w:pPr>
        <w:pStyle w:val="0"/>
        <w:suppressAutoHyphens w:val="false"/>
        <w:rPr>
          <w:rStyle w:val="1"/>
        </w:rPr>
      </w:pPr>
      <w:r>
        <w:rPr>
          <w:rStyle w:val="1"/>
        </w:rPr>
        <w:t xml:space="preserve">Ekonomia Zirkularraren eta Klima Aldaketaren Zerbitzuko zuzendariaren martxoaren 7ko 62E/2022 Ebazpenak (zeina deuseztatu baita Nafarroako Gobernuaren 2022ko uztailaren 27ko Erabakiaren bidez, Mendigorriko Udalak administrazioarekiko auzien jurisdikziora jo aurretik egindako errekerimendua baietsita) ebazpen bakarrean bateratzen zituen biometanizazio plantari ezarritako baldintza guztiak –baldintza horiek aldatu gabe–, eta aitortzen zuen, aldi berean, instalazioaren ekoizpen ahalmena baimendutakoa baino handiagoa zela eta instalazioak baimenduta zeukan baino ahalmen handiagoarekin funtzionatzen zuela; eta, horregatik, digestatoak ahalmen horren arabera kudeatzeko plana onesten zuen.</w:t>
      </w:r>
    </w:p>
    <w:p>
      <w:pPr>
        <w:pStyle w:val="0"/>
        <w:suppressAutoHyphens w:val="false"/>
        <w:rPr>
          <w:rStyle w:val="1"/>
        </w:rPr>
      </w:pPr>
      <w:r>
        <w:rPr>
          <w:rStyle w:val="1"/>
        </w:rPr>
        <w:t xml:space="preserve">Ez ziren berrikusi ingurumen baimen integratuan jasotako alderdi teknikoak, tratatu beharreko hondakin kopurua tartean, eta nahiago izan zen berrikuspen hori geroago egin, ingurumen baimen integratuaren berrikuspena izapidetzen zenean Batzordearen abuztuaren 10eko 2018/1147 (EB) Erabakira egokitzeko, zeinaren bidez hondakinen tratamendurako teknika erabilgarri onenen (TEO) gaineko konklusioak ezartzen baitira.</w:t>
      </w:r>
    </w:p>
    <w:p>
      <w:pPr>
        <w:pStyle w:val="0"/>
        <w:suppressAutoHyphens w:val="false"/>
        <w:rPr>
          <w:rStyle w:val="1"/>
        </w:rPr>
      </w:pPr>
      <w:r>
        <w:rPr>
          <w:rStyle w:val="1"/>
        </w:rPr>
        <w:t xml:space="preserve">2018ko abuztuaren 17an Europar Batasunaren Aldizkari Ofizialean argitaratu zen Batzordearen abuztuaren 10eko 2018/1147 (EB) Betearazpen Erabakia, zeinaren bidez ezartzen baitira hondakinen tratamendurako teknika erabilgarri onenen (TEO) gaineko konklusioak, bat etorriz Europako Parlamentuaren eta Kontseiluaren 2010/75/EB Zuzentarauarekin.</w:t>
      </w:r>
    </w:p>
    <w:p>
      <w:pPr>
        <w:pStyle w:val="0"/>
        <w:suppressAutoHyphens w:val="false"/>
        <w:rPr>
          <w:rStyle w:val="1"/>
        </w:rPr>
      </w:pPr>
      <w:r>
        <w:rPr>
          <w:rStyle w:val="1"/>
        </w:rPr>
        <w:t xml:space="preserve">Ondorioz, ingurumen baimen integratua berrikusi behar zen, eta eguneratu, beharrezkoa izanez gero, 2022ko abuztuaren 17a baino lehen, instalazioa 2018/1147 (EB) Betearazpen Erabakira egokitzeko.</w:t>
      </w:r>
    </w:p>
    <w:p>
      <w:pPr>
        <w:pStyle w:val="0"/>
        <w:suppressAutoHyphens w:val="false"/>
        <w:rPr>
          <w:rStyle w:val="1"/>
        </w:rPr>
      </w:pPr>
      <w:r>
        <w:rPr>
          <w:rStyle w:val="1"/>
        </w:rPr>
        <w:t xml:space="preserve">2022ko maiatzaren 3an, titularrak eskaturik, administrazio espedientea hasi da. Espediente hori izapidetzen ari da eta jendaurrean jarri da 2022ko ekainaren 17an Nafarroako Aldizkari Ofizialean argitaratutako iragarkiaren bitartez. Halaber, ingurumen ebaluazioaren prozedura egiten ari zaio.</w:t>
      </w:r>
    </w:p>
    <w:p>
      <w:pPr>
        <w:pStyle w:val="0"/>
        <w:suppressAutoHyphens w:val="false"/>
        <w:rPr>
          <w:rStyle w:val="1"/>
        </w:rPr>
      </w:pPr>
      <w:r>
        <w:rPr>
          <w:rStyle w:val="1"/>
        </w:rPr>
        <w:t xml:space="preserve">Berrikuspen hori egiten denean, hondakinak tratatzeko ahalmena eguneratuko da, bermatzeko bat datorrela biogas instalazioaren benetako tratamendu ahalmen teknikoarekin.</w:t>
      </w:r>
    </w:p>
    <w:p>
      <w:pPr>
        <w:pStyle w:val="0"/>
        <w:suppressAutoHyphens w:val="false"/>
        <w:rPr>
          <w:rStyle w:val="1"/>
        </w:rPr>
      </w:pPr>
      <w:r>
        <w:rPr>
          <w:rStyle w:val="1"/>
        </w:rPr>
        <w:t xml:space="preserve">5. Bosgarren galdera: Bionergía Mendi SLren aurkako zehapen-espedienterik abiarazi al da, Mendigorriko plantan tratatzeko baimendutako tona kopurua gainditzeagatik?</w:t>
      </w:r>
    </w:p>
    <w:p>
      <w:pPr>
        <w:pStyle w:val="0"/>
        <w:suppressAutoHyphens w:val="false"/>
        <w:rPr>
          <w:rStyle w:val="1"/>
        </w:rPr>
      </w:pPr>
      <w:r>
        <w:rPr>
          <w:rStyle w:val="1"/>
          <w:rFonts w:ascii="Symbol" w:cs="Symbol" w:eastAsia="Symbol" w:hAnsi="Symbol"/>
        </w:rPr>
        <w:t xml:space="preserve"></w:t>
      </w:r>
      <w:r>
        <w:rPr>
          <w:rStyle w:val="1"/>
        </w:rPr>
        <w:t xml:space="preserve"> Erantzuna:</w:t>
      </w:r>
    </w:p>
    <w:p>
      <w:pPr>
        <w:pStyle w:val="0"/>
        <w:suppressAutoHyphens w:val="false"/>
        <w:rPr>
          <w:rStyle w:val="1"/>
        </w:rPr>
      </w:pPr>
      <w:r>
        <w:rPr>
          <w:rStyle w:val="1"/>
        </w:rPr>
        <w:t xml:space="preserve">Azaroaren 17ko 2321/2009 Ebazpenaren bidez eman zenetik martxoaren 7ko 62E/2022 Ebazpen deuseztatuaren bidez eguneratu zen arte, ingurumen baimen integratuak ez zuen berariaz mugatzen hondakinak kudeatzeko ahalmena. Horregatik, Ekonomia Zirkularraren eta Klima Aldaketaren Zerbitzuak ez zuen hautematen baimeneko baldintzak urratzen ari zirenik.</w:t>
      </w:r>
    </w:p>
    <w:p>
      <w:pPr>
        <w:pStyle w:val="0"/>
        <w:suppressAutoHyphens w:val="false"/>
        <w:rPr>
          <w:rStyle w:val="1"/>
        </w:rPr>
      </w:pPr>
      <w:r>
        <w:rPr>
          <w:rStyle w:val="1"/>
        </w:rPr>
        <w:t xml:space="preserve">Jardueran 2022ko ekainaren 10ean egindako beste ikuskapen baten harira egiaztatu denez, instalazioan 2021ean jasotako hondakin kopurua 79.736 tona izan zen guztira (horietatik 16.900 tona minda). Orduan indarra zuen baimenaren I. eranskinean kopuru txikiagoak adierazten ziren (33.100 tona guztira, horietatik 9.500 tona minda). Tratatutako kopurua ingurumen baimen integratuan adierazitakoaren % 50 baino gehiago da.</w:t>
      </w:r>
    </w:p>
    <w:p>
      <w:pPr>
        <w:pStyle w:val="0"/>
        <w:suppressAutoHyphens w:val="false"/>
        <w:rPr>
          <w:rStyle w:val="1"/>
        </w:rPr>
      </w:pPr>
      <w:r>
        <w:rPr>
          <w:rStyle w:val="1"/>
        </w:rPr>
        <w:t xml:space="preserve">Ondorioz, Ekonomia Zirkularraren eta Klima Aldaketaren Zerbitzuak zehapen espedientea abiarazteko eskatu zuen. Espediente hori dagoeneko amaitu da eta enpresari zehapena ezarri zaio.</w:t>
      </w:r>
    </w:p>
    <w:p>
      <w:pPr>
        <w:pStyle w:val="0"/>
        <w:suppressAutoHyphens w:val="false"/>
        <w:rPr>
          <w:rStyle w:val="1"/>
        </w:rPr>
      </w:pPr>
      <w:r>
        <w:rPr>
          <w:rStyle w:val="1"/>
        </w:rPr>
        <w:t xml:space="preserve">Iruñean, 19 de diciembre de 2022</w:t>
      </w:r>
    </w:p>
    <w:p>
      <w:pPr>
        <w:pStyle w:val="0"/>
        <w:suppressAutoHyphens w:val="false"/>
        <w:rPr>
          <w:rStyle w:val="1"/>
        </w:rPr>
      </w:pPr>
      <w:r>
        <w:rPr>
          <w:rStyle w:val="1"/>
        </w:rPr>
        <w:t xml:space="preserve">Landa Garapeneko eta Ingurumeneko kontseilaria: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4" w:type="paragraph">
    <w:name w:val="Tab7"/>
    <w:basedOn w:val="5"/>
    <w:next w:val="4"/>
    <w:qFormat w:val="true"/>
    <w:pPr>
      <w:jc w:val="left"/>
      <w:ind w:firstLine="0"/>
      <w:spacing w:after="113.386" w:before="0" w:line="230" w:lineRule="exact"/>
      <w:keepNext w:val="false"/>
      <w:keepLines w:val="true"/>
      <w:textFlow w:val="lrTb"/>
      <w:textAlignment w:val="baseline"/>
      <w:suppressAutoHyphens w:val="false"/>
      <w:contextualSpacing w:val="false"/>
    </w:pPr>
    <w:rPr/>
  </w:style>
  <w:style w:customStyle="1" w:styleId="3" w:type="paragraph">
    <w:name w:val="Tab7(1)"/>
    <w:basedOn w:val="4"/>
    <w:next w:val="3"/>
    <w:qFormat w:val="true"/>
    <w:pPr>
      <w:jc w:val="right"/>
      <w:ind w:firstLine="0"/>
      <w:spacing w:after="113.386" w:before="0" w:line="230" w:lineRule="exact"/>
      <w:keepNext w:val="false"/>
      <w:keepLines w:val="true"/>
      <w:textFlow w:val="lrTb"/>
      <w:textAlignment w:val="baseline"/>
      <w:suppressAutoHyphens w:val="false"/>
      <w:contextualSpacing w:val="false"/>
      <w:tabs>
        <w:tab w:leader="none" w:pos="4288.365" w:val="right"/>
      </w:tabs>
    </w:pPr>
    <w:rPr/>
  </w:style>
  <w:style w:customStyle="1" w:styleId="7" w:type="paragraph">
    <w:name w:val="Tab8"/>
    <w:basedOn w:val="0"/>
    <w:next w:val="7"/>
    <w:qFormat w:val="true"/>
    <w:pPr>
      <w:jc w:val="left"/>
      <w:ind w:firstLine="0"/>
      <w:spacing w:after="56.693" w:before="0" w:line="230" w:lineRule="exact"/>
      <w:keepNext w:val="false"/>
      <w:keepLines w:val="true"/>
      <w:textFlow w:val="lrTb"/>
      <w:textAlignment w:val="baseline"/>
      <w:suppressAutoHyphens w:val="false"/>
      <w:contextualSpacing w:val="false"/>
    </w:pPr>
    <w:rPr>
      <w:rFonts w:ascii="Helvetica LT Std" w:cs="Helvetica LT Std" w:eastAsia="Helvetica LT Std" w:hAnsi="Helvetica LT Std"/>
    </w:rPr>
  </w:style>
  <w:style w:customStyle="1" w:styleId="6" w:type="paragraph">
    <w:name w:val="Tab8(1)"/>
    <w:basedOn w:val="7"/>
    <w:next w:val="6"/>
    <w:qFormat w:val="true"/>
    <w:pPr>
      <w:jc w:val="left"/>
      <w:ind w:firstLine="0"/>
      <w:spacing w:after="56.693" w:before="0" w:line="230" w:lineRule="exact"/>
      <w:keepNext w:val="false"/>
      <w:keepLines w:val="true"/>
      <w:textFlow w:val="lrTb"/>
      <w:textAlignment w:val="baseline"/>
      <w:suppressAutoHyphens w:val="false"/>
      <w:contextualSpacing w:val="false"/>
      <w:tabs>
        <w:tab w:leader="none" w:pos="4288.365" w:val="right"/>
      </w:tabs>
    </w:pPr>
    <w:rPr/>
  </w:style>
  <w:style w:customStyle="1" w:styleId="5" w:type="paragraph">
    <w:name w:val="Tab9"/>
    <w:basedOn w:val="0"/>
    <w:next w:val="5"/>
    <w:qFormat w:val="true"/>
    <w:pPr>
      <w:jc w:val="left"/>
      <w:ind w:firstLine="0"/>
      <w:spacing w:after="113.386" w:before="113.386" w:line="230" w:lineRule="exact"/>
      <w:keepNext w:val="false"/>
      <w:keepLines w:val="true"/>
      <w:textFlow w:val="lrTb"/>
      <w:textAlignment w:val="baseline"/>
      <w:suppressAutoHyphens w:val="false"/>
      <w:contextualSpacing w:val="false"/>
    </w:pPr>
    <w:rPr>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