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26B0" w14:textId="77777777" w:rsidR="007E46E2" w:rsidRDefault="007E46E2">
      <w:pPr>
        <w:spacing w:after="121"/>
        <w:ind w:left="715" w:right="658"/>
      </w:pPr>
      <w:r>
        <w:t xml:space="preserve">La Consejera de Derechos Sociales del Gobierno de Navarra, en relación con la pregunta formulada por el parlamentario don Jorge Esparza Garrido, adscrito al Grupo Parlamentario Navarra Suma, sobre las pensiones y complementos a pensiones realizadas por el Gobierno de Navarra en 2021 (10-22/PES-00333), tiene el honor de informarle lo siguiente: </w:t>
      </w:r>
    </w:p>
    <w:p w14:paraId="7C546E43" w14:textId="07E22F02" w:rsidR="0062049F" w:rsidRDefault="007E46E2">
      <w:pPr>
        <w:ind w:left="715" w:right="658"/>
      </w:pPr>
      <w:r>
        <w:t xml:space="preserve">Previo a la presentación de los datos que requiere el Sr. Esparza, cabe aclarar que las pensiones y complementos que se gestionan en el Departamento de Derechos Sociales en materia de pensiones son las siguientes: </w:t>
      </w:r>
    </w:p>
    <w:p w14:paraId="4E17075C" w14:textId="77777777" w:rsidR="0062049F" w:rsidRDefault="007E46E2">
      <w:pPr>
        <w:numPr>
          <w:ilvl w:val="0"/>
          <w:numId w:val="1"/>
        </w:numPr>
        <w:ind w:right="658" w:hanging="360"/>
      </w:pPr>
      <w:r>
        <w:t xml:space="preserve">Prestaciones sociales y económicas para personas con discapacidad, entre ellas el subsidio de movilidad y gastos de transporte, (previsto en la LISMI) que se regularon en el Real Decreto 383/1984, de 1 de febrero, y que quedaron suprimidas por la Ley 26/1990, de 20 de diciembre, por la cual se regularon las Pensiones No Contributivas. A partir de la publicación de esta Ley, este subsidio fue sustituido por las pensiones no contributivas de Invalidez y, por tanto, ya no se revaloriza y tiende a desaparecer. </w:t>
      </w:r>
    </w:p>
    <w:p w14:paraId="64823A8C" w14:textId="77777777" w:rsidR="0062049F" w:rsidRDefault="007E46E2">
      <w:pPr>
        <w:numPr>
          <w:ilvl w:val="0"/>
          <w:numId w:val="1"/>
        </w:numPr>
        <w:ind w:right="658" w:hanging="360"/>
      </w:pPr>
      <w:r>
        <w:t xml:space="preserve">Pensiones del ámbito no contributivo de la Seguridad Social, en su modalidad de Jubilación e Invalidez, que se gestionan en Navarra desde el año 1991, (Real Decreto 1681/1990, de 28 de diciembre). </w:t>
      </w:r>
    </w:p>
    <w:p w14:paraId="2168B4F0" w14:textId="77777777" w:rsidR="007E46E2" w:rsidRDefault="007E46E2">
      <w:pPr>
        <w:numPr>
          <w:ilvl w:val="0"/>
          <w:numId w:val="1"/>
        </w:numPr>
        <w:ind w:right="658" w:hanging="360"/>
      </w:pPr>
      <w:r>
        <w:t xml:space="preserve">Complemento de alquiler para pensionistas no contributivos que es una prestación, al igual que las anteriores, de ámbito estatal, regulada por el Real Decreto 1191/2012, de 3 de agosto, por el que se establecen normas para el reconocimiento del complemento de pensión para el alquiler de vivienda a favor de los pensionistas de la Seguridad Social en su modalidad no contributiva. </w:t>
      </w:r>
    </w:p>
    <w:p w14:paraId="62F8DC3C" w14:textId="13FE64AB" w:rsidR="0062049F" w:rsidRDefault="007E46E2">
      <w:pPr>
        <w:ind w:left="715" w:right="658"/>
      </w:pPr>
      <w:r>
        <w:t xml:space="preserve">Por otro lado, el Texto Refundido de la Ley Foral del Impuesto sobre la Renta de las personas Físicas, aprobado por Decreto Foral Legislativo 4/2008, de 2 de junio contempla una serie de deducciones fiscales aplicables a pensionistas de viudedad y de jubilación. Esta deducción se puede aplicar de manera anticipada en dos casos concretos, las pensiones de viudedad con derecho a </w:t>
      </w:r>
    </w:p>
    <w:p w14:paraId="09D8B98B" w14:textId="77777777" w:rsidR="007E46E2" w:rsidRDefault="007E46E2">
      <w:pPr>
        <w:ind w:left="715" w:right="658"/>
      </w:pPr>
      <w:r>
        <w:t xml:space="preserve">complemento a mínimos y pensionista no contributivo de jubilación que cumple además los requisitos de renta garantizada. Para estos casos, se requiere la solicitud de dicha modalidad en el Departamento de Derechos Sociales, quien valora y, en su caso, propone el abono anticipado.  </w:t>
      </w:r>
    </w:p>
    <w:p w14:paraId="35A9714A" w14:textId="77777777" w:rsidR="007E46E2" w:rsidRDefault="007E46E2">
      <w:pPr>
        <w:ind w:left="715" w:right="658"/>
      </w:pPr>
      <w:r>
        <w:lastRenderedPageBreak/>
        <w:t xml:space="preserve">En resumen, en la materia que nos ocupa existen tres tipos de medidas de protección social que están operando en la actualidad: pensiones, complemento de alquiler y deducciones fiscales. </w:t>
      </w:r>
    </w:p>
    <w:p w14:paraId="65EAB62D" w14:textId="05CAA418" w:rsidR="0062049F" w:rsidRDefault="007E46E2">
      <w:pPr>
        <w:spacing w:line="259" w:lineRule="auto"/>
        <w:ind w:left="715" w:right="658"/>
      </w:pPr>
      <w:r>
        <w:t xml:space="preserve">Los datos de gestión relativos a las tres modalidades en 2021 son las siguientes:  </w:t>
      </w:r>
    </w:p>
    <w:p w14:paraId="6FA29046" w14:textId="77777777" w:rsidR="007E46E2" w:rsidRDefault="007E46E2">
      <w:pPr>
        <w:spacing w:line="259" w:lineRule="auto"/>
        <w:ind w:left="715" w:right="658"/>
      </w:pPr>
    </w:p>
    <w:tbl>
      <w:tblPr>
        <w:tblStyle w:val="TableGrid"/>
        <w:tblW w:w="9619" w:type="dxa"/>
        <w:tblInd w:w="279" w:type="dxa"/>
        <w:tblCellMar>
          <w:top w:w="54" w:type="dxa"/>
          <w:left w:w="68" w:type="dxa"/>
          <w:right w:w="19" w:type="dxa"/>
        </w:tblCellMar>
        <w:tblLook w:val="04A0" w:firstRow="1" w:lastRow="0" w:firstColumn="1" w:lastColumn="0" w:noHBand="0" w:noVBand="1"/>
      </w:tblPr>
      <w:tblGrid>
        <w:gridCol w:w="3055"/>
        <w:gridCol w:w="1709"/>
        <w:gridCol w:w="1650"/>
        <w:gridCol w:w="1801"/>
        <w:gridCol w:w="1404"/>
      </w:tblGrid>
      <w:tr w:rsidR="0062049F" w14:paraId="668675DB" w14:textId="77777777" w:rsidTr="007E46E2">
        <w:trPr>
          <w:trHeight w:val="368"/>
        </w:trPr>
        <w:tc>
          <w:tcPr>
            <w:tcW w:w="8215" w:type="dxa"/>
            <w:gridSpan w:val="4"/>
            <w:tcBorders>
              <w:top w:val="single" w:sz="4" w:space="0" w:color="3AC354"/>
              <w:left w:val="single" w:sz="4" w:space="0" w:color="3AC354"/>
              <w:bottom w:val="single" w:sz="4" w:space="0" w:color="3AC354"/>
              <w:right w:val="nil"/>
            </w:tcBorders>
            <w:shd w:val="clear" w:color="auto" w:fill="E8F8EB"/>
          </w:tcPr>
          <w:p w14:paraId="785BD0B5" w14:textId="77777777" w:rsidR="0062049F" w:rsidRDefault="007E46E2">
            <w:pPr>
              <w:spacing w:line="259" w:lineRule="auto"/>
              <w:ind w:left="2354" w:right="0" w:firstLine="0"/>
              <w:jc w:val="left"/>
            </w:pPr>
            <w:r>
              <w:rPr>
                <w:b/>
                <w:sz w:val="18"/>
              </w:rPr>
              <w:t xml:space="preserve">Pensiones del nivel no contributivo de la Seguridad Social </w:t>
            </w:r>
          </w:p>
        </w:tc>
        <w:tc>
          <w:tcPr>
            <w:tcW w:w="1404" w:type="dxa"/>
            <w:tcBorders>
              <w:top w:val="single" w:sz="4" w:space="0" w:color="3AC354"/>
              <w:left w:val="nil"/>
              <w:bottom w:val="single" w:sz="4" w:space="0" w:color="3AC354"/>
              <w:right w:val="single" w:sz="4" w:space="0" w:color="3AC354"/>
            </w:tcBorders>
            <w:shd w:val="clear" w:color="auto" w:fill="E8F8EB"/>
          </w:tcPr>
          <w:p w14:paraId="7562B353" w14:textId="77777777" w:rsidR="0062049F" w:rsidRDefault="0062049F">
            <w:pPr>
              <w:spacing w:after="160" w:line="259" w:lineRule="auto"/>
              <w:ind w:left="0" w:right="0" w:firstLine="0"/>
              <w:jc w:val="left"/>
            </w:pPr>
          </w:p>
        </w:tc>
      </w:tr>
      <w:tr w:rsidR="0062049F" w14:paraId="20FCDFF4" w14:textId="77777777" w:rsidTr="007E46E2">
        <w:trPr>
          <w:trHeight w:val="367"/>
        </w:trPr>
        <w:tc>
          <w:tcPr>
            <w:tcW w:w="3055" w:type="dxa"/>
            <w:tcBorders>
              <w:top w:val="single" w:sz="4" w:space="0" w:color="3AC354"/>
              <w:left w:val="single" w:sz="4" w:space="0" w:color="3AC354"/>
              <w:bottom w:val="single" w:sz="4" w:space="0" w:color="3AC354"/>
              <w:right w:val="single" w:sz="4" w:space="0" w:color="3AC354"/>
            </w:tcBorders>
            <w:shd w:val="clear" w:color="auto" w:fill="E8F8EB"/>
          </w:tcPr>
          <w:p w14:paraId="4F643264" w14:textId="77777777" w:rsidR="0062049F" w:rsidRDefault="007E46E2">
            <w:pPr>
              <w:spacing w:line="259" w:lineRule="auto"/>
              <w:ind w:left="0" w:right="0" w:firstLine="0"/>
              <w:jc w:val="left"/>
            </w:pPr>
            <w:r>
              <w:rPr>
                <w:sz w:val="18"/>
              </w:rPr>
              <w:t xml:space="preserve">Modalidad medida </w:t>
            </w:r>
          </w:p>
        </w:tc>
        <w:tc>
          <w:tcPr>
            <w:tcW w:w="1709" w:type="dxa"/>
            <w:tcBorders>
              <w:top w:val="single" w:sz="4" w:space="0" w:color="3AC354"/>
              <w:left w:val="single" w:sz="4" w:space="0" w:color="3AC354"/>
              <w:bottom w:val="single" w:sz="4" w:space="0" w:color="3AC354"/>
              <w:right w:val="single" w:sz="4" w:space="0" w:color="3AC354"/>
            </w:tcBorders>
            <w:shd w:val="clear" w:color="auto" w:fill="E8F8EB"/>
          </w:tcPr>
          <w:p w14:paraId="51EE0C61" w14:textId="77777777" w:rsidR="0062049F" w:rsidRDefault="007E46E2">
            <w:pPr>
              <w:spacing w:line="259" w:lineRule="auto"/>
              <w:ind w:left="0" w:right="50" w:firstLine="0"/>
              <w:jc w:val="center"/>
            </w:pPr>
            <w:r>
              <w:rPr>
                <w:sz w:val="18"/>
              </w:rPr>
              <w:t xml:space="preserve">Nº de pensiones </w:t>
            </w:r>
          </w:p>
        </w:tc>
        <w:tc>
          <w:tcPr>
            <w:tcW w:w="1650" w:type="dxa"/>
            <w:tcBorders>
              <w:top w:val="single" w:sz="4" w:space="0" w:color="3AC354"/>
              <w:left w:val="single" w:sz="4" w:space="0" w:color="3AC354"/>
              <w:bottom w:val="single" w:sz="4" w:space="0" w:color="3AC354"/>
              <w:right w:val="single" w:sz="4" w:space="0" w:color="3AC354"/>
            </w:tcBorders>
            <w:shd w:val="clear" w:color="auto" w:fill="E8F8EB"/>
          </w:tcPr>
          <w:p w14:paraId="345DCE37" w14:textId="77777777" w:rsidR="0062049F" w:rsidRDefault="007E46E2">
            <w:pPr>
              <w:spacing w:line="259" w:lineRule="auto"/>
              <w:ind w:left="95" w:right="0" w:firstLine="0"/>
              <w:jc w:val="left"/>
            </w:pPr>
            <w:r>
              <w:rPr>
                <w:sz w:val="18"/>
              </w:rPr>
              <w:t xml:space="preserve">Cuantía media € </w:t>
            </w:r>
          </w:p>
        </w:tc>
        <w:tc>
          <w:tcPr>
            <w:tcW w:w="1801" w:type="dxa"/>
            <w:tcBorders>
              <w:top w:val="single" w:sz="4" w:space="0" w:color="3AC354"/>
              <w:left w:val="single" w:sz="4" w:space="0" w:color="3AC354"/>
              <w:bottom w:val="single" w:sz="4" w:space="0" w:color="3AC354"/>
              <w:right w:val="single" w:sz="4" w:space="0" w:color="3AC354"/>
            </w:tcBorders>
            <w:shd w:val="clear" w:color="auto" w:fill="E8F8EB"/>
          </w:tcPr>
          <w:p w14:paraId="0DBCD9D1" w14:textId="77777777" w:rsidR="0062049F" w:rsidRDefault="007E46E2">
            <w:pPr>
              <w:spacing w:line="259" w:lineRule="auto"/>
              <w:ind w:left="0" w:right="48" w:firstLine="0"/>
              <w:jc w:val="center"/>
            </w:pPr>
            <w:r>
              <w:rPr>
                <w:sz w:val="18"/>
              </w:rPr>
              <w:t xml:space="preserve">Media Mensual € </w:t>
            </w:r>
          </w:p>
        </w:tc>
        <w:tc>
          <w:tcPr>
            <w:tcW w:w="1404" w:type="dxa"/>
            <w:tcBorders>
              <w:top w:val="single" w:sz="4" w:space="0" w:color="3AC354"/>
              <w:left w:val="single" w:sz="4" w:space="0" w:color="3AC354"/>
              <w:bottom w:val="single" w:sz="4" w:space="0" w:color="3AC354"/>
              <w:right w:val="single" w:sz="4" w:space="0" w:color="3AC354"/>
            </w:tcBorders>
            <w:shd w:val="clear" w:color="auto" w:fill="E8F8EB"/>
          </w:tcPr>
          <w:p w14:paraId="20FCE57E" w14:textId="77777777" w:rsidR="0062049F" w:rsidRDefault="007E46E2">
            <w:pPr>
              <w:spacing w:line="259" w:lineRule="auto"/>
              <w:ind w:left="0" w:right="50" w:firstLine="0"/>
              <w:jc w:val="center"/>
            </w:pPr>
            <w:r>
              <w:rPr>
                <w:sz w:val="18"/>
              </w:rPr>
              <w:t xml:space="preserve">Total </w:t>
            </w:r>
          </w:p>
        </w:tc>
      </w:tr>
      <w:tr w:rsidR="0062049F" w14:paraId="2DA3D97A" w14:textId="77777777" w:rsidTr="007E46E2">
        <w:trPr>
          <w:trHeight w:val="367"/>
        </w:trPr>
        <w:tc>
          <w:tcPr>
            <w:tcW w:w="3055" w:type="dxa"/>
            <w:tcBorders>
              <w:top w:val="single" w:sz="4" w:space="0" w:color="3AC354"/>
              <w:left w:val="single" w:sz="4" w:space="0" w:color="3AC354"/>
              <w:bottom w:val="single" w:sz="4" w:space="0" w:color="3AC354"/>
              <w:right w:val="single" w:sz="4" w:space="0" w:color="3AC354"/>
            </w:tcBorders>
            <w:shd w:val="clear" w:color="auto" w:fill="E8F8EB"/>
          </w:tcPr>
          <w:p w14:paraId="20284A91" w14:textId="77777777" w:rsidR="0062049F" w:rsidRDefault="007E46E2">
            <w:pPr>
              <w:spacing w:line="259" w:lineRule="auto"/>
              <w:ind w:left="0" w:right="0" w:firstLine="0"/>
              <w:jc w:val="left"/>
            </w:pPr>
            <w:r>
              <w:rPr>
                <w:sz w:val="18"/>
              </w:rPr>
              <w:t xml:space="preserve">Antigua LISMI  </w:t>
            </w:r>
          </w:p>
        </w:tc>
        <w:tc>
          <w:tcPr>
            <w:tcW w:w="1709" w:type="dxa"/>
            <w:tcBorders>
              <w:top w:val="single" w:sz="4" w:space="0" w:color="3AC354"/>
              <w:left w:val="single" w:sz="4" w:space="0" w:color="3AC354"/>
              <w:bottom w:val="single" w:sz="4" w:space="0" w:color="3AC354"/>
              <w:right w:val="single" w:sz="4" w:space="0" w:color="3AC354"/>
            </w:tcBorders>
            <w:shd w:val="clear" w:color="auto" w:fill="E8F8EB"/>
          </w:tcPr>
          <w:p w14:paraId="44C1559F" w14:textId="77777777" w:rsidR="0062049F" w:rsidRDefault="007E46E2">
            <w:pPr>
              <w:spacing w:line="259" w:lineRule="auto"/>
              <w:ind w:left="0" w:right="48" w:firstLine="0"/>
              <w:jc w:val="right"/>
            </w:pPr>
            <w:r>
              <w:rPr>
                <w:sz w:val="18"/>
              </w:rPr>
              <w:t xml:space="preserve">50 </w:t>
            </w:r>
          </w:p>
        </w:tc>
        <w:tc>
          <w:tcPr>
            <w:tcW w:w="1650" w:type="dxa"/>
            <w:tcBorders>
              <w:top w:val="single" w:sz="4" w:space="0" w:color="3AC354"/>
              <w:left w:val="single" w:sz="4" w:space="0" w:color="3AC354"/>
              <w:bottom w:val="single" w:sz="4" w:space="0" w:color="3AC354"/>
              <w:right w:val="single" w:sz="4" w:space="0" w:color="3AC354"/>
            </w:tcBorders>
            <w:shd w:val="clear" w:color="auto" w:fill="E8F8EB"/>
          </w:tcPr>
          <w:p w14:paraId="47FE9066" w14:textId="77777777" w:rsidR="0062049F" w:rsidRDefault="007E46E2">
            <w:pPr>
              <w:spacing w:line="259" w:lineRule="auto"/>
              <w:ind w:left="0" w:right="50" w:firstLine="0"/>
              <w:jc w:val="right"/>
            </w:pPr>
            <w:r>
              <w:rPr>
                <w:sz w:val="18"/>
              </w:rPr>
              <w:t xml:space="preserve">1.775,26 </w:t>
            </w:r>
          </w:p>
        </w:tc>
        <w:tc>
          <w:tcPr>
            <w:tcW w:w="1801" w:type="dxa"/>
            <w:tcBorders>
              <w:top w:val="single" w:sz="4" w:space="0" w:color="3AC354"/>
              <w:left w:val="single" w:sz="4" w:space="0" w:color="3AC354"/>
              <w:bottom w:val="single" w:sz="4" w:space="0" w:color="3AC354"/>
              <w:right w:val="single" w:sz="4" w:space="0" w:color="3AC354"/>
            </w:tcBorders>
            <w:shd w:val="clear" w:color="auto" w:fill="E8F8EB"/>
          </w:tcPr>
          <w:p w14:paraId="0BF67884" w14:textId="77777777" w:rsidR="0062049F" w:rsidRDefault="007E46E2">
            <w:pPr>
              <w:spacing w:line="259" w:lineRule="auto"/>
              <w:ind w:left="0" w:right="48" w:firstLine="0"/>
              <w:jc w:val="right"/>
            </w:pPr>
            <w:r>
              <w:rPr>
                <w:sz w:val="18"/>
              </w:rPr>
              <w:t xml:space="preserve">147,94 </w:t>
            </w:r>
          </w:p>
        </w:tc>
        <w:tc>
          <w:tcPr>
            <w:tcW w:w="1404" w:type="dxa"/>
            <w:tcBorders>
              <w:top w:val="single" w:sz="4" w:space="0" w:color="3AC354"/>
              <w:left w:val="single" w:sz="4" w:space="0" w:color="3AC354"/>
              <w:bottom w:val="single" w:sz="4" w:space="0" w:color="3AC354"/>
              <w:right w:val="single" w:sz="4" w:space="0" w:color="3AC354"/>
            </w:tcBorders>
            <w:shd w:val="clear" w:color="auto" w:fill="E8F8EB"/>
          </w:tcPr>
          <w:p w14:paraId="097A232B" w14:textId="77777777" w:rsidR="0062049F" w:rsidRDefault="007E46E2">
            <w:pPr>
              <w:spacing w:line="259" w:lineRule="auto"/>
              <w:ind w:left="0" w:right="48" w:firstLine="0"/>
              <w:jc w:val="right"/>
            </w:pPr>
            <w:r>
              <w:rPr>
                <w:sz w:val="18"/>
              </w:rPr>
              <w:t xml:space="preserve">88.762,99 </w:t>
            </w:r>
          </w:p>
        </w:tc>
      </w:tr>
      <w:tr w:rsidR="0062049F" w14:paraId="733F8DB6" w14:textId="77777777" w:rsidTr="007E46E2">
        <w:trPr>
          <w:trHeight w:val="370"/>
        </w:trPr>
        <w:tc>
          <w:tcPr>
            <w:tcW w:w="3055" w:type="dxa"/>
            <w:tcBorders>
              <w:top w:val="single" w:sz="4" w:space="0" w:color="3AC354"/>
              <w:left w:val="single" w:sz="4" w:space="0" w:color="3AC354"/>
              <w:bottom w:val="single" w:sz="4" w:space="0" w:color="3AC354"/>
              <w:right w:val="single" w:sz="4" w:space="0" w:color="3AC354"/>
            </w:tcBorders>
            <w:shd w:val="clear" w:color="auto" w:fill="E8F8EB"/>
          </w:tcPr>
          <w:p w14:paraId="01DAE149" w14:textId="77777777" w:rsidR="0062049F" w:rsidRDefault="007E46E2">
            <w:pPr>
              <w:spacing w:line="259" w:lineRule="auto"/>
              <w:ind w:left="0" w:right="0" w:firstLine="0"/>
              <w:jc w:val="left"/>
            </w:pPr>
            <w:r>
              <w:rPr>
                <w:sz w:val="18"/>
              </w:rPr>
              <w:t xml:space="preserve">PNC Jubilación  </w:t>
            </w:r>
          </w:p>
        </w:tc>
        <w:tc>
          <w:tcPr>
            <w:tcW w:w="1709" w:type="dxa"/>
            <w:tcBorders>
              <w:top w:val="single" w:sz="4" w:space="0" w:color="3AC354"/>
              <w:left w:val="single" w:sz="4" w:space="0" w:color="3AC354"/>
              <w:bottom w:val="single" w:sz="4" w:space="0" w:color="3AC354"/>
              <w:right w:val="single" w:sz="4" w:space="0" w:color="3AC354"/>
            </w:tcBorders>
            <w:shd w:val="clear" w:color="auto" w:fill="E8F8EB"/>
          </w:tcPr>
          <w:p w14:paraId="45015754" w14:textId="77777777" w:rsidR="0062049F" w:rsidRDefault="007E46E2">
            <w:pPr>
              <w:spacing w:line="259" w:lineRule="auto"/>
              <w:ind w:left="0" w:right="48" w:firstLine="0"/>
              <w:jc w:val="right"/>
            </w:pPr>
            <w:r>
              <w:rPr>
                <w:sz w:val="18"/>
              </w:rPr>
              <w:t xml:space="preserve">1.907 </w:t>
            </w:r>
          </w:p>
        </w:tc>
        <w:tc>
          <w:tcPr>
            <w:tcW w:w="1650" w:type="dxa"/>
            <w:tcBorders>
              <w:top w:val="single" w:sz="4" w:space="0" w:color="3AC354"/>
              <w:left w:val="single" w:sz="4" w:space="0" w:color="3AC354"/>
              <w:bottom w:val="single" w:sz="4" w:space="0" w:color="3AC354"/>
              <w:right w:val="single" w:sz="4" w:space="0" w:color="3AC354"/>
            </w:tcBorders>
            <w:shd w:val="clear" w:color="auto" w:fill="E8F8EB"/>
          </w:tcPr>
          <w:p w14:paraId="5F8018FE" w14:textId="77777777" w:rsidR="0062049F" w:rsidRDefault="007E46E2">
            <w:pPr>
              <w:spacing w:line="259" w:lineRule="auto"/>
              <w:ind w:left="0" w:right="50" w:firstLine="0"/>
              <w:jc w:val="right"/>
            </w:pPr>
            <w:r>
              <w:rPr>
                <w:sz w:val="18"/>
              </w:rPr>
              <w:t xml:space="preserve">4.771,71 </w:t>
            </w:r>
          </w:p>
        </w:tc>
        <w:tc>
          <w:tcPr>
            <w:tcW w:w="1801" w:type="dxa"/>
            <w:tcBorders>
              <w:top w:val="single" w:sz="4" w:space="0" w:color="3AC354"/>
              <w:left w:val="single" w:sz="4" w:space="0" w:color="3AC354"/>
              <w:bottom w:val="single" w:sz="4" w:space="0" w:color="3AC354"/>
              <w:right w:val="single" w:sz="4" w:space="0" w:color="3AC354"/>
            </w:tcBorders>
            <w:shd w:val="clear" w:color="auto" w:fill="E8F8EB"/>
          </w:tcPr>
          <w:p w14:paraId="504BB332" w14:textId="77777777" w:rsidR="0062049F" w:rsidRDefault="007E46E2">
            <w:pPr>
              <w:spacing w:line="259" w:lineRule="auto"/>
              <w:ind w:left="0" w:right="48" w:firstLine="0"/>
              <w:jc w:val="right"/>
            </w:pPr>
            <w:r>
              <w:rPr>
                <w:sz w:val="18"/>
              </w:rPr>
              <w:t xml:space="preserve">397,64 </w:t>
            </w:r>
          </w:p>
        </w:tc>
        <w:tc>
          <w:tcPr>
            <w:tcW w:w="1404" w:type="dxa"/>
            <w:tcBorders>
              <w:top w:val="single" w:sz="4" w:space="0" w:color="3AC354"/>
              <w:left w:val="single" w:sz="4" w:space="0" w:color="3AC354"/>
              <w:bottom w:val="single" w:sz="4" w:space="0" w:color="3AC354"/>
              <w:right w:val="single" w:sz="4" w:space="0" w:color="3AC354"/>
            </w:tcBorders>
            <w:shd w:val="clear" w:color="auto" w:fill="E8F8EB"/>
          </w:tcPr>
          <w:p w14:paraId="032666BA" w14:textId="77777777" w:rsidR="0062049F" w:rsidRDefault="007E46E2">
            <w:pPr>
              <w:spacing w:line="259" w:lineRule="auto"/>
              <w:ind w:left="0" w:right="48" w:firstLine="0"/>
              <w:jc w:val="right"/>
            </w:pPr>
            <w:r>
              <w:rPr>
                <w:sz w:val="18"/>
              </w:rPr>
              <w:t xml:space="preserve">9.099.644,41 </w:t>
            </w:r>
          </w:p>
        </w:tc>
      </w:tr>
      <w:tr w:rsidR="0062049F" w14:paraId="49B8F838" w14:textId="77777777" w:rsidTr="007E46E2">
        <w:trPr>
          <w:trHeight w:val="367"/>
        </w:trPr>
        <w:tc>
          <w:tcPr>
            <w:tcW w:w="3055" w:type="dxa"/>
            <w:tcBorders>
              <w:top w:val="single" w:sz="4" w:space="0" w:color="3AC354"/>
              <w:left w:val="single" w:sz="4" w:space="0" w:color="3AC354"/>
              <w:bottom w:val="single" w:sz="4" w:space="0" w:color="3AC354"/>
              <w:right w:val="single" w:sz="4" w:space="0" w:color="3AC354"/>
            </w:tcBorders>
            <w:shd w:val="clear" w:color="auto" w:fill="E8F8EB"/>
          </w:tcPr>
          <w:p w14:paraId="682C7C66" w14:textId="77777777" w:rsidR="0062049F" w:rsidRDefault="007E46E2">
            <w:pPr>
              <w:spacing w:line="259" w:lineRule="auto"/>
              <w:ind w:left="0" w:right="0" w:firstLine="0"/>
              <w:jc w:val="left"/>
            </w:pPr>
            <w:r>
              <w:rPr>
                <w:sz w:val="18"/>
              </w:rPr>
              <w:t xml:space="preserve">PNC Invalidez  </w:t>
            </w:r>
          </w:p>
        </w:tc>
        <w:tc>
          <w:tcPr>
            <w:tcW w:w="1709" w:type="dxa"/>
            <w:tcBorders>
              <w:top w:val="single" w:sz="4" w:space="0" w:color="3AC354"/>
              <w:left w:val="single" w:sz="4" w:space="0" w:color="3AC354"/>
              <w:bottom w:val="single" w:sz="4" w:space="0" w:color="3AC354"/>
              <w:right w:val="single" w:sz="4" w:space="0" w:color="3AC354"/>
            </w:tcBorders>
            <w:shd w:val="clear" w:color="auto" w:fill="E8F8EB"/>
          </w:tcPr>
          <w:p w14:paraId="0DAD3A96" w14:textId="77777777" w:rsidR="0062049F" w:rsidRDefault="007E46E2">
            <w:pPr>
              <w:spacing w:line="259" w:lineRule="auto"/>
              <w:ind w:left="0" w:right="48" w:firstLine="0"/>
              <w:jc w:val="right"/>
            </w:pPr>
            <w:r>
              <w:rPr>
                <w:sz w:val="18"/>
              </w:rPr>
              <w:t xml:space="preserve">1.204 </w:t>
            </w:r>
          </w:p>
        </w:tc>
        <w:tc>
          <w:tcPr>
            <w:tcW w:w="1650" w:type="dxa"/>
            <w:tcBorders>
              <w:top w:val="single" w:sz="4" w:space="0" w:color="3AC354"/>
              <w:left w:val="single" w:sz="4" w:space="0" w:color="3AC354"/>
              <w:bottom w:val="single" w:sz="4" w:space="0" w:color="3AC354"/>
              <w:right w:val="single" w:sz="4" w:space="0" w:color="3AC354"/>
            </w:tcBorders>
            <w:shd w:val="clear" w:color="auto" w:fill="E8F8EB"/>
          </w:tcPr>
          <w:p w14:paraId="49AD44B0" w14:textId="77777777" w:rsidR="0062049F" w:rsidRDefault="007E46E2">
            <w:pPr>
              <w:spacing w:line="259" w:lineRule="auto"/>
              <w:ind w:left="0" w:right="50" w:firstLine="0"/>
              <w:jc w:val="right"/>
            </w:pPr>
            <w:r>
              <w:rPr>
                <w:sz w:val="18"/>
              </w:rPr>
              <w:t xml:space="preserve">5.579,83 </w:t>
            </w:r>
          </w:p>
        </w:tc>
        <w:tc>
          <w:tcPr>
            <w:tcW w:w="1801" w:type="dxa"/>
            <w:tcBorders>
              <w:top w:val="single" w:sz="4" w:space="0" w:color="3AC354"/>
              <w:left w:val="single" w:sz="4" w:space="0" w:color="3AC354"/>
              <w:bottom w:val="single" w:sz="4" w:space="0" w:color="3AC354"/>
              <w:right w:val="single" w:sz="4" w:space="0" w:color="3AC354"/>
            </w:tcBorders>
            <w:shd w:val="clear" w:color="auto" w:fill="E8F8EB"/>
          </w:tcPr>
          <w:p w14:paraId="1730F69F" w14:textId="77777777" w:rsidR="0062049F" w:rsidRDefault="007E46E2">
            <w:pPr>
              <w:spacing w:line="259" w:lineRule="auto"/>
              <w:ind w:left="0" w:right="48" w:firstLine="0"/>
              <w:jc w:val="right"/>
            </w:pPr>
            <w:r>
              <w:rPr>
                <w:sz w:val="18"/>
              </w:rPr>
              <w:t xml:space="preserve">464,99 </w:t>
            </w:r>
          </w:p>
        </w:tc>
        <w:tc>
          <w:tcPr>
            <w:tcW w:w="1404" w:type="dxa"/>
            <w:tcBorders>
              <w:top w:val="single" w:sz="4" w:space="0" w:color="3AC354"/>
              <w:left w:val="single" w:sz="4" w:space="0" w:color="3AC354"/>
              <w:bottom w:val="single" w:sz="4" w:space="0" w:color="3AC354"/>
              <w:right w:val="single" w:sz="4" w:space="0" w:color="3AC354"/>
            </w:tcBorders>
            <w:shd w:val="clear" w:color="auto" w:fill="E8F8EB"/>
          </w:tcPr>
          <w:p w14:paraId="4C71EDB4" w14:textId="77777777" w:rsidR="0062049F" w:rsidRDefault="007E46E2">
            <w:pPr>
              <w:spacing w:line="259" w:lineRule="auto"/>
              <w:ind w:left="0" w:right="48" w:firstLine="0"/>
              <w:jc w:val="right"/>
            </w:pPr>
            <w:r>
              <w:rPr>
                <w:sz w:val="18"/>
              </w:rPr>
              <w:t xml:space="preserve">6.718.112,61 </w:t>
            </w:r>
          </w:p>
        </w:tc>
      </w:tr>
      <w:tr w:rsidR="0062049F" w14:paraId="4A7122B8" w14:textId="77777777" w:rsidTr="007E46E2">
        <w:trPr>
          <w:trHeight w:val="367"/>
        </w:trPr>
        <w:tc>
          <w:tcPr>
            <w:tcW w:w="3055" w:type="dxa"/>
            <w:tcBorders>
              <w:top w:val="single" w:sz="4" w:space="0" w:color="3AC354"/>
              <w:left w:val="single" w:sz="4" w:space="0" w:color="3AC354"/>
              <w:bottom w:val="single" w:sz="4" w:space="0" w:color="3AC354"/>
              <w:right w:val="single" w:sz="4" w:space="0" w:color="3AC354"/>
            </w:tcBorders>
            <w:shd w:val="clear" w:color="auto" w:fill="E8F8EB"/>
          </w:tcPr>
          <w:p w14:paraId="5817506A" w14:textId="77777777" w:rsidR="0062049F" w:rsidRDefault="007E46E2">
            <w:pPr>
              <w:spacing w:line="259" w:lineRule="auto"/>
              <w:ind w:left="0" w:right="0" w:firstLine="0"/>
              <w:jc w:val="left"/>
            </w:pPr>
            <w:r>
              <w:rPr>
                <w:sz w:val="18"/>
              </w:rPr>
              <w:t xml:space="preserve">Complemento de Vivienda PNCs * </w:t>
            </w:r>
          </w:p>
        </w:tc>
        <w:tc>
          <w:tcPr>
            <w:tcW w:w="1709" w:type="dxa"/>
            <w:tcBorders>
              <w:top w:val="single" w:sz="4" w:space="0" w:color="3AC354"/>
              <w:left w:val="single" w:sz="4" w:space="0" w:color="3AC354"/>
              <w:bottom w:val="single" w:sz="4" w:space="0" w:color="3AC354"/>
              <w:right w:val="single" w:sz="4" w:space="0" w:color="3AC354"/>
            </w:tcBorders>
            <w:shd w:val="clear" w:color="auto" w:fill="E8F8EB"/>
          </w:tcPr>
          <w:p w14:paraId="1174C4B5" w14:textId="77777777" w:rsidR="0062049F" w:rsidRDefault="007E46E2">
            <w:pPr>
              <w:spacing w:line="259" w:lineRule="auto"/>
              <w:ind w:left="0" w:right="48" w:firstLine="0"/>
              <w:jc w:val="right"/>
            </w:pPr>
            <w:r>
              <w:rPr>
                <w:sz w:val="18"/>
              </w:rPr>
              <w:t xml:space="preserve">156 </w:t>
            </w:r>
          </w:p>
        </w:tc>
        <w:tc>
          <w:tcPr>
            <w:tcW w:w="1650" w:type="dxa"/>
            <w:tcBorders>
              <w:top w:val="single" w:sz="4" w:space="0" w:color="3AC354"/>
              <w:left w:val="single" w:sz="4" w:space="0" w:color="3AC354"/>
              <w:bottom w:val="single" w:sz="4" w:space="0" w:color="3AC354"/>
              <w:right w:val="single" w:sz="4" w:space="0" w:color="3AC354"/>
            </w:tcBorders>
            <w:shd w:val="clear" w:color="auto" w:fill="E8F8EB"/>
          </w:tcPr>
          <w:p w14:paraId="47AB1132" w14:textId="77777777" w:rsidR="0062049F" w:rsidRDefault="007E46E2">
            <w:pPr>
              <w:spacing w:line="259" w:lineRule="auto"/>
              <w:ind w:left="0" w:right="50" w:firstLine="0"/>
              <w:jc w:val="right"/>
            </w:pPr>
            <w:r>
              <w:rPr>
                <w:sz w:val="18"/>
              </w:rPr>
              <w:t xml:space="preserve">525,00 </w:t>
            </w:r>
          </w:p>
        </w:tc>
        <w:tc>
          <w:tcPr>
            <w:tcW w:w="1801" w:type="dxa"/>
            <w:tcBorders>
              <w:top w:val="single" w:sz="4" w:space="0" w:color="3AC354"/>
              <w:left w:val="single" w:sz="4" w:space="0" w:color="3AC354"/>
              <w:bottom w:val="single" w:sz="4" w:space="0" w:color="3AC354"/>
              <w:right w:val="single" w:sz="4" w:space="0" w:color="3AC354"/>
            </w:tcBorders>
            <w:shd w:val="clear" w:color="auto" w:fill="E8F8EB"/>
            <w:vAlign w:val="bottom"/>
          </w:tcPr>
          <w:p w14:paraId="08BF82E9" w14:textId="77777777" w:rsidR="0062049F" w:rsidRDefault="007E46E2">
            <w:pPr>
              <w:spacing w:line="259" w:lineRule="auto"/>
              <w:ind w:left="0" w:right="0" w:firstLine="0"/>
              <w:jc w:val="right"/>
            </w:pPr>
            <w:r>
              <w:rPr>
                <w:sz w:val="18"/>
              </w:rPr>
              <w:t xml:space="preserve"> </w:t>
            </w:r>
          </w:p>
        </w:tc>
        <w:tc>
          <w:tcPr>
            <w:tcW w:w="1404" w:type="dxa"/>
            <w:tcBorders>
              <w:top w:val="single" w:sz="4" w:space="0" w:color="3AC354"/>
              <w:left w:val="single" w:sz="4" w:space="0" w:color="3AC354"/>
              <w:bottom w:val="single" w:sz="4" w:space="0" w:color="3AC354"/>
              <w:right w:val="single" w:sz="4" w:space="0" w:color="3AC354"/>
            </w:tcBorders>
            <w:shd w:val="clear" w:color="auto" w:fill="E8F8EB"/>
          </w:tcPr>
          <w:p w14:paraId="360DCCA8" w14:textId="77777777" w:rsidR="0062049F" w:rsidRDefault="007E46E2">
            <w:pPr>
              <w:spacing w:line="259" w:lineRule="auto"/>
              <w:ind w:left="0" w:right="48" w:firstLine="0"/>
              <w:jc w:val="right"/>
            </w:pPr>
            <w:r>
              <w:rPr>
                <w:sz w:val="18"/>
              </w:rPr>
              <w:t xml:space="preserve">81.900,00 </w:t>
            </w:r>
          </w:p>
        </w:tc>
      </w:tr>
      <w:tr w:rsidR="0062049F" w14:paraId="58D581A0" w14:textId="77777777" w:rsidTr="007E46E2">
        <w:trPr>
          <w:trHeight w:val="370"/>
        </w:trPr>
        <w:tc>
          <w:tcPr>
            <w:tcW w:w="8215" w:type="dxa"/>
            <w:gridSpan w:val="4"/>
            <w:tcBorders>
              <w:top w:val="single" w:sz="4" w:space="0" w:color="3AC354"/>
              <w:left w:val="single" w:sz="4" w:space="0" w:color="FFCF01"/>
              <w:bottom w:val="single" w:sz="4" w:space="0" w:color="FFCF01"/>
              <w:right w:val="nil"/>
            </w:tcBorders>
            <w:shd w:val="clear" w:color="auto" w:fill="FFF7D4"/>
          </w:tcPr>
          <w:p w14:paraId="714DD6F1" w14:textId="77777777" w:rsidR="0062049F" w:rsidRDefault="007E46E2">
            <w:pPr>
              <w:spacing w:line="259" w:lineRule="auto"/>
              <w:ind w:left="0" w:right="375" w:firstLine="0"/>
              <w:jc w:val="right"/>
            </w:pPr>
            <w:r>
              <w:rPr>
                <w:b/>
                <w:sz w:val="18"/>
              </w:rPr>
              <w:t xml:space="preserve">Deducciones por pensiones de viudedad y no contributivas de jubilación </w:t>
            </w:r>
          </w:p>
        </w:tc>
        <w:tc>
          <w:tcPr>
            <w:tcW w:w="1404" w:type="dxa"/>
            <w:tcBorders>
              <w:top w:val="single" w:sz="4" w:space="0" w:color="3AC354"/>
              <w:left w:val="nil"/>
              <w:bottom w:val="single" w:sz="4" w:space="0" w:color="FFCF01"/>
              <w:right w:val="single" w:sz="4" w:space="0" w:color="FFCF01"/>
            </w:tcBorders>
            <w:shd w:val="clear" w:color="auto" w:fill="FFF7D4"/>
          </w:tcPr>
          <w:p w14:paraId="523BBD2E" w14:textId="77777777" w:rsidR="0062049F" w:rsidRDefault="0062049F">
            <w:pPr>
              <w:spacing w:after="160" w:line="259" w:lineRule="auto"/>
              <w:ind w:left="0" w:right="0" w:firstLine="0"/>
              <w:jc w:val="left"/>
            </w:pPr>
          </w:p>
        </w:tc>
      </w:tr>
      <w:tr w:rsidR="0062049F" w14:paraId="3542EAEB" w14:textId="77777777" w:rsidTr="007E46E2">
        <w:trPr>
          <w:trHeight w:val="367"/>
        </w:trPr>
        <w:tc>
          <w:tcPr>
            <w:tcW w:w="3055" w:type="dxa"/>
            <w:tcBorders>
              <w:top w:val="single" w:sz="4" w:space="0" w:color="FFCF01"/>
              <w:left w:val="single" w:sz="4" w:space="0" w:color="FFCF01"/>
              <w:bottom w:val="single" w:sz="4" w:space="0" w:color="FFCF01"/>
              <w:right w:val="single" w:sz="4" w:space="0" w:color="FFCF01"/>
            </w:tcBorders>
            <w:shd w:val="clear" w:color="auto" w:fill="FFF7D4"/>
          </w:tcPr>
          <w:p w14:paraId="11DAB0E4" w14:textId="77777777" w:rsidR="0062049F" w:rsidRDefault="007E46E2">
            <w:pPr>
              <w:spacing w:line="259" w:lineRule="auto"/>
              <w:ind w:left="0" w:right="0" w:firstLine="0"/>
              <w:jc w:val="left"/>
            </w:pPr>
            <w:r>
              <w:rPr>
                <w:sz w:val="18"/>
              </w:rPr>
              <w:t xml:space="preserve">Viudedad  </w:t>
            </w:r>
          </w:p>
        </w:tc>
        <w:tc>
          <w:tcPr>
            <w:tcW w:w="1709" w:type="dxa"/>
            <w:tcBorders>
              <w:top w:val="single" w:sz="4" w:space="0" w:color="FFCF01"/>
              <w:left w:val="single" w:sz="4" w:space="0" w:color="FFCF01"/>
              <w:bottom w:val="single" w:sz="4" w:space="0" w:color="FFCF01"/>
              <w:right w:val="single" w:sz="4" w:space="0" w:color="FFCF01"/>
            </w:tcBorders>
            <w:shd w:val="clear" w:color="auto" w:fill="FFF7D4"/>
          </w:tcPr>
          <w:p w14:paraId="0DC0E589" w14:textId="77777777" w:rsidR="0062049F" w:rsidRDefault="007E46E2">
            <w:pPr>
              <w:spacing w:line="259" w:lineRule="auto"/>
              <w:ind w:left="0" w:right="48" w:firstLine="0"/>
              <w:jc w:val="right"/>
            </w:pPr>
            <w:r>
              <w:rPr>
                <w:sz w:val="18"/>
              </w:rPr>
              <w:t xml:space="preserve">4.019 </w:t>
            </w:r>
          </w:p>
        </w:tc>
        <w:tc>
          <w:tcPr>
            <w:tcW w:w="1650" w:type="dxa"/>
            <w:tcBorders>
              <w:top w:val="single" w:sz="4" w:space="0" w:color="FFCF01"/>
              <w:left w:val="single" w:sz="4" w:space="0" w:color="FFCF01"/>
              <w:bottom w:val="single" w:sz="4" w:space="0" w:color="FFCF01"/>
              <w:right w:val="single" w:sz="4" w:space="0" w:color="FFCF01"/>
            </w:tcBorders>
            <w:shd w:val="clear" w:color="auto" w:fill="FFF7D4"/>
          </w:tcPr>
          <w:p w14:paraId="3C326FEB" w14:textId="77777777" w:rsidR="0062049F" w:rsidRDefault="007E46E2">
            <w:pPr>
              <w:spacing w:line="259" w:lineRule="auto"/>
              <w:ind w:left="0" w:right="50" w:firstLine="0"/>
              <w:jc w:val="right"/>
            </w:pPr>
            <w:r>
              <w:rPr>
                <w:sz w:val="18"/>
              </w:rPr>
              <w:t xml:space="preserve">856,78 </w:t>
            </w:r>
          </w:p>
        </w:tc>
        <w:tc>
          <w:tcPr>
            <w:tcW w:w="1801" w:type="dxa"/>
            <w:tcBorders>
              <w:top w:val="single" w:sz="4" w:space="0" w:color="FFCF01"/>
              <w:left w:val="single" w:sz="4" w:space="0" w:color="FFCF01"/>
              <w:bottom w:val="single" w:sz="4" w:space="0" w:color="FFCF01"/>
              <w:right w:val="single" w:sz="4" w:space="0" w:color="FFCF01"/>
            </w:tcBorders>
            <w:shd w:val="clear" w:color="auto" w:fill="FFF7D4"/>
          </w:tcPr>
          <w:p w14:paraId="75FC5838" w14:textId="77777777" w:rsidR="0062049F" w:rsidRDefault="007E46E2">
            <w:pPr>
              <w:spacing w:line="259" w:lineRule="auto"/>
              <w:ind w:left="0" w:right="48" w:firstLine="0"/>
              <w:jc w:val="right"/>
            </w:pPr>
            <w:r>
              <w:rPr>
                <w:sz w:val="18"/>
              </w:rPr>
              <w:t xml:space="preserve">71,40 </w:t>
            </w:r>
          </w:p>
        </w:tc>
        <w:tc>
          <w:tcPr>
            <w:tcW w:w="1404" w:type="dxa"/>
            <w:tcBorders>
              <w:top w:val="single" w:sz="4" w:space="0" w:color="FFCF01"/>
              <w:left w:val="single" w:sz="4" w:space="0" w:color="FFCF01"/>
              <w:bottom w:val="single" w:sz="4" w:space="0" w:color="FFCF01"/>
              <w:right w:val="single" w:sz="4" w:space="0" w:color="FFCF01"/>
            </w:tcBorders>
            <w:shd w:val="clear" w:color="auto" w:fill="FFF7D4"/>
          </w:tcPr>
          <w:p w14:paraId="6CD151FB" w14:textId="77777777" w:rsidR="0062049F" w:rsidRDefault="007E46E2">
            <w:pPr>
              <w:spacing w:line="259" w:lineRule="auto"/>
              <w:ind w:left="0" w:right="48" w:firstLine="0"/>
              <w:jc w:val="right"/>
            </w:pPr>
            <w:r>
              <w:rPr>
                <w:sz w:val="18"/>
              </w:rPr>
              <w:t xml:space="preserve">3.443.404,32 </w:t>
            </w:r>
          </w:p>
        </w:tc>
      </w:tr>
      <w:tr w:rsidR="0062049F" w14:paraId="7B997E05" w14:textId="77777777" w:rsidTr="007E46E2">
        <w:trPr>
          <w:trHeight w:val="366"/>
        </w:trPr>
        <w:tc>
          <w:tcPr>
            <w:tcW w:w="3055" w:type="dxa"/>
            <w:tcBorders>
              <w:top w:val="single" w:sz="4" w:space="0" w:color="FFCF01"/>
              <w:left w:val="single" w:sz="4" w:space="0" w:color="FFCF01"/>
              <w:bottom w:val="single" w:sz="4" w:space="0" w:color="FFCF01"/>
              <w:right w:val="single" w:sz="4" w:space="0" w:color="FFCF01"/>
            </w:tcBorders>
            <w:shd w:val="clear" w:color="auto" w:fill="FFF7D4"/>
          </w:tcPr>
          <w:p w14:paraId="633B0007" w14:textId="77777777" w:rsidR="0062049F" w:rsidRDefault="007E46E2">
            <w:pPr>
              <w:spacing w:line="259" w:lineRule="auto"/>
              <w:ind w:left="0" w:right="0" w:firstLine="0"/>
              <w:jc w:val="left"/>
            </w:pPr>
            <w:r>
              <w:rPr>
                <w:sz w:val="18"/>
              </w:rPr>
              <w:t xml:space="preserve">PNC Jubilación  </w:t>
            </w:r>
          </w:p>
        </w:tc>
        <w:tc>
          <w:tcPr>
            <w:tcW w:w="1709" w:type="dxa"/>
            <w:tcBorders>
              <w:top w:val="single" w:sz="4" w:space="0" w:color="FFCF01"/>
              <w:left w:val="single" w:sz="4" w:space="0" w:color="FFCF01"/>
              <w:bottom w:val="single" w:sz="4" w:space="0" w:color="FFCF01"/>
              <w:right w:val="single" w:sz="4" w:space="0" w:color="FFCF01"/>
            </w:tcBorders>
            <w:shd w:val="clear" w:color="auto" w:fill="FFF7D4"/>
          </w:tcPr>
          <w:p w14:paraId="697CF165" w14:textId="77777777" w:rsidR="0062049F" w:rsidRDefault="007E46E2">
            <w:pPr>
              <w:spacing w:line="259" w:lineRule="auto"/>
              <w:ind w:left="0" w:right="48" w:firstLine="0"/>
              <w:jc w:val="right"/>
            </w:pPr>
            <w:r>
              <w:rPr>
                <w:sz w:val="18"/>
              </w:rPr>
              <w:t xml:space="preserve">602 </w:t>
            </w:r>
          </w:p>
        </w:tc>
        <w:tc>
          <w:tcPr>
            <w:tcW w:w="1650" w:type="dxa"/>
            <w:tcBorders>
              <w:top w:val="single" w:sz="4" w:space="0" w:color="FFCF01"/>
              <w:left w:val="single" w:sz="4" w:space="0" w:color="FFCF01"/>
              <w:bottom w:val="single" w:sz="4" w:space="0" w:color="FFCF01"/>
              <w:right w:val="single" w:sz="4" w:space="0" w:color="FFCF01"/>
            </w:tcBorders>
            <w:shd w:val="clear" w:color="auto" w:fill="FFF7D4"/>
          </w:tcPr>
          <w:p w14:paraId="79459C42" w14:textId="77777777" w:rsidR="0062049F" w:rsidRDefault="007E46E2">
            <w:pPr>
              <w:spacing w:line="259" w:lineRule="auto"/>
              <w:ind w:left="0" w:right="50" w:firstLine="0"/>
              <w:jc w:val="right"/>
            </w:pPr>
            <w:r>
              <w:rPr>
                <w:sz w:val="18"/>
              </w:rPr>
              <w:t xml:space="preserve">1.691,70 </w:t>
            </w:r>
          </w:p>
        </w:tc>
        <w:tc>
          <w:tcPr>
            <w:tcW w:w="1801" w:type="dxa"/>
            <w:tcBorders>
              <w:top w:val="single" w:sz="4" w:space="0" w:color="FFCF01"/>
              <w:left w:val="single" w:sz="4" w:space="0" w:color="FFCF01"/>
              <w:bottom w:val="single" w:sz="4" w:space="0" w:color="FFCF01"/>
              <w:right w:val="single" w:sz="4" w:space="0" w:color="FFCF01"/>
            </w:tcBorders>
            <w:shd w:val="clear" w:color="auto" w:fill="FFF7D4"/>
          </w:tcPr>
          <w:p w14:paraId="7E8897BE" w14:textId="77777777" w:rsidR="0062049F" w:rsidRDefault="007E46E2">
            <w:pPr>
              <w:spacing w:line="259" w:lineRule="auto"/>
              <w:ind w:left="0" w:right="48" w:firstLine="0"/>
              <w:jc w:val="right"/>
            </w:pPr>
            <w:r>
              <w:rPr>
                <w:sz w:val="18"/>
              </w:rPr>
              <w:t xml:space="preserve">140,97 </w:t>
            </w:r>
          </w:p>
        </w:tc>
        <w:tc>
          <w:tcPr>
            <w:tcW w:w="1404" w:type="dxa"/>
            <w:tcBorders>
              <w:top w:val="single" w:sz="4" w:space="0" w:color="FFCF01"/>
              <w:left w:val="single" w:sz="4" w:space="0" w:color="FFCF01"/>
              <w:bottom w:val="single" w:sz="4" w:space="0" w:color="FFCF01"/>
              <w:right w:val="single" w:sz="4" w:space="0" w:color="FFCF01"/>
            </w:tcBorders>
            <w:shd w:val="clear" w:color="auto" w:fill="FFF7D4"/>
          </w:tcPr>
          <w:p w14:paraId="59325952" w14:textId="77777777" w:rsidR="0062049F" w:rsidRDefault="007E46E2">
            <w:pPr>
              <w:spacing w:line="259" w:lineRule="auto"/>
              <w:ind w:left="0" w:right="48" w:firstLine="0"/>
              <w:jc w:val="right"/>
            </w:pPr>
            <w:r>
              <w:rPr>
                <w:sz w:val="18"/>
              </w:rPr>
              <w:t xml:space="preserve">1.018.402,51 </w:t>
            </w:r>
          </w:p>
        </w:tc>
      </w:tr>
    </w:tbl>
    <w:p w14:paraId="0A2251AF" w14:textId="4A05DFD2" w:rsidR="007E46E2" w:rsidRDefault="007E46E2" w:rsidP="007E46E2">
      <w:pPr>
        <w:spacing w:before="120" w:after="144" w:line="259" w:lineRule="auto"/>
        <w:ind w:left="284" w:right="0" w:firstLine="0"/>
        <w:jc w:val="left"/>
      </w:pPr>
      <w:r>
        <w:rPr>
          <w:sz w:val="18"/>
        </w:rPr>
        <w:t xml:space="preserve">*El complemento de alquiler es de pago único. El resto de modalidades son percepciones de carácter mensual </w:t>
      </w:r>
    </w:p>
    <w:p w14:paraId="0C99AD17" w14:textId="7D111748" w:rsidR="0062049F" w:rsidRDefault="007E46E2">
      <w:pPr>
        <w:spacing w:after="118"/>
        <w:ind w:left="715" w:right="658"/>
      </w:pPr>
      <w:r>
        <w:t xml:space="preserve">Es cuanto tengo el honor de informar en cumplimiento del artículo 194 del Reglamento del Parlamento de Navarra. </w:t>
      </w:r>
    </w:p>
    <w:p w14:paraId="7E91F77C" w14:textId="77777777" w:rsidR="0062049F" w:rsidRDefault="007E46E2">
      <w:pPr>
        <w:spacing w:after="231" w:line="265" w:lineRule="auto"/>
        <w:ind w:left="58" w:right="1"/>
        <w:jc w:val="center"/>
      </w:pPr>
      <w:r>
        <w:t xml:space="preserve">Pamplona-Iruña, 13 de diciembre de 2022. </w:t>
      </w:r>
    </w:p>
    <w:p w14:paraId="669A9B6E" w14:textId="3856C243" w:rsidR="0062049F" w:rsidRDefault="007E46E2">
      <w:pPr>
        <w:spacing w:after="218" w:line="259" w:lineRule="auto"/>
        <w:ind w:left="720" w:right="0" w:firstLine="0"/>
        <w:jc w:val="left"/>
      </w:pPr>
      <w:r w:rsidRPr="007E46E2">
        <w:t>La Consejera de Derechos Sociales: María Carmen Maeztu Villafranca</w:t>
      </w:r>
    </w:p>
    <w:sectPr w:rsidR="0062049F" w:rsidSect="007E46E2">
      <w:pgSz w:w="11906" w:h="16838"/>
      <w:pgMar w:top="1560" w:right="1027" w:bottom="804" w:left="9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C61"/>
    <w:multiLevelType w:val="hybridMultilevel"/>
    <w:tmpl w:val="F1D661FC"/>
    <w:lvl w:ilvl="0" w:tplc="A0A8C7F2">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ED43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70D7B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72018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2696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B439D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C85E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0C1B3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10CD8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002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9F"/>
    <w:rsid w:val="0062049F"/>
    <w:rsid w:val="007E46E2"/>
    <w:rsid w:val="00862DE2"/>
    <w:rsid w:val="00F92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13BA"/>
  <w15:docId w15:val="{C08C3C32-07A7-4CD5-A4A8-7B70E9D0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ind w:left="730" w:right="67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outlineLvl w:val="0"/>
    </w:pPr>
    <w:rPr>
      <w:rFonts w:ascii="Arial" w:eastAsia="Arial" w:hAnsi="Arial" w:cs="Arial"/>
      <w:color w:val="000000"/>
    </w:rPr>
  </w:style>
  <w:style w:type="paragraph" w:styleId="Ttulo2">
    <w:name w:val="heading 2"/>
    <w:next w:val="Normal"/>
    <w:link w:val="Ttulo2Car"/>
    <w:uiPriority w:val="9"/>
    <w:unhideWhenUsed/>
    <w:qFormat/>
    <w:pPr>
      <w:keepNext/>
      <w:keepLines/>
      <w:spacing w:after="158"/>
      <w:ind w:left="10" w:hanging="10"/>
      <w:outlineLvl w:val="1"/>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2"/>
    </w:rPr>
  </w:style>
  <w:style w:type="character" w:customStyle="1" w:styleId="Ttulo2Car">
    <w:name w:val="Título 2 Car"/>
    <w:link w:val="Ttulo2"/>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2928</Characters>
  <Application>Microsoft Office Word</Application>
  <DocSecurity>0</DocSecurity>
  <Lines>24</Lines>
  <Paragraphs>6</Paragraphs>
  <ScaleCrop>false</ScaleCrop>
  <Company>Hewlett-Packard Company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2023-01-25T09:06:00Z</dcterms:created>
  <dcterms:modified xsi:type="dcterms:W3CDTF">2023-03-16T07:48:00Z</dcterms:modified>
</cp:coreProperties>
</file>