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16 de marzo de 2023, acordó no tomar en consideración la proposición de Ley Foral de modificación de la Ley Foral 17/2001, de 12 de julio, reguladora del comercio en Navarra y del Decreto Foral Legislativo 1/2017, de 26 de julio, por el que se aprueba el Texto Refundido de la Ley Foral de Ordenación del Territorio y Urbanismo, presentada por el G.P. EH Bildu Nafarroa, la A.P.F. de Podemos Ahal Dugu Navarra y el G.P. Mixto-Izquierda-Ezkerra y publicada en el Boletín Oficial del Parlamento de Navarra núm. 27 de 17 de febrero de 2023.</w:t>
      </w:r>
    </w:p>
    <w:p>
      <w:pPr>
        <w:pStyle w:val="0"/>
        <w:suppressAutoHyphens w:val="false"/>
        <w:rPr>
          <w:rStyle w:val="1"/>
        </w:rPr>
      </w:pPr>
      <w:r>
        <w:rPr>
          <w:rStyle w:val="1"/>
        </w:rPr>
        <w:t xml:space="preserve">Pamplona, 17 de marzo de 2023</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