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8FAA" w14:textId="491D7A68" w:rsidR="00A52026" w:rsidRDefault="00CD4DF7" w:rsidP="00CA544A">
      <w:pPr>
        <w:spacing w:after="120"/>
        <w:rPr>
          <w:rFonts w:cs="Arial"/>
        </w:rPr>
      </w:pPr>
      <w:r w:rsidRPr="00CA3A43">
        <w:rPr>
          <w:rFonts w:cs="Arial"/>
        </w:rPr>
        <w:t>La</w:t>
      </w:r>
      <w:r w:rsidR="0006150C" w:rsidRPr="00CA3A43">
        <w:rPr>
          <w:rFonts w:cs="Arial"/>
        </w:rPr>
        <w:t xml:space="preserve"> </w:t>
      </w:r>
      <w:r w:rsidRPr="00CA3A43">
        <w:rPr>
          <w:rFonts w:cs="Arial"/>
        </w:rPr>
        <w:t>Consejera</w:t>
      </w:r>
      <w:r w:rsidR="0006150C" w:rsidRPr="00CA3A43">
        <w:rPr>
          <w:rFonts w:cs="Arial"/>
        </w:rPr>
        <w:t xml:space="preserve"> de Derechos Sociales </w:t>
      </w:r>
      <w:r w:rsidR="00865890" w:rsidRPr="00CA3A43">
        <w:rPr>
          <w:rFonts w:cs="Arial"/>
        </w:rPr>
        <w:t>del Gobierno de Navarra</w:t>
      </w:r>
      <w:r w:rsidR="0006150C" w:rsidRPr="00CA3A43">
        <w:rPr>
          <w:rFonts w:cs="Arial"/>
        </w:rPr>
        <w:t xml:space="preserve">, en relación </w:t>
      </w:r>
      <w:r w:rsidR="00B67C4B" w:rsidRPr="00CA3A43">
        <w:rPr>
          <w:rFonts w:cs="Arial"/>
        </w:rPr>
        <w:t>con</w:t>
      </w:r>
      <w:r w:rsidR="0006150C" w:rsidRPr="00CA3A43">
        <w:rPr>
          <w:rFonts w:cs="Arial"/>
        </w:rPr>
        <w:t xml:space="preserve"> la </w:t>
      </w:r>
      <w:r w:rsidR="00CB3E16" w:rsidRPr="00CA3A43">
        <w:rPr>
          <w:rFonts w:cs="Arial"/>
        </w:rPr>
        <w:t>p</w:t>
      </w:r>
      <w:r w:rsidR="0003307A" w:rsidRPr="00CA3A43">
        <w:rPr>
          <w:rFonts w:cs="Arial"/>
        </w:rPr>
        <w:t>regunta</w:t>
      </w:r>
      <w:r w:rsidR="0006150C" w:rsidRPr="00CA3A43">
        <w:rPr>
          <w:rFonts w:cs="Arial"/>
        </w:rPr>
        <w:t xml:space="preserve"> </w:t>
      </w:r>
      <w:r w:rsidR="00865890" w:rsidRPr="00CA3A43">
        <w:rPr>
          <w:rFonts w:cs="Arial"/>
        </w:rPr>
        <w:t>formulada</w:t>
      </w:r>
      <w:r w:rsidR="0006150C" w:rsidRPr="00CA3A43">
        <w:rPr>
          <w:rFonts w:cs="Arial"/>
        </w:rPr>
        <w:t xml:space="preserve"> por </w:t>
      </w:r>
      <w:r w:rsidR="006922BB" w:rsidRPr="00CA3A43">
        <w:rPr>
          <w:rFonts w:cs="Arial"/>
        </w:rPr>
        <w:t>el</w:t>
      </w:r>
      <w:r w:rsidR="003860DD" w:rsidRPr="00CA3A43">
        <w:rPr>
          <w:rFonts w:cs="Arial"/>
        </w:rPr>
        <w:t xml:space="preserve"> parlamentari</w:t>
      </w:r>
      <w:r w:rsidR="006922BB" w:rsidRPr="00CA3A43">
        <w:rPr>
          <w:rFonts w:cs="Arial"/>
        </w:rPr>
        <w:t>o</w:t>
      </w:r>
      <w:r w:rsidR="00B67C4B" w:rsidRPr="00CA3A43">
        <w:rPr>
          <w:rFonts w:cs="Arial"/>
        </w:rPr>
        <w:t xml:space="preserve"> d</w:t>
      </w:r>
      <w:r w:rsidR="00EC31C9" w:rsidRPr="00CA3A43">
        <w:rPr>
          <w:rFonts w:cs="Arial"/>
        </w:rPr>
        <w:t>o</w:t>
      </w:r>
      <w:r w:rsidR="006922BB" w:rsidRPr="00CA3A43">
        <w:rPr>
          <w:rFonts w:cs="Arial"/>
        </w:rPr>
        <w:t>n</w:t>
      </w:r>
      <w:r w:rsidR="0006150C" w:rsidRPr="00CA3A43">
        <w:rPr>
          <w:rFonts w:cs="Arial"/>
        </w:rPr>
        <w:t xml:space="preserve"> </w:t>
      </w:r>
      <w:r w:rsidR="006922BB" w:rsidRPr="00CA3A43">
        <w:rPr>
          <w:rFonts w:cs="Arial"/>
        </w:rPr>
        <w:t>Jorge Esparza Garrido</w:t>
      </w:r>
      <w:r w:rsidR="0006150C" w:rsidRPr="00CA3A43">
        <w:rPr>
          <w:rFonts w:cs="Arial"/>
        </w:rPr>
        <w:t>, adscrit</w:t>
      </w:r>
      <w:r w:rsidR="006922BB" w:rsidRPr="00CA3A43">
        <w:rPr>
          <w:rFonts w:cs="Arial"/>
        </w:rPr>
        <w:t>o</w:t>
      </w:r>
      <w:r w:rsidR="0006150C" w:rsidRPr="00CA3A43">
        <w:rPr>
          <w:rFonts w:cs="Arial"/>
        </w:rPr>
        <w:t xml:space="preserve"> al Grupo </w:t>
      </w:r>
      <w:r w:rsidR="00B67C4B" w:rsidRPr="00CA3A43">
        <w:rPr>
          <w:rFonts w:cs="Arial"/>
        </w:rPr>
        <w:t>P</w:t>
      </w:r>
      <w:r w:rsidR="0006150C" w:rsidRPr="00CA3A43">
        <w:rPr>
          <w:rFonts w:cs="Arial"/>
        </w:rPr>
        <w:t xml:space="preserve">arlamentario </w:t>
      </w:r>
      <w:r w:rsidR="001A1B4A" w:rsidRPr="00CA3A43">
        <w:rPr>
          <w:rFonts w:cs="Arial"/>
        </w:rPr>
        <w:t>Navarra Suma</w:t>
      </w:r>
      <w:r w:rsidR="0006150C" w:rsidRPr="00CA3A43">
        <w:rPr>
          <w:rFonts w:cs="Arial"/>
        </w:rPr>
        <w:t xml:space="preserve">, </w:t>
      </w:r>
      <w:r w:rsidR="0068120C" w:rsidRPr="00CA3A43">
        <w:rPr>
          <w:rFonts w:cs="Arial"/>
        </w:rPr>
        <w:t xml:space="preserve">sobre </w:t>
      </w:r>
      <w:r w:rsidR="00227245" w:rsidRPr="00CA3A43">
        <w:rPr>
          <w:rFonts w:cs="Arial"/>
        </w:rPr>
        <w:t>la ubicación de las 15 plazas en vivienda con apoyo a los recursos de atención para personas con discapacidad que forman parte de la medida 1 del cambio 3 del Plan Operativo de Discapacidad de 2021 (10-22/PES-00613</w:t>
      </w:r>
      <w:r w:rsidR="00865890" w:rsidRPr="00CA3A43">
        <w:rPr>
          <w:rFonts w:cs="Arial"/>
        </w:rPr>
        <w:t>)</w:t>
      </w:r>
      <w:r w:rsidR="0006150C" w:rsidRPr="00CA3A43">
        <w:rPr>
          <w:rFonts w:cs="Arial"/>
        </w:rPr>
        <w:t xml:space="preserve">, </w:t>
      </w:r>
      <w:r w:rsidR="00CB3E16" w:rsidRPr="00CA3A43">
        <w:rPr>
          <w:rFonts w:cs="Arial"/>
        </w:rPr>
        <w:t>tiene el honor de informarle lo siguiente</w:t>
      </w:r>
      <w:r w:rsidR="00EC3319" w:rsidRPr="00CA3A43">
        <w:rPr>
          <w:rFonts w:cs="Arial"/>
        </w:rPr>
        <w:t>:</w:t>
      </w:r>
    </w:p>
    <w:p w14:paraId="0B5EC372" w14:textId="77777777" w:rsidR="00A52026" w:rsidRDefault="00CA3A43" w:rsidP="00CA3A43">
      <w:pPr>
        <w:rPr>
          <w:rFonts w:cs="Arial"/>
          <w:i/>
        </w:rPr>
      </w:pPr>
      <w:r w:rsidRPr="00CA3A43">
        <w:rPr>
          <w:rFonts w:cs="Arial"/>
          <w:i/>
        </w:rPr>
        <w:t xml:space="preserve">1.- ¿Dónde se ubican las 15 plazas en vivienda con apoyo a los recursos de atención para personas con discapacidad que forman parte de la medida 1 del cambio 3 del Plan Operativo de Discapacidad de 2021 y que el Departamento ha asegurado que ha cumplido? </w:t>
      </w:r>
    </w:p>
    <w:p w14:paraId="410BDFA1" w14:textId="77777777" w:rsidR="00A52026" w:rsidRDefault="00CA3A43" w:rsidP="00CA3A43">
      <w:pPr>
        <w:rPr>
          <w:rFonts w:cs="Arial"/>
        </w:rPr>
      </w:pPr>
      <w:r w:rsidRPr="00CA3A43">
        <w:rPr>
          <w:rFonts w:cs="Arial"/>
        </w:rPr>
        <w:t>Las plazas de vivienda con apoyo se ubican en cinco viviendas distribuidas en Pamplona y Comarca: 2 en Pamplona (viviendas gestionadas por las entidades A tu lado y Síndrome de Down), una en Barañain (vivienda gestionada por la entidad COCEMFE), una en Sarriguren (vivienda gestionada por la entidad ANFAS) y una en Mutilva (vivienda gestionada por la UTE compuesta por ACODIFNA, ADACEN y ASPACE)</w:t>
      </w:r>
    </w:p>
    <w:p w14:paraId="2C262ADA" w14:textId="77777777" w:rsidR="00A52026" w:rsidRDefault="00CA3A43" w:rsidP="00CA3A43">
      <w:pPr>
        <w:rPr>
          <w:rFonts w:cs="Arial"/>
          <w:i/>
        </w:rPr>
      </w:pPr>
      <w:r w:rsidRPr="00CA3A43">
        <w:rPr>
          <w:rFonts w:cs="Arial"/>
          <w:i/>
        </w:rPr>
        <w:t xml:space="preserve">2.- ¿En qué fechas se han puesto en marcha cada una de estas plazas? </w:t>
      </w:r>
    </w:p>
    <w:p w14:paraId="67BC080B" w14:textId="77777777" w:rsidR="00A52026" w:rsidRDefault="00CA3A43" w:rsidP="00CA3A43">
      <w:pPr>
        <w:rPr>
          <w:rFonts w:cs="Arial"/>
        </w:rPr>
      </w:pPr>
      <w:r w:rsidRPr="00CA3A43">
        <w:rPr>
          <w:rFonts w:cs="Arial"/>
        </w:rPr>
        <w:t xml:space="preserve">Todas estas plazas se pusieron en marcha el 1 de septiembre de 2021. </w:t>
      </w:r>
    </w:p>
    <w:p w14:paraId="58BD4A63" w14:textId="1A466686" w:rsidR="00A52026" w:rsidRDefault="00CA3A43" w:rsidP="00CA3A43">
      <w:pPr>
        <w:rPr>
          <w:rFonts w:cs="Arial"/>
          <w:i/>
        </w:rPr>
      </w:pPr>
      <w:r w:rsidRPr="00CA3A43">
        <w:rPr>
          <w:rFonts w:cs="Arial"/>
          <w:i/>
        </w:rPr>
        <w:t>3.- ¿De qué manera se distribuye el presupuesto de 53.009 euros ejecutado para la puesta en marcha de estas plazas?</w:t>
      </w:r>
    </w:p>
    <w:p w14:paraId="28404929" w14:textId="338D8F40" w:rsidR="0068120C" w:rsidRDefault="00CA3A43" w:rsidP="00CA3A43">
      <w:pPr>
        <w:rPr>
          <w:rFonts w:cs="Arial"/>
        </w:rPr>
      </w:pPr>
      <w:r w:rsidRPr="00CA3A43">
        <w:rPr>
          <w:rFonts w:cs="Arial"/>
        </w:rPr>
        <w:t>El presupuesto ejecutado en 2021 se ha distribuido de la siguiente forma:</w:t>
      </w:r>
    </w:p>
    <w:tbl>
      <w:tblPr>
        <w:tblW w:w="7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564"/>
      </w:tblGrid>
      <w:tr w:rsidR="00CA3A43" w:rsidRPr="00FE2621" w14:paraId="4910E954" w14:textId="77777777" w:rsidTr="00CA3A43">
        <w:trPr>
          <w:trHeight w:val="384"/>
        </w:trPr>
        <w:tc>
          <w:tcPr>
            <w:tcW w:w="5196" w:type="dxa"/>
            <w:tcBorders>
              <w:top w:val="single" w:sz="8" w:space="0" w:color="9BC2E6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5B9BD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365B0" w14:textId="77777777" w:rsidR="00CA3A43" w:rsidRPr="00FE2621" w:rsidRDefault="00CA3A43" w:rsidP="00CA3A43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E2621">
              <w:rPr>
                <w:b/>
                <w:bCs/>
                <w:color w:val="FFFFFF"/>
                <w:sz w:val="18"/>
                <w:szCs w:val="18"/>
              </w:rPr>
              <w:t>Vivienda</w:t>
            </w:r>
          </w:p>
        </w:tc>
        <w:tc>
          <w:tcPr>
            <w:tcW w:w="2564" w:type="dxa"/>
            <w:tcBorders>
              <w:top w:val="single" w:sz="8" w:space="0" w:color="9BC2E6"/>
              <w:left w:val="nil"/>
              <w:bottom w:val="single" w:sz="8" w:space="0" w:color="9BC2E6"/>
              <w:right w:val="nil"/>
            </w:tcBorders>
            <w:shd w:val="clear" w:color="auto" w:fill="5B9BD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0E8D4" w14:textId="77777777" w:rsidR="00CA3A43" w:rsidRPr="00FE2621" w:rsidRDefault="00CA3A43" w:rsidP="00CA3A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E2621">
              <w:rPr>
                <w:b/>
                <w:bCs/>
                <w:color w:val="FFFFFF"/>
                <w:sz w:val="18"/>
                <w:szCs w:val="18"/>
              </w:rPr>
              <w:t>2021</w:t>
            </w:r>
          </w:p>
        </w:tc>
      </w:tr>
      <w:tr w:rsidR="00CA3A43" w:rsidRPr="00FE2621" w14:paraId="6F342C91" w14:textId="77777777" w:rsidTr="00CA3A43">
        <w:trPr>
          <w:trHeight w:val="384"/>
        </w:trPr>
        <w:tc>
          <w:tcPr>
            <w:tcW w:w="519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40CF7" w14:textId="77777777" w:rsidR="00CA3A43" w:rsidRPr="00FE2621" w:rsidRDefault="00CA3A43" w:rsidP="00CA3A43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E2621">
              <w:rPr>
                <w:color w:val="000000"/>
                <w:sz w:val="18"/>
                <w:szCs w:val="18"/>
              </w:rPr>
              <w:t>1. Vivienda Apoyo Pamplona (A TU LADO)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9BC2E6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22436" w14:textId="77777777" w:rsidR="00CA3A43" w:rsidRPr="00FE2621" w:rsidRDefault="00CA3A43" w:rsidP="00CA3A43">
            <w:pPr>
              <w:spacing w:line="240" w:lineRule="auto"/>
              <w:ind w:right="822"/>
              <w:jc w:val="right"/>
              <w:rPr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13.777,11</w:t>
            </w:r>
          </w:p>
        </w:tc>
      </w:tr>
      <w:tr w:rsidR="00CA3A43" w:rsidRPr="00FE2621" w14:paraId="5B7F48BA" w14:textId="77777777" w:rsidTr="00CA3A43">
        <w:trPr>
          <w:trHeight w:val="384"/>
        </w:trPr>
        <w:tc>
          <w:tcPr>
            <w:tcW w:w="519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EA7AB" w14:textId="77777777" w:rsidR="00CA3A43" w:rsidRPr="00FE2621" w:rsidRDefault="00CA3A43" w:rsidP="00CA3A4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2. Vivienda con Apoyo Barañáin (COCEMFE)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321AA" w14:textId="77777777" w:rsidR="00CA3A43" w:rsidRPr="00FE2621" w:rsidRDefault="00CA3A43" w:rsidP="00CA3A43">
            <w:pPr>
              <w:spacing w:line="240" w:lineRule="auto"/>
              <w:ind w:right="822"/>
              <w:jc w:val="right"/>
              <w:rPr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9.057,30</w:t>
            </w:r>
          </w:p>
        </w:tc>
      </w:tr>
      <w:tr w:rsidR="00CA3A43" w:rsidRPr="00FE2621" w14:paraId="566F714C" w14:textId="77777777" w:rsidTr="00CA3A43">
        <w:trPr>
          <w:trHeight w:val="384"/>
        </w:trPr>
        <w:tc>
          <w:tcPr>
            <w:tcW w:w="519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5FCD5" w14:textId="77777777" w:rsidR="00CA3A43" w:rsidRPr="00FE2621" w:rsidRDefault="00CA3A43" w:rsidP="00CA3A4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3. Vivienda con Apoyo Mutilva (UTE)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9BC2E6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915B7D" w14:textId="77777777" w:rsidR="00CA3A43" w:rsidRPr="00FE2621" w:rsidRDefault="00CA3A43" w:rsidP="00CA3A43">
            <w:pPr>
              <w:spacing w:line="240" w:lineRule="auto"/>
              <w:ind w:right="822"/>
              <w:jc w:val="right"/>
              <w:rPr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8.870,53</w:t>
            </w:r>
          </w:p>
        </w:tc>
      </w:tr>
      <w:tr w:rsidR="00CA3A43" w:rsidRPr="00FE2621" w14:paraId="5CB866F8" w14:textId="77777777" w:rsidTr="00CA3A43">
        <w:trPr>
          <w:trHeight w:val="384"/>
        </w:trPr>
        <w:tc>
          <w:tcPr>
            <w:tcW w:w="519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A54DE" w14:textId="77777777" w:rsidR="00CA3A43" w:rsidRPr="00FE2621" w:rsidRDefault="00CA3A43" w:rsidP="00CA3A4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4. Vivienda con Apoyo Sarriguren (ANFAS)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67D7A" w14:textId="77777777" w:rsidR="00CA3A43" w:rsidRPr="00FE2621" w:rsidRDefault="00CA3A43" w:rsidP="00CA3A43">
            <w:pPr>
              <w:spacing w:line="240" w:lineRule="auto"/>
              <w:ind w:right="822"/>
              <w:jc w:val="right"/>
              <w:rPr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12.246,32</w:t>
            </w:r>
          </w:p>
        </w:tc>
      </w:tr>
      <w:tr w:rsidR="00CA3A43" w:rsidRPr="00FE2621" w14:paraId="3A0775AE" w14:textId="77777777" w:rsidTr="00CA3A43">
        <w:trPr>
          <w:trHeight w:val="384"/>
        </w:trPr>
        <w:tc>
          <w:tcPr>
            <w:tcW w:w="519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31409" w14:textId="77777777" w:rsidR="00CA3A43" w:rsidRPr="00FE2621" w:rsidRDefault="00CA3A43" w:rsidP="00CA3A4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5. Vivienda con Apoyo C/ Tajonar (ASDN)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9BC2E6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45756" w14:textId="77777777" w:rsidR="00CA3A43" w:rsidRPr="00FE2621" w:rsidRDefault="00CA3A43" w:rsidP="00CA3A43">
            <w:pPr>
              <w:spacing w:line="240" w:lineRule="auto"/>
              <w:ind w:right="822"/>
              <w:jc w:val="right"/>
              <w:rPr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9.058,32</w:t>
            </w:r>
          </w:p>
        </w:tc>
      </w:tr>
      <w:tr w:rsidR="00CA3A43" w:rsidRPr="00FE2621" w14:paraId="3DBDEFE3" w14:textId="77777777" w:rsidTr="00CA3A43">
        <w:trPr>
          <w:trHeight w:val="384"/>
        </w:trPr>
        <w:tc>
          <w:tcPr>
            <w:tcW w:w="5196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A5C5E" w14:textId="77777777" w:rsidR="00CA3A43" w:rsidRPr="00FE2621" w:rsidRDefault="00CA3A43" w:rsidP="00CA3A4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E2621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9BC2E6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658EB" w14:textId="77777777" w:rsidR="00CA3A43" w:rsidRPr="00FE2621" w:rsidRDefault="00CA3A43" w:rsidP="00CA3A43">
            <w:pPr>
              <w:spacing w:line="240" w:lineRule="auto"/>
              <w:ind w:right="822"/>
              <w:jc w:val="right"/>
              <w:rPr>
                <w:sz w:val="18"/>
                <w:szCs w:val="18"/>
              </w:rPr>
            </w:pPr>
            <w:r w:rsidRPr="00FE2621">
              <w:rPr>
                <w:b/>
                <w:bCs/>
                <w:color w:val="000000"/>
                <w:sz w:val="18"/>
                <w:szCs w:val="18"/>
              </w:rPr>
              <w:t>53.009,58</w:t>
            </w:r>
          </w:p>
        </w:tc>
      </w:tr>
    </w:tbl>
    <w:p w14:paraId="3AA89A00" w14:textId="19D7E645" w:rsidR="00CA3A43" w:rsidRDefault="00FE2621" w:rsidP="00CA3A43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tbl>
      <w:tblPr>
        <w:tblW w:w="87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1197"/>
        <w:gridCol w:w="1198"/>
        <w:gridCol w:w="1198"/>
        <w:gridCol w:w="1198"/>
        <w:gridCol w:w="1198"/>
      </w:tblGrid>
      <w:tr w:rsidR="00CA3A43" w:rsidRPr="00FE2621" w14:paraId="0F923337" w14:textId="77777777" w:rsidTr="00CA3A43">
        <w:trPr>
          <w:trHeight w:val="488"/>
        </w:trPr>
        <w:tc>
          <w:tcPr>
            <w:tcW w:w="2731" w:type="dxa"/>
            <w:vMerge w:val="restart"/>
            <w:tcBorders>
              <w:top w:val="single" w:sz="8" w:space="0" w:color="9BC2E6"/>
              <w:left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8D73A" w14:textId="77777777" w:rsidR="00CA3A43" w:rsidRPr="00FE2621" w:rsidRDefault="00CA3A43" w:rsidP="00CA3A4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FE2621">
              <w:rPr>
                <w:b/>
                <w:bCs/>
                <w:color w:val="FFFFFF"/>
                <w:sz w:val="18"/>
                <w:szCs w:val="18"/>
              </w:rPr>
              <w:t>CONCEPTOS</w:t>
            </w:r>
          </w:p>
        </w:tc>
        <w:tc>
          <w:tcPr>
            <w:tcW w:w="5989" w:type="dxa"/>
            <w:gridSpan w:val="5"/>
            <w:tcBorders>
              <w:top w:val="single" w:sz="8" w:space="0" w:color="9BC2E6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5B51F" w14:textId="77777777" w:rsidR="00CA3A43" w:rsidRPr="00FE2621" w:rsidRDefault="00CA3A43" w:rsidP="00CA3A4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FE2621">
              <w:rPr>
                <w:b/>
                <w:bCs/>
                <w:color w:val="FFFFFF"/>
                <w:sz w:val="18"/>
                <w:szCs w:val="18"/>
              </w:rPr>
              <w:t>VIVIENDA</w:t>
            </w:r>
          </w:p>
        </w:tc>
      </w:tr>
      <w:tr w:rsidR="00CA3A43" w:rsidRPr="00FE2621" w14:paraId="11D01E23" w14:textId="77777777" w:rsidTr="00CA3A43">
        <w:trPr>
          <w:trHeight w:val="488"/>
        </w:trPr>
        <w:tc>
          <w:tcPr>
            <w:tcW w:w="2731" w:type="dxa"/>
            <w:vMerge/>
            <w:tcBorders>
              <w:left w:val="single" w:sz="8" w:space="0" w:color="9BC2E6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38D5C" w14:textId="77777777" w:rsidR="00CA3A43" w:rsidRPr="00FE2621" w:rsidRDefault="00CA3A43" w:rsidP="00CA3A43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8" w:space="0" w:color="9BC2E6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2EE18" w14:textId="77777777" w:rsidR="00CA3A43" w:rsidRPr="00FE2621" w:rsidRDefault="00CA3A43" w:rsidP="00CA3A4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FE2621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sz="8" w:space="0" w:color="9BC2E6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4E94F" w14:textId="77777777" w:rsidR="00CA3A43" w:rsidRPr="00FE2621" w:rsidRDefault="00CA3A43" w:rsidP="00CA3A4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FE2621">
              <w:rPr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single" w:sz="8" w:space="0" w:color="9BC2E6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74654" w14:textId="77777777" w:rsidR="00CA3A43" w:rsidRPr="00FE2621" w:rsidRDefault="00CA3A43" w:rsidP="00CA3A4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FE2621">
              <w:rPr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single" w:sz="8" w:space="0" w:color="9BC2E6"/>
              <w:left w:val="nil"/>
              <w:bottom w:val="single" w:sz="8" w:space="0" w:color="9BC2E6"/>
              <w:right w:val="nil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1DB0F" w14:textId="77777777" w:rsidR="00CA3A43" w:rsidRPr="00FE2621" w:rsidRDefault="00CA3A43" w:rsidP="00CA3A4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FE2621">
              <w:rPr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8" w:space="0" w:color="9BC2E6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5B9B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DA06B" w14:textId="77777777" w:rsidR="00CA3A43" w:rsidRPr="00FE2621" w:rsidRDefault="00CA3A43" w:rsidP="00CA3A43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FE2621">
              <w:rPr>
                <w:b/>
                <w:bCs/>
                <w:color w:val="FFFFFF"/>
                <w:sz w:val="18"/>
                <w:szCs w:val="18"/>
              </w:rPr>
              <w:t>5</w:t>
            </w:r>
          </w:p>
        </w:tc>
      </w:tr>
      <w:tr w:rsidR="00CA3A43" w:rsidRPr="00FE2621" w14:paraId="58E0A18F" w14:textId="77777777" w:rsidTr="00CA3A43">
        <w:trPr>
          <w:trHeight w:val="488"/>
        </w:trPr>
        <w:tc>
          <w:tcPr>
            <w:tcW w:w="2731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0E274" w14:textId="77777777" w:rsidR="00CA3A43" w:rsidRPr="00FE2621" w:rsidRDefault="00CA3A43" w:rsidP="006E29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2621">
              <w:rPr>
                <w:b/>
                <w:bCs/>
                <w:color w:val="000000"/>
                <w:sz w:val="18"/>
                <w:szCs w:val="18"/>
              </w:rPr>
              <w:t>Coste personal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C6FC2" w14:textId="77777777" w:rsidR="00CA3A43" w:rsidRPr="00FE2621" w:rsidRDefault="00CA3A43" w:rsidP="00CA3A43">
            <w:pPr>
              <w:jc w:val="center"/>
              <w:rPr>
                <w:color w:val="000000"/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0,62%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82372" w14:textId="77777777" w:rsidR="00CA3A43" w:rsidRPr="00FE2621" w:rsidRDefault="00CA3A43" w:rsidP="00CA3A43">
            <w:pPr>
              <w:jc w:val="center"/>
              <w:rPr>
                <w:color w:val="000000"/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0,62%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48836" w14:textId="77777777" w:rsidR="00CA3A43" w:rsidRPr="00FE2621" w:rsidRDefault="00CA3A43" w:rsidP="00CA3A43">
            <w:pPr>
              <w:jc w:val="center"/>
              <w:rPr>
                <w:color w:val="000000"/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0,64%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A3126" w14:textId="77777777" w:rsidR="00CA3A43" w:rsidRPr="00FE2621" w:rsidRDefault="00CA3A43" w:rsidP="00CA3A43">
            <w:pPr>
              <w:jc w:val="center"/>
              <w:rPr>
                <w:color w:val="000000"/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0,55%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C34C1" w14:textId="77777777" w:rsidR="00CA3A43" w:rsidRPr="00FE2621" w:rsidRDefault="00CA3A43" w:rsidP="00CA3A43">
            <w:pPr>
              <w:jc w:val="center"/>
              <w:rPr>
                <w:color w:val="000000"/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0,56%</w:t>
            </w:r>
          </w:p>
        </w:tc>
      </w:tr>
      <w:tr w:rsidR="00CA3A43" w:rsidRPr="00FE2621" w14:paraId="2FF4C31C" w14:textId="77777777" w:rsidTr="00CA3A43">
        <w:trPr>
          <w:trHeight w:val="488"/>
        </w:trPr>
        <w:tc>
          <w:tcPr>
            <w:tcW w:w="2731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2D5CC" w14:textId="77777777" w:rsidR="00CA3A43" w:rsidRPr="00FE2621" w:rsidRDefault="00CA3A43" w:rsidP="006E2959">
            <w:pP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621">
              <w:rPr>
                <w:b/>
                <w:bCs/>
                <w:color w:val="000000"/>
                <w:sz w:val="18"/>
                <w:szCs w:val="18"/>
              </w:rPr>
              <w:t>Total resto de gastos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0CDB2" w14:textId="77777777" w:rsidR="00CA3A43" w:rsidRPr="00FE2621" w:rsidRDefault="00CA3A43" w:rsidP="00CA3A43">
            <w:pPr>
              <w:jc w:val="center"/>
              <w:rPr>
                <w:color w:val="000000"/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0,38%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1016A8" w14:textId="77777777" w:rsidR="00CA3A43" w:rsidRPr="00FE2621" w:rsidRDefault="00CA3A43" w:rsidP="00CA3A43">
            <w:pPr>
              <w:jc w:val="center"/>
              <w:rPr>
                <w:color w:val="000000"/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0,38%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20193" w14:textId="77777777" w:rsidR="00CA3A43" w:rsidRPr="00FE2621" w:rsidRDefault="00CA3A43" w:rsidP="00CA3A43">
            <w:pPr>
              <w:jc w:val="center"/>
              <w:rPr>
                <w:color w:val="000000"/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0,36%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3365F" w14:textId="77777777" w:rsidR="00CA3A43" w:rsidRPr="00FE2621" w:rsidRDefault="00CA3A43" w:rsidP="00CA3A43">
            <w:pPr>
              <w:jc w:val="center"/>
              <w:rPr>
                <w:color w:val="000000"/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0,45%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89CFC6" w14:textId="77777777" w:rsidR="00CA3A43" w:rsidRPr="00FE2621" w:rsidRDefault="00CA3A43" w:rsidP="00CA3A43">
            <w:pPr>
              <w:jc w:val="center"/>
              <w:rPr>
                <w:color w:val="000000"/>
                <w:sz w:val="18"/>
                <w:szCs w:val="18"/>
              </w:rPr>
            </w:pPr>
            <w:r w:rsidRPr="00FE2621">
              <w:rPr>
                <w:color w:val="000000"/>
                <w:sz w:val="18"/>
                <w:szCs w:val="18"/>
              </w:rPr>
              <w:t>0,44%</w:t>
            </w:r>
          </w:p>
        </w:tc>
      </w:tr>
    </w:tbl>
    <w:p w14:paraId="5BEDDD64" w14:textId="77777777" w:rsidR="0068120C" w:rsidRDefault="0068120C" w:rsidP="008768AC">
      <w:pPr>
        <w:rPr>
          <w:rFonts w:cs="Arial"/>
        </w:rPr>
      </w:pPr>
    </w:p>
    <w:p w14:paraId="4F532576" w14:textId="0F9D0946"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43D0FB6E" w14:textId="77777777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CA3A43">
        <w:rPr>
          <w:rFonts w:cs="Arial"/>
        </w:rPr>
        <w:t>Pamplona</w:t>
      </w:r>
      <w:r w:rsidR="00CD748E" w:rsidRPr="00CA3A43">
        <w:rPr>
          <w:rFonts w:cs="Arial"/>
        </w:rPr>
        <w:t>-Iruña</w:t>
      </w:r>
      <w:r w:rsidRPr="00CA3A43">
        <w:rPr>
          <w:rFonts w:cs="Arial"/>
        </w:rPr>
        <w:t xml:space="preserve">, </w:t>
      </w:r>
      <w:r w:rsidR="00CA3A43" w:rsidRPr="00CA3A43">
        <w:rPr>
          <w:rFonts w:cs="Arial"/>
        </w:rPr>
        <w:t>6</w:t>
      </w:r>
      <w:r w:rsidR="004E53CE" w:rsidRPr="00CA3A43">
        <w:rPr>
          <w:rFonts w:cs="Arial"/>
        </w:rPr>
        <w:t xml:space="preserve"> de </w:t>
      </w:r>
      <w:r w:rsidR="00DF7B0E" w:rsidRPr="00CA3A43">
        <w:rPr>
          <w:rFonts w:cs="Arial"/>
        </w:rPr>
        <w:t>febrero</w:t>
      </w:r>
      <w:r w:rsidR="00AA6EA2" w:rsidRPr="00CA3A43">
        <w:rPr>
          <w:rFonts w:cs="Arial"/>
        </w:rPr>
        <w:t xml:space="preserve"> de 20</w:t>
      </w:r>
      <w:r w:rsidR="003960F4" w:rsidRPr="00CA3A43">
        <w:rPr>
          <w:rFonts w:cs="Arial"/>
        </w:rPr>
        <w:t>2</w:t>
      </w:r>
      <w:r w:rsidR="00DF7B0E" w:rsidRPr="00CA3A43">
        <w:rPr>
          <w:rFonts w:cs="Arial"/>
        </w:rPr>
        <w:t>3</w:t>
      </w:r>
      <w:r w:rsidRPr="00CA3A43">
        <w:rPr>
          <w:rFonts w:cs="Arial"/>
        </w:rPr>
        <w:t>.</w:t>
      </w:r>
    </w:p>
    <w:p w14:paraId="1B1D76A7" w14:textId="1374A7D5" w:rsidR="00A52026" w:rsidRPr="00FE2621" w:rsidRDefault="00CD4DF7" w:rsidP="00FE2621">
      <w:pPr>
        <w:spacing w:after="120"/>
        <w:jc w:val="center"/>
        <w:rPr>
          <w:rFonts w:cs="Arial"/>
        </w:rPr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r w:rsidR="00D45F8B" w:rsidRPr="00C70D9F">
        <w:rPr>
          <w:rFonts w:cs="Arial"/>
        </w:rPr>
        <w:t xml:space="preserve"> de Derechos Sociales</w:t>
      </w:r>
      <w:r w:rsidR="00FE2621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p w14:paraId="545DB12B" w14:textId="77777777" w:rsidR="00A52026" w:rsidRDefault="00A52026" w:rsidP="00CA544A">
      <w:pPr>
        <w:spacing w:after="120"/>
        <w:rPr>
          <w:rFonts w:cs="Arial"/>
        </w:rPr>
      </w:pPr>
    </w:p>
    <w:sectPr w:rsidR="00A52026" w:rsidSect="00801B66">
      <w:footerReference w:type="even" r:id="rId7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8E7E" w14:textId="77777777" w:rsidR="00DE1213" w:rsidRDefault="00DE1213">
      <w:r>
        <w:separator/>
      </w:r>
    </w:p>
  </w:endnote>
  <w:endnote w:type="continuationSeparator" w:id="0">
    <w:p w14:paraId="0568B411" w14:textId="77777777" w:rsidR="00DE1213" w:rsidRDefault="00DE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CCBE" w14:textId="77777777"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647676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 w:rsidRPr="007A7B54">
      <w:rPr>
        <w:rStyle w:val="Nmerodepgina"/>
        <w:rFonts w:cs="Arial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647676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ab/>
    </w:r>
    <w:r w:rsidR="006566C9">
      <w:rPr>
        <w:rFonts w:cs="Arial"/>
        <w:sz w:val="20"/>
        <w:szCs w:val="20"/>
      </w:rPr>
      <w:t>10</w:t>
    </w:r>
    <w:r w:rsidR="00560F7E">
      <w:rPr>
        <w:rFonts w:cs="Arial"/>
        <w:sz w:val="20"/>
        <w:szCs w:val="20"/>
      </w:rPr>
      <w:t>-2</w:t>
    </w:r>
    <w:r w:rsidR="00D4619E">
      <w:rPr>
        <w:rFonts w:cs="Arial"/>
        <w:sz w:val="20"/>
        <w:szCs w:val="20"/>
      </w:rPr>
      <w:t>2</w:t>
    </w:r>
    <w:r w:rsidRPr="00332E76">
      <w:rPr>
        <w:rFonts w:cs="Arial"/>
        <w:sz w:val="20"/>
        <w:szCs w:val="20"/>
      </w:rPr>
      <w:t>/</w:t>
    </w:r>
    <w:r w:rsidR="0003307A">
      <w:rPr>
        <w:rFonts w:cs="Arial"/>
        <w:sz w:val="20"/>
        <w:szCs w:val="20"/>
      </w:rPr>
      <w:t>PES</w:t>
    </w:r>
    <w:r w:rsidRPr="00EA2D5B">
      <w:rPr>
        <w:rFonts w:cs="Arial"/>
        <w:sz w:val="20"/>
        <w:szCs w:val="20"/>
      </w:rPr>
      <w:t>-00</w:t>
    </w:r>
    <w:r w:rsidR="00CA3A43">
      <w:rPr>
        <w:rFonts w:cs="Arial"/>
        <w:sz w:val="20"/>
        <w:szCs w:val="20"/>
      </w:rPr>
      <w:t>613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EB97" w14:textId="77777777" w:rsidR="00DE1213" w:rsidRDefault="00DE1213">
      <w:r>
        <w:separator/>
      </w:r>
    </w:p>
  </w:footnote>
  <w:footnote w:type="continuationSeparator" w:id="0">
    <w:p w14:paraId="3057BC01" w14:textId="77777777" w:rsidR="00DE1213" w:rsidRDefault="00DE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154744">
    <w:abstractNumId w:val="8"/>
  </w:num>
  <w:num w:numId="2" w16cid:durableId="847985898">
    <w:abstractNumId w:val="1"/>
  </w:num>
  <w:num w:numId="3" w16cid:durableId="455834906">
    <w:abstractNumId w:val="4"/>
  </w:num>
  <w:num w:numId="4" w16cid:durableId="579947423">
    <w:abstractNumId w:val="7"/>
  </w:num>
  <w:num w:numId="5" w16cid:durableId="1374307686">
    <w:abstractNumId w:val="6"/>
  </w:num>
  <w:num w:numId="6" w16cid:durableId="521364748">
    <w:abstractNumId w:val="2"/>
  </w:num>
  <w:num w:numId="7" w16cid:durableId="1259211200">
    <w:abstractNumId w:val="3"/>
  </w:num>
  <w:num w:numId="8" w16cid:durableId="1078945487">
    <w:abstractNumId w:val="5"/>
  </w:num>
  <w:num w:numId="9" w16cid:durableId="141716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27245"/>
    <w:rsid w:val="00241092"/>
    <w:rsid w:val="00252442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33E2"/>
    <w:rsid w:val="003E7CAB"/>
    <w:rsid w:val="00403A3C"/>
    <w:rsid w:val="004376AA"/>
    <w:rsid w:val="004412AA"/>
    <w:rsid w:val="00462A9A"/>
    <w:rsid w:val="00493BB2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47676"/>
    <w:rsid w:val="00652453"/>
    <w:rsid w:val="00654CFA"/>
    <w:rsid w:val="006566C9"/>
    <w:rsid w:val="00660977"/>
    <w:rsid w:val="0066390E"/>
    <w:rsid w:val="00666A3F"/>
    <w:rsid w:val="0068120C"/>
    <w:rsid w:val="00686799"/>
    <w:rsid w:val="006922BB"/>
    <w:rsid w:val="006E2959"/>
    <w:rsid w:val="006E6321"/>
    <w:rsid w:val="006F2E41"/>
    <w:rsid w:val="007008C6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6261F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52026"/>
    <w:rsid w:val="00A90748"/>
    <w:rsid w:val="00AA3582"/>
    <w:rsid w:val="00AA6EA2"/>
    <w:rsid w:val="00AB306A"/>
    <w:rsid w:val="00AF1536"/>
    <w:rsid w:val="00B123A0"/>
    <w:rsid w:val="00B42E53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3A43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E1213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2621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611DAE5"/>
  <w15:chartTrackingRefBased/>
  <w15:docId w15:val="{72BEDCAF-532E-48AA-B3D3-C25D5DA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El Consejero de Derechos Sociales que suscribe, en relación a la petición de información solicitada por la parlamentaria Dña</vt:lpstr>
      <vt:lpstr>Pamplona-Iruña, 6 de febrero de 2023.</vt:lpstr>
      <vt:lpstr>María Carmen Maeztu Villafranca</vt:lpstr>
    </vt:vector>
  </TitlesOfParts>
  <Company>Gobierno de Navarra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Nerea Martin Cestao</cp:lastModifiedBy>
  <cp:revision>5</cp:revision>
  <cp:lastPrinted>2015-09-24T13:01:00Z</cp:lastPrinted>
  <dcterms:created xsi:type="dcterms:W3CDTF">2023-02-15T08:31:00Z</dcterms:created>
  <dcterms:modified xsi:type="dcterms:W3CDTF">2023-04-28T08:56:00Z</dcterms:modified>
</cp:coreProperties>
</file>