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 medida 2 del cambio destinado a fomentar la contratación pública social y responsable para incentivar el empleo de las personas con discapacidad del Plan Operativo de 2021,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las planificaciones de contratos con reserva realizadas por los Departamentos entre 2021 y 2023 (10-22/PES- 00606), tiene el honor de informarle lo siguiente: </w:t>
      </w:r>
    </w:p>
    <w:p>
      <w:pPr>
        <w:pStyle w:val="0"/>
        <w:suppressAutoHyphens w:val="false"/>
        <w:rPr>
          <w:rStyle w:val="1"/>
        </w:rPr>
      </w:pPr>
      <w:r>
        <w:rPr>
          <w:rStyle w:val="1"/>
        </w:rPr>
        <w:t xml:space="preserve">Esta información ya ha sido facilitada a este parlamentario a través de la respuesta a la petición de información parlamentaria número 10-22/PEl-00840.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