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4C0C" w14:textId="4383AE5C" w:rsidR="00003AAD" w:rsidRPr="00E05004" w:rsidRDefault="00815147" w:rsidP="005305AC">
      <w:pPr>
        <w:pStyle w:val="Style"/>
        <w:spacing w:before="100" w:beforeAutospacing="1" w:after="200" w:line="276" w:lineRule="auto"/>
        <w:rPr>
          <w:rFonts w:ascii="Calibri" w:hAnsi="Calibri" w:cs="Calibri"/>
          <w:sz w:val="22"/>
          <w:szCs w:val="22"/>
        </w:rPr>
      </w:pPr>
      <w:r>
        <w:rPr>
          <w:rFonts w:ascii="Calibri" w:hAnsi="Calibri"/>
          <w:sz w:val="22"/>
        </w:rPr>
        <w:t>23MOC-57</w:t>
      </w:r>
    </w:p>
    <w:p w14:paraId="67C16252" w14:textId="77777777" w:rsidR="00E63206" w:rsidRDefault="0074465C" w:rsidP="005305AC">
      <w:pPr>
        <w:pStyle w:val="Style"/>
        <w:spacing w:before="100" w:beforeAutospacing="1" w:after="200" w:line="276" w:lineRule="auto"/>
        <w:ind w:right="24"/>
        <w:jc w:val="both"/>
        <w:textAlignment w:val="baseline"/>
        <w:rPr>
          <w:rFonts w:ascii="Calibri" w:hAnsi="Calibri" w:cs="Calibri"/>
          <w:sz w:val="22"/>
          <w:szCs w:val="22"/>
        </w:rPr>
      </w:pPr>
      <w:r>
        <w:rPr>
          <w:rFonts w:ascii="Calibri" w:hAnsi="Calibri"/>
          <w:sz w:val="22"/>
        </w:rPr>
        <w:t xml:space="preserve">EH Bildu Nafarroa talde parlamentarioari atxikitako parlamentari Adolfo Araiz </w:t>
      </w:r>
      <w:proofErr w:type="spellStart"/>
      <w:r>
        <w:rPr>
          <w:rFonts w:ascii="Calibri" w:hAnsi="Calibri"/>
          <w:sz w:val="22"/>
        </w:rPr>
        <w:t>Flamarique</w:t>
      </w:r>
      <w:proofErr w:type="spellEnd"/>
      <w:r>
        <w:rPr>
          <w:rFonts w:ascii="Calibri" w:hAnsi="Calibri"/>
          <w:sz w:val="22"/>
        </w:rPr>
        <w:t xml:space="preserve"> jaunak, Legebiltzarreko Erregelamenduaren 220. artikuluan ezarritakoaren babesean, honako mozio hau aurkezten du:</w:t>
      </w:r>
      <w:r>
        <w:rPr>
          <w:rFonts w:ascii="Calibri" w:hAnsi="Calibri"/>
          <w:b/>
          <w:sz w:val="22"/>
        </w:rPr>
        <w:t xml:space="preserve"> </w:t>
      </w:r>
    </w:p>
    <w:p w14:paraId="4D7135F2" w14:textId="7CE17AF4" w:rsidR="00003AAD" w:rsidRPr="00E05004" w:rsidRDefault="0074465C" w:rsidP="005305AC">
      <w:pPr>
        <w:pStyle w:val="Style"/>
        <w:spacing w:before="100" w:beforeAutospacing="1" w:after="200" w:line="276" w:lineRule="auto"/>
        <w:ind w:right="24"/>
        <w:jc w:val="both"/>
        <w:textAlignment w:val="baseline"/>
        <w:rPr>
          <w:rFonts w:ascii="Calibri" w:hAnsi="Calibri" w:cs="Calibri"/>
          <w:sz w:val="22"/>
          <w:szCs w:val="22"/>
        </w:rPr>
      </w:pPr>
      <w:r>
        <w:rPr>
          <w:rFonts w:ascii="Calibri" w:hAnsi="Calibri"/>
          <w:sz w:val="22"/>
        </w:rPr>
        <w:t xml:space="preserve">Hiri-mugikortasun jasangarriari buruzko Europako Parlamentuaren 2014ko txostenaren (2014/2242) zioen azalpenean, zeinaren azken testua Europako Parlamentuaren 2015eko abenduaren 2ko Ebazpenaren bidez onetsi baitzen, mugikortasuna herritarren eskubidetzat hartzen zen, honako hau ezarrita: «Mugikortasuna ez da berez helburu bat; aitzitik, </w:t>
      </w:r>
      <w:proofErr w:type="spellStart"/>
      <w:r>
        <w:rPr>
          <w:rFonts w:ascii="Calibri" w:hAnsi="Calibri"/>
          <w:sz w:val="22"/>
        </w:rPr>
        <w:t>guztiondako</w:t>
      </w:r>
      <w:proofErr w:type="spellEnd"/>
      <w:r>
        <w:rPr>
          <w:rFonts w:ascii="Calibri" w:hAnsi="Calibri"/>
          <w:sz w:val="22"/>
        </w:rPr>
        <w:t xml:space="preserve"> eskubidea izan beharko litzateke (...).</w:t>
      </w:r>
      <w:r>
        <w:rPr>
          <w:rFonts w:ascii="Calibri" w:hAnsi="Calibri"/>
          <w:i/>
          <w:sz w:val="22"/>
        </w:rPr>
        <w:t xml:space="preserve"> Mugikortasunaren xedea da guztiei –mugikortasun murriztua duten pertsonei ere– erraztea ikastetxeetarako, lanerako, kulturarako, aisialdi-jardueretarako eta osasun-zerbitzuetarako sarbidea (...)”. </w:t>
      </w:r>
    </w:p>
    <w:p w14:paraId="36A59A0D" w14:textId="5AAF661A" w:rsidR="00E63206" w:rsidRDefault="0074465C" w:rsidP="005305AC">
      <w:pPr>
        <w:pStyle w:val="Style"/>
        <w:spacing w:before="100" w:beforeAutospacing="1" w:after="200" w:line="276" w:lineRule="auto"/>
        <w:jc w:val="both"/>
        <w:textAlignment w:val="baseline"/>
        <w:rPr>
          <w:rFonts w:ascii="Calibri" w:hAnsi="Calibri" w:cs="Calibri"/>
          <w:sz w:val="22"/>
          <w:szCs w:val="22"/>
        </w:rPr>
      </w:pPr>
      <w:proofErr w:type="spellStart"/>
      <w:r>
        <w:rPr>
          <w:rFonts w:ascii="Calibri" w:hAnsi="Calibri"/>
          <w:sz w:val="22"/>
        </w:rPr>
        <w:t>Bestalde,Klima</w:t>
      </w:r>
      <w:proofErr w:type="spellEnd"/>
      <w:r>
        <w:rPr>
          <w:rFonts w:ascii="Calibri" w:hAnsi="Calibri"/>
          <w:sz w:val="22"/>
        </w:rPr>
        <w:t xml:space="preserve"> aldaketari eta trantsizio energetikoari buruzko martxoaren 22ko 4/2022 Foru Legearen 44. artikuluak ezartzen du Nafarroako administrazio publikoek, bakoitzak bere eskumenen esparruan, mugikortasun jasangarria sustatzeko neurriak hartuko dituztela, horien bidez erdietsi ahal izateko zenbait helburu, mugikortasunaren eta garraioaren sektorean, berotegi-efektuko gasen isurketen murrizketari dagokionez, foru lege honetan jasotzen diren helburuekin bat datozenak. </w:t>
      </w:r>
    </w:p>
    <w:p w14:paraId="1AF79EAB" w14:textId="77777777" w:rsidR="00715439" w:rsidRDefault="0074465C" w:rsidP="005305AC">
      <w:pPr>
        <w:pStyle w:val="Style"/>
        <w:spacing w:before="100" w:beforeAutospacing="1" w:after="200" w:line="276" w:lineRule="auto"/>
        <w:ind w:left="19"/>
        <w:textAlignment w:val="baseline"/>
        <w:rPr>
          <w:rFonts w:ascii="Calibri" w:hAnsi="Calibri" w:cs="Calibri"/>
          <w:sz w:val="22"/>
          <w:szCs w:val="22"/>
        </w:rPr>
      </w:pPr>
      <w:r>
        <w:rPr>
          <w:rFonts w:ascii="Calibri" w:hAnsi="Calibri"/>
          <w:sz w:val="22"/>
        </w:rPr>
        <w:t xml:space="preserve">Era berean, Nafarroako administrazio publikoek mugikortasun eta garraioaren arloan beteko dituzten politiken oinarrizko printzipioak zehazten dira, hauexek: </w:t>
      </w:r>
    </w:p>
    <w:p w14:paraId="1B039A56" w14:textId="34753860" w:rsidR="00003AAD" w:rsidRDefault="005305AC" w:rsidP="005305AC">
      <w:pPr>
        <w:pStyle w:val="Style"/>
        <w:spacing w:before="100" w:beforeAutospacing="1" w:after="200" w:line="276" w:lineRule="auto"/>
        <w:ind w:left="1224"/>
        <w:textAlignment w:val="baseline"/>
        <w:rPr>
          <w:rFonts w:ascii="Calibri" w:hAnsi="Calibri" w:cs="Calibri"/>
          <w:sz w:val="22"/>
          <w:szCs w:val="22"/>
        </w:rPr>
      </w:pPr>
      <w:r>
        <w:rPr>
          <w:rFonts w:ascii="Calibri" w:hAnsi="Calibri"/>
          <w:sz w:val="22"/>
        </w:rPr>
        <w:t xml:space="preserve">a) Desplazamenduen banaketa modalean mugikortasun pribatu eta </w:t>
      </w:r>
      <w:proofErr w:type="spellStart"/>
      <w:r>
        <w:rPr>
          <w:rFonts w:ascii="Calibri" w:hAnsi="Calibri"/>
          <w:sz w:val="22"/>
        </w:rPr>
        <w:t>otordunaren</w:t>
      </w:r>
      <w:proofErr w:type="spellEnd"/>
      <w:r>
        <w:rPr>
          <w:rFonts w:ascii="Calibri" w:hAnsi="Calibri"/>
          <w:sz w:val="22"/>
        </w:rPr>
        <w:t xml:space="preserve"> pisua gutxitzea.</w:t>
      </w:r>
    </w:p>
    <w:p w14:paraId="20DFDE67" w14:textId="7FCDCBF9" w:rsidR="00461E03" w:rsidRDefault="005305AC" w:rsidP="005305AC">
      <w:pPr>
        <w:pStyle w:val="Style"/>
        <w:spacing w:before="100" w:beforeAutospacing="1" w:after="200" w:line="276" w:lineRule="auto"/>
        <w:ind w:left="1229"/>
        <w:textAlignment w:val="baseline"/>
        <w:rPr>
          <w:rFonts w:ascii="Calibri" w:hAnsi="Calibri" w:cs="Calibri"/>
          <w:sz w:val="22"/>
          <w:szCs w:val="22"/>
        </w:rPr>
      </w:pPr>
      <w:r>
        <w:rPr>
          <w:rFonts w:ascii="Calibri" w:hAnsi="Calibri"/>
          <w:sz w:val="22"/>
        </w:rPr>
        <w:t xml:space="preserve">b) Motorrik gabeko mugikortasuna, bereziki hiriguneetan. </w:t>
      </w:r>
    </w:p>
    <w:p w14:paraId="5626D0D2" w14:textId="0CDE42A3" w:rsidR="00E63206" w:rsidRPr="00461E03" w:rsidRDefault="005305AC" w:rsidP="005305AC">
      <w:pPr>
        <w:pStyle w:val="Style"/>
        <w:spacing w:before="100" w:beforeAutospacing="1" w:after="200" w:line="276" w:lineRule="auto"/>
        <w:ind w:left="1229"/>
        <w:textAlignment w:val="baseline"/>
        <w:rPr>
          <w:rFonts w:ascii="Calibri" w:hAnsi="Calibri" w:cs="Calibri"/>
          <w:sz w:val="22"/>
          <w:szCs w:val="22"/>
        </w:rPr>
      </w:pPr>
      <w:r>
        <w:rPr>
          <w:rFonts w:ascii="Calibri" w:hAnsi="Calibri"/>
          <w:sz w:val="22"/>
        </w:rPr>
        <w:t xml:space="preserve">c) Hiriko eta hiri arteko garraio publiko kolektiboa eta partikularren artean partekatutako ibilgailuak eta </w:t>
      </w:r>
      <w:proofErr w:type="spellStart"/>
      <w:r>
        <w:rPr>
          <w:rFonts w:ascii="Calibri" w:hAnsi="Calibri"/>
          <w:sz w:val="22"/>
        </w:rPr>
        <w:t>intermodalitatea</w:t>
      </w:r>
      <w:proofErr w:type="spellEnd"/>
      <w:r>
        <w:rPr>
          <w:rFonts w:ascii="Calibri" w:hAnsi="Calibri"/>
          <w:sz w:val="22"/>
        </w:rPr>
        <w:t xml:space="preserve"> sustatzea, arreta berezia jarriz landa eremuko herriei. </w:t>
      </w:r>
    </w:p>
    <w:p w14:paraId="0C7D455A" w14:textId="77777777" w:rsidR="00E63206" w:rsidRDefault="0074465C" w:rsidP="005305AC">
      <w:pPr>
        <w:pStyle w:val="Style"/>
        <w:spacing w:before="100" w:beforeAutospacing="1" w:after="200" w:line="276" w:lineRule="auto"/>
        <w:ind w:left="922" w:right="43" w:firstLine="307"/>
        <w:textAlignment w:val="baseline"/>
        <w:rPr>
          <w:rFonts w:ascii="Calibri" w:hAnsi="Calibri" w:cs="Calibri"/>
          <w:sz w:val="22"/>
          <w:szCs w:val="22"/>
        </w:rPr>
      </w:pPr>
      <w:r>
        <w:rPr>
          <w:rFonts w:ascii="Calibri" w:hAnsi="Calibri"/>
          <w:sz w:val="22"/>
        </w:rPr>
        <w:t xml:space="preserve">d) Oinezkoen eta bizikleten mugikortasun aktiboa sustatzea. </w:t>
      </w:r>
    </w:p>
    <w:p w14:paraId="1AD2545E" w14:textId="77777777" w:rsidR="00E63206" w:rsidRDefault="0074465C" w:rsidP="005305AC">
      <w:pPr>
        <w:pStyle w:val="Style"/>
        <w:spacing w:before="100" w:beforeAutospacing="1" w:after="200" w:line="276" w:lineRule="auto"/>
        <w:ind w:left="1229" w:right="24"/>
        <w:textAlignment w:val="baseline"/>
        <w:rPr>
          <w:rFonts w:ascii="Calibri" w:hAnsi="Calibri" w:cs="Calibri"/>
          <w:sz w:val="22"/>
          <w:szCs w:val="22"/>
        </w:rPr>
      </w:pPr>
      <w:r>
        <w:rPr>
          <w:rFonts w:ascii="Calibri" w:hAnsi="Calibri"/>
          <w:sz w:val="22"/>
        </w:rPr>
        <w:t xml:space="preserve">e) Bidaiarien eta salgaien errepidetik trenbiderako aldaketa modala sustatzea. </w:t>
      </w:r>
    </w:p>
    <w:p w14:paraId="7305ABF7" w14:textId="77777777" w:rsidR="00E63206" w:rsidRDefault="0074465C" w:rsidP="005305AC">
      <w:pPr>
        <w:pStyle w:val="Style"/>
        <w:spacing w:before="100" w:beforeAutospacing="1" w:after="200" w:line="276" w:lineRule="auto"/>
        <w:ind w:left="922" w:right="43" w:firstLine="307"/>
        <w:textAlignment w:val="baseline"/>
        <w:rPr>
          <w:rFonts w:ascii="Calibri" w:hAnsi="Calibri" w:cs="Calibri"/>
          <w:sz w:val="22"/>
          <w:szCs w:val="22"/>
        </w:rPr>
      </w:pPr>
      <w:r>
        <w:rPr>
          <w:rFonts w:ascii="Calibri" w:hAnsi="Calibri"/>
          <w:sz w:val="22"/>
        </w:rPr>
        <w:t xml:space="preserve">f) Irisgarritasuna hobetzea. </w:t>
      </w:r>
    </w:p>
    <w:p w14:paraId="78D6E6BA" w14:textId="77777777" w:rsidR="00E63206" w:rsidRDefault="0074465C" w:rsidP="005305AC">
      <w:pPr>
        <w:pStyle w:val="Style"/>
        <w:spacing w:before="100" w:beforeAutospacing="1" w:after="200" w:line="276" w:lineRule="auto"/>
        <w:ind w:left="922" w:right="43" w:firstLine="307"/>
        <w:textAlignment w:val="baseline"/>
        <w:rPr>
          <w:rFonts w:ascii="Calibri" w:hAnsi="Calibri" w:cs="Calibri"/>
          <w:sz w:val="22"/>
          <w:szCs w:val="22"/>
        </w:rPr>
      </w:pPr>
      <w:r>
        <w:rPr>
          <w:rFonts w:ascii="Calibri" w:hAnsi="Calibri"/>
          <w:sz w:val="22"/>
        </w:rPr>
        <w:t xml:space="preserve">g) Segurtasuna hobetzea. </w:t>
      </w:r>
    </w:p>
    <w:p w14:paraId="2DBCEA0F" w14:textId="77777777" w:rsidR="00E63206" w:rsidRDefault="0074465C" w:rsidP="005305AC">
      <w:pPr>
        <w:pStyle w:val="Style"/>
        <w:spacing w:before="100" w:beforeAutospacing="1" w:after="200" w:line="276" w:lineRule="auto"/>
        <w:ind w:left="379" w:right="29" w:firstLine="850"/>
        <w:textAlignment w:val="baseline"/>
        <w:rPr>
          <w:rFonts w:ascii="Calibri" w:hAnsi="Calibri" w:cs="Calibri"/>
          <w:sz w:val="22"/>
          <w:szCs w:val="22"/>
        </w:rPr>
      </w:pPr>
      <w:r>
        <w:rPr>
          <w:rFonts w:ascii="Calibri" w:hAnsi="Calibri"/>
          <w:sz w:val="22"/>
        </w:rPr>
        <w:t xml:space="preserve">h) Energiaren kontsumoa murriztea eta zero isurketako ibilgailuetarako trantsizioa. </w:t>
      </w:r>
    </w:p>
    <w:p w14:paraId="7D54B7C5" w14:textId="675E750A" w:rsidR="00003AAD" w:rsidRPr="00E05004" w:rsidRDefault="0074465C" w:rsidP="005305AC">
      <w:pPr>
        <w:pStyle w:val="Style"/>
        <w:spacing w:before="100" w:beforeAutospacing="1" w:after="200" w:line="276" w:lineRule="auto"/>
        <w:ind w:left="38" w:right="38"/>
        <w:jc w:val="both"/>
        <w:textAlignment w:val="baseline"/>
        <w:rPr>
          <w:rFonts w:ascii="Calibri" w:hAnsi="Calibri" w:cs="Calibri"/>
          <w:sz w:val="22"/>
          <w:szCs w:val="22"/>
        </w:rPr>
      </w:pPr>
      <w:r>
        <w:rPr>
          <w:rFonts w:ascii="Calibri" w:hAnsi="Calibri"/>
          <w:sz w:val="22"/>
        </w:rPr>
        <w:t xml:space="preserve">Artikulu horren 3. apartatuan adierazten da administrazio publikoek koordinaturik jardungo dutela eta Nafarroako Foru Komunitateko Administrazioari dagokiola jarduteko lerro estrategikoak ezartzea eta koordinatzea. Horretarako, Nafarroako Mugikortasun Jasangarriko Plan Zuzentzailea onetsi eta egikarituko du. Aipatutako printzipioak plan horretan gehituko dira, isurketak gutxitzeko eta esperotako helburuak betetzeko neurri espezifikoak zehaztuta. </w:t>
      </w:r>
    </w:p>
    <w:p w14:paraId="39B8573C" w14:textId="0D8E4BAF" w:rsidR="00E63206" w:rsidRDefault="0074465C" w:rsidP="005305AC">
      <w:pPr>
        <w:pStyle w:val="Style"/>
        <w:spacing w:before="100" w:beforeAutospacing="1" w:after="200" w:line="276" w:lineRule="auto"/>
        <w:ind w:right="67"/>
        <w:jc w:val="both"/>
        <w:textAlignment w:val="baseline"/>
        <w:rPr>
          <w:rFonts w:ascii="Calibri" w:hAnsi="Calibri" w:cs="Calibri"/>
          <w:sz w:val="22"/>
          <w:szCs w:val="22"/>
        </w:rPr>
      </w:pPr>
      <w:r>
        <w:rPr>
          <w:rFonts w:ascii="Calibri" w:hAnsi="Calibri"/>
          <w:sz w:val="22"/>
        </w:rPr>
        <w:t xml:space="preserve">Bestalde, foru lege beraren hirugarren xedapen gehigarriak honako hau xedatzen du: </w:t>
      </w:r>
      <w:r>
        <w:rPr>
          <w:rFonts w:ascii="Calibri" w:hAnsi="Calibri"/>
          <w:i/>
          <w:sz w:val="22"/>
        </w:rPr>
        <w:t xml:space="preserve">“Foru </w:t>
      </w:r>
      <w:r>
        <w:rPr>
          <w:rFonts w:ascii="Calibri" w:hAnsi="Calibri"/>
          <w:i/>
          <w:sz w:val="22"/>
        </w:rPr>
        <w:lastRenderedPageBreak/>
        <w:t>lege honetan ezartzen diren mugikortasun jasangarriaren, mugikortasun elektrikoaren eta zero isurketen sustapenerako neurriak betetzeko indargarri eta osagarri gisa, Nafarroako Gobernuak mugikortasun jasangarriari buruzko foru-lege proiektu bat aurkeztuko dio Nafarroako Parlamentuari”.</w:t>
      </w:r>
    </w:p>
    <w:p w14:paraId="280D9D51" w14:textId="26FA2A07" w:rsidR="00003AAD" w:rsidRPr="00E05004" w:rsidRDefault="0074465C" w:rsidP="005305AC">
      <w:pPr>
        <w:pStyle w:val="Style"/>
        <w:spacing w:before="100" w:beforeAutospacing="1" w:after="200" w:line="276" w:lineRule="auto"/>
        <w:ind w:right="106"/>
        <w:jc w:val="both"/>
        <w:textAlignment w:val="baseline"/>
        <w:rPr>
          <w:rFonts w:ascii="Calibri" w:hAnsi="Calibri" w:cs="Calibri"/>
          <w:sz w:val="22"/>
          <w:szCs w:val="22"/>
        </w:rPr>
        <w:sectPr w:rsidR="00003AAD" w:rsidRPr="00E05004">
          <w:type w:val="continuous"/>
          <w:pgSz w:w="11900" w:h="16840"/>
          <w:pgMar w:top="1042" w:right="1546" w:bottom="360" w:left="1757" w:header="0" w:footer="0" w:gutter="0"/>
          <w:cols w:space="720"/>
        </w:sectPr>
      </w:pPr>
      <w:r>
        <w:rPr>
          <w:rFonts w:ascii="Calibri" w:hAnsi="Calibri"/>
          <w:sz w:val="22"/>
        </w:rPr>
        <w:t>2018an, Nafarroako Mugikortasun Jasangarriaren Plan Zuzentzailearen (2018-2030) proposamena partaidetza publikoan jarri zen, baina azkenean ez zen onetsi.</w:t>
      </w:r>
    </w:p>
    <w:p w14:paraId="027FCE31" w14:textId="2FFE5EB3" w:rsidR="00E63206" w:rsidRDefault="0074465C" w:rsidP="005305AC">
      <w:pPr>
        <w:pStyle w:val="Style"/>
        <w:spacing w:before="100" w:beforeAutospacing="1" w:after="200" w:line="276" w:lineRule="auto"/>
        <w:ind w:right="1378"/>
        <w:textAlignment w:val="baseline"/>
        <w:rPr>
          <w:rFonts w:ascii="Calibri" w:hAnsi="Calibri" w:cs="Calibri"/>
          <w:sz w:val="22"/>
          <w:szCs w:val="22"/>
        </w:rPr>
      </w:pPr>
      <w:r>
        <w:rPr>
          <w:rFonts w:ascii="Calibri" w:hAnsi="Calibri"/>
          <w:sz w:val="22"/>
        </w:rPr>
        <w:t xml:space="preserve">Hori dela-eta, honako erabaki hau hartzea proposatzen dugu: </w:t>
      </w:r>
    </w:p>
    <w:p w14:paraId="70B4D857" w14:textId="662B23E2" w:rsidR="00E63206" w:rsidRDefault="0074465C" w:rsidP="005305AC">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Bakarra.- Nafarroako Parlamentuak Nafarroako Gobernua premiatzen du 2024ko irailaren 30a baino lehen Parlamentura bidal dezan Nafarroako mugikortasun jasangarriari buruzko foru-lege proiektu bat. </w:t>
      </w:r>
    </w:p>
    <w:p w14:paraId="79CBBB2F" w14:textId="019CA159" w:rsidR="00E63206" w:rsidRDefault="0074465C" w:rsidP="005305AC">
      <w:pPr>
        <w:pStyle w:val="Style"/>
        <w:spacing w:before="100" w:beforeAutospacing="1" w:after="200" w:line="276" w:lineRule="auto"/>
        <w:ind w:right="1382"/>
        <w:textAlignment w:val="baseline"/>
        <w:rPr>
          <w:rFonts w:ascii="Calibri" w:hAnsi="Calibri" w:cs="Calibri"/>
          <w:sz w:val="22"/>
          <w:szCs w:val="22"/>
        </w:rPr>
      </w:pPr>
      <w:r>
        <w:rPr>
          <w:rFonts w:ascii="Calibri" w:hAnsi="Calibri"/>
          <w:sz w:val="22"/>
        </w:rPr>
        <w:t>Iruñean, 2023ko urriaren 25ean</w:t>
      </w:r>
    </w:p>
    <w:p w14:paraId="4EF7C46F" w14:textId="37853BD6" w:rsidR="00003AAD" w:rsidRPr="00E05004" w:rsidRDefault="00DE1397" w:rsidP="005305AC">
      <w:pPr>
        <w:pStyle w:val="Style"/>
        <w:spacing w:before="100" w:beforeAutospacing="1" w:after="200" w:line="276" w:lineRule="auto"/>
        <w:ind w:right="1382"/>
        <w:textAlignment w:val="baseline"/>
        <w:rPr>
          <w:rFonts w:ascii="Calibri" w:hAnsi="Calibri" w:cs="Calibri"/>
          <w:sz w:val="22"/>
          <w:szCs w:val="22"/>
        </w:rPr>
      </w:pPr>
      <w:r>
        <w:rPr>
          <w:rFonts w:ascii="Calibri" w:hAnsi="Calibri"/>
          <w:sz w:val="22"/>
        </w:rPr>
        <w:t xml:space="preserve">Foru parlamentaria: Adolfo Araiz </w:t>
      </w:r>
      <w:proofErr w:type="spellStart"/>
      <w:r>
        <w:rPr>
          <w:rFonts w:ascii="Calibri" w:hAnsi="Calibri"/>
          <w:sz w:val="22"/>
        </w:rPr>
        <w:t>Flamarique</w:t>
      </w:r>
      <w:proofErr w:type="spellEnd"/>
    </w:p>
    <w:sectPr w:rsidR="00003AAD" w:rsidRPr="00E05004">
      <w:type w:val="continuous"/>
      <w:pgSz w:w="11900" w:h="16840"/>
      <w:pgMar w:top="1675" w:right="1584" w:bottom="360" w:left="181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943E2"/>
    <w:multiLevelType w:val="singleLevel"/>
    <w:tmpl w:val="CEBC99A0"/>
    <w:lvl w:ilvl="0">
      <w:start w:val="3"/>
      <w:numFmt w:val="lowerLetter"/>
      <w:lvlText w:val="%1)"/>
      <w:legacy w:legacy="1" w:legacySpace="0" w:legacyIndent="0"/>
      <w:lvlJc w:val="left"/>
      <w:rPr>
        <w:rFonts w:ascii="Times New Roman" w:hAnsi="Times New Roman" w:cs="Times New Roman" w:hint="default"/>
        <w:sz w:val="24"/>
        <w:szCs w:val="24"/>
      </w:rPr>
    </w:lvl>
  </w:abstractNum>
  <w:abstractNum w:abstractNumId="1" w15:restartNumberingAfterBreak="0">
    <w:nsid w:val="20A63BCE"/>
    <w:multiLevelType w:val="singleLevel"/>
    <w:tmpl w:val="0F826618"/>
    <w:lvl w:ilvl="0">
      <w:start w:val="1"/>
      <w:numFmt w:val="lowerLetter"/>
      <w:lvlText w:val="%1)"/>
      <w:legacy w:legacy="1" w:legacySpace="0" w:legacyIndent="0"/>
      <w:lvlJc w:val="left"/>
      <w:rPr>
        <w:rFonts w:ascii="Times New Roman" w:hAnsi="Times New Roman" w:cs="Times New Roman" w:hint="default"/>
        <w:sz w:val="24"/>
        <w:szCs w:val="24"/>
      </w:rPr>
    </w:lvl>
  </w:abstractNum>
  <w:abstractNum w:abstractNumId="2" w15:restartNumberingAfterBreak="0">
    <w:nsid w:val="36146888"/>
    <w:multiLevelType w:val="hybridMultilevel"/>
    <w:tmpl w:val="89B6B160"/>
    <w:lvl w:ilvl="0" w:tplc="9D6486E6">
      <w:start w:val="3"/>
      <w:numFmt w:val="lowerLetter"/>
      <w:lvlText w:val="%1)"/>
      <w:lvlJc w:val="left"/>
      <w:pPr>
        <w:ind w:left="1589" w:hanging="360"/>
      </w:pPr>
      <w:rPr>
        <w:rFonts w:hint="default"/>
      </w:rPr>
    </w:lvl>
    <w:lvl w:ilvl="1" w:tplc="0C0A0019" w:tentative="1">
      <w:start w:val="1"/>
      <w:numFmt w:val="lowerLetter"/>
      <w:lvlText w:val="%2."/>
      <w:lvlJc w:val="left"/>
      <w:pPr>
        <w:ind w:left="2309" w:hanging="360"/>
      </w:pPr>
    </w:lvl>
    <w:lvl w:ilvl="2" w:tplc="0C0A001B" w:tentative="1">
      <w:start w:val="1"/>
      <w:numFmt w:val="lowerRoman"/>
      <w:lvlText w:val="%3."/>
      <w:lvlJc w:val="right"/>
      <w:pPr>
        <w:ind w:left="3029" w:hanging="180"/>
      </w:pPr>
    </w:lvl>
    <w:lvl w:ilvl="3" w:tplc="0C0A000F" w:tentative="1">
      <w:start w:val="1"/>
      <w:numFmt w:val="decimal"/>
      <w:lvlText w:val="%4."/>
      <w:lvlJc w:val="left"/>
      <w:pPr>
        <w:ind w:left="3749" w:hanging="360"/>
      </w:pPr>
    </w:lvl>
    <w:lvl w:ilvl="4" w:tplc="0C0A0019" w:tentative="1">
      <w:start w:val="1"/>
      <w:numFmt w:val="lowerLetter"/>
      <w:lvlText w:val="%5."/>
      <w:lvlJc w:val="left"/>
      <w:pPr>
        <w:ind w:left="4469" w:hanging="360"/>
      </w:pPr>
    </w:lvl>
    <w:lvl w:ilvl="5" w:tplc="0C0A001B" w:tentative="1">
      <w:start w:val="1"/>
      <w:numFmt w:val="lowerRoman"/>
      <w:lvlText w:val="%6."/>
      <w:lvlJc w:val="right"/>
      <w:pPr>
        <w:ind w:left="5189" w:hanging="180"/>
      </w:pPr>
    </w:lvl>
    <w:lvl w:ilvl="6" w:tplc="0C0A000F" w:tentative="1">
      <w:start w:val="1"/>
      <w:numFmt w:val="decimal"/>
      <w:lvlText w:val="%7."/>
      <w:lvlJc w:val="left"/>
      <w:pPr>
        <w:ind w:left="5909" w:hanging="360"/>
      </w:pPr>
    </w:lvl>
    <w:lvl w:ilvl="7" w:tplc="0C0A0019" w:tentative="1">
      <w:start w:val="1"/>
      <w:numFmt w:val="lowerLetter"/>
      <w:lvlText w:val="%8."/>
      <w:lvlJc w:val="left"/>
      <w:pPr>
        <w:ind w:left="6629" w:hanging="360"/>
      </w:pPr>
    </w:lvl>
    <w:lvl w:ilvl="8" w:tplc="0C0A001B" w:tentative="1">
      <w:start w:val="1"/>
      <w:numFmt w:val="lowerRoman"/>
      <w:lvlText w:val="%9."/>
      <w:lvlJc w:val="right"/>
      <w:pPr>
        <w:ind w:left="7349" w:hanging="180"/>
      </w:pPr>
    </w:lvl>
  </w:abstractNum>
  <w:abstractNum w:abstractNumId="3" w15:restartNumberingAfterBreak="0">
    <w:nsid w:val="734B6057"/>
    <w:multiLevelType w:val="hybridMultilevel"/>
    <w:tmpl w:val="98E40282"/>
    <w:lvl w:ilvl="0" w:tplc="B882D06E">
      <w:start w:val="1"/>
      <w:numFmt w:val="lowerLetter"/>
      <w:lvlText w:val="%1)"/>
      <w:lvlJc w:val="left"/>
      <w:pPr>
        <w:ind w:left="1224" w:hanging="360"/>
      </w:pPr>
      <w:rPr>
        <w:rFonts w:hint="default"/>
      </w:rPr>
    </w:lvl>
    <w:lvl w:ilvl="1" w:tplc="0C0A0019" w:tentative="1">
      <w:start w:val="1"/>
      <w:numFmt w:val="lowerLetter"/>
      <w:lvlText w:val="%2."/>
      <w:lvlJc w:val="left"/>
      <w:pPr>
        <w:ind w:left="1944" w:hanging="360"/>
      </w:pPr>
    </w:lvl>
    <w:lvl w:ilvl="2" w:tplc="0C0A001B" w:tentative="1">
      <w:start w:val="1"/>
      <w:numFmt w:val="lowerRoman"/>
      <w:lvlText w:val="%3."/>
      <w:lvlJc w:val="right"/>
      <w:pPr>
        <w:ind w:left="2664" w:hanging="180"/>
      </w:pPr>
    </w:lvl>
    <w:lvl w:ilvl="3" w:tplc="0C0A000F" w:tentative="1">
      <w:start w:val="1"/>
      <w:numFmt w:val="decimal"/>
      <w:lvlText w:val="%4."/>
      <w:lvlJc w:val="left"/>
      <w:pPr>
        <w:ind w:left="3384" w:hanging="360"/>
      </w:pPr>
    </w:lvl>
    <w:lvl w:ilvl="4" w:tplc="0C0A0019" w:tentative="1">
      <w:start w:val="1"/>
      <w:numFmt w:val="lowerLetter"/>
      <w:lvlText w:val="%5."/>
      <w:lvlJc w:val="left"/>
      <w:pPr>
        <w:ind w:left="4104" w:hanging="360"/>
      </w:pPr>
    </w:lvl>
    <w:lvl w:ilvl="5" w:tplc="0C0A001B" w:tentative="1">
      <w:start w:val="1"/>
      <w:numFmt w:val="lowerRoman"/>
      <w:lvlText w:val="%6."/>
      <w:lvlJc w:val="right"/>
      <w:pPr>
        <w:ind w:left="4824" w:hanging="180"/>
      </w:pPr>
    </w:lvl>
    <w:lvl w:ilvl="6" w:tplc="0C0A000F" w:tentative="1">
      <w:start w:val="1"/>
      <w:numFmt w:val="decimal"/>
      <w:lvlText w:val="%7."/>
      <w:lvlJc w:val="left"/>
      <w:pPr>
        <w:ind w:left="5544" w:hanging="360"/>
      </w:pPr>
    </w:lvl>
    <w:lvl w:ilvl="7" w:tplc="0C0A0019" w:tentative="1">
      <w:start w:val="1"/>
      <w:numFmt w:val="lowerLetter"/>
      <w:lvlText w:val="%8."/>
      <w:lvlJc w:val="left"/>
      <w:pPr>
        <w:ind w:left="6264" w:hanging="360"/>
      </w:pPr>
    </w:lvl>
    <w:lvl w:ilvl="8" w:tplc="0C0A001B" w:tentative="1">
      <w:start w:val="1"/>
      <w:numFmt w:val="lowerRoman"/>
      <w:lvlText w:val="%9."/>
      <w:lvlJc w:val="right"/>
      <w:pPr>
        <w:ind w:left="6984" w:hanging="180"/>
      </w:pPr>
    </w:lvl>
  </w:abstractNum>
  <w:num w:numId="1" w16cid:durableId="1754621678">
    <w:abstractNumId w:val="1"/>
  </w:num>
  <w:num w:numId="2" w16cid:durableId="1716586631">
    <w:abstractNumId w:val="0"/>
  </w:num>
  <w:num w:numId="3" w16cid:durableId="1604800586">
    <w:abstractNumId w:val="3"/>
  </w:num>
  <w:num w:numId="4" w16cid:durableId="36602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03AAD"/>
    <w:rsid w:val="00003AAD"/>
    <w:rsid w:val="00461E03"/>
    <w:rsid w:val="005305AC"/>
    <w:rsid w:val="00715439"/>
    <w:rsid w:val="0074465C"/>
    <w:rsid w:val="00815147"/>
    <w:rsid w:val="00D30CD1"/>
    <w:rsid w:val="00DE1397"/>
    <w:rsid w:val="00E05004"/>
    <w:rsid w:val="00E47057"/>
    <w:rsid w:val="00E632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6662"/>
  <w15:docId w15:val="{2A3B1801-F88D-4EC5-A9B6-661D2CA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518</Words>
  <Characters>2849</Characters>
  <Application>Microsoft Office Word</Application>
  <DocSecurity>0</DocSecurity>
  <Lines>23</Lines>
  <Paragraphs>6</Paragraphs>
  <ScaleCrop>false</ScaleCrop>
  <Company>HP Inc.</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23MOC-57</dc:title>
  <dc:creator>informatica</dc:creator>
  <cp:keywords>CreatedByIRIS_Readiris_17.0</cp:keywords>
  <cp:lastModifiedBy>Martin Cestao, Nerea</cp:lastModifiedBy>
  <cp:revision>11</cp:revision>
  <dcterms:created xsi:type="dcterms:W3CDTF">2023-10-25T12:48:00Z</dcterms:created>
  <dcterms:modified xsi:type="dcterms:W3CDTF">2023-10-31T06:21:00Z</dcterms:modified>
</cp:coreProperties>
</file>