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F136" w14:textId="77777777" w:rsidR="001C3A32" w:rsidRPr="00204979" w:rsidRDefault="00FA495F" w:rsidP="00075677">
      <w:pPr>
        <w:pStyle w:val="cuadroCabe"/>
      </w:pPr>
      <w:r>
        <mc:AlternateContent>
          <mc:Choice Requires="wps">
            <w:drawing>
              <wp:anchor distT="0" distB="0" distL="114300" distR="114300" simplePos="0" relativeHeight="251657728" behindDoc="0" locked="0" layoutInCell="1" allowOverlap="1" wp14:anchorId="7848123B" wp14:editId="7FF0520C">
                <wp:simplePos x="0" y="0"/>
                <wp:positionH relativeFrom="column">
                  <wp:posOffset>-156247</wp:posOffset>
                </wp:positionH>
                <wp:positionV relativeFrom="paragraph">
                  <wp:posOffset>-771525</wp:posOffset>
                </wp:positionV>
                <wp:extent cx="1105535" cy="874059"/>
                <wp:effectExtent l="0" t="0" r="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874059"/>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700F6D0" w14:textId="77777777" w:rsidR="00D86AAC" w:rsidRPr="003A7956" w:rsidRDefault="00D86AAC" w:rsidP="004C3423">
                            <w:pPr>
                              <w:spacing w:after="0"/>
                              <w:ind w:firstLine="0"/>
                              <w:jc w:val="center"/>
                              <w:rPr>
                                <w:sz w:val="18"/>
                                <w:szCs w:val="18"/>
                              </w:rPr>
                            </w:pPr>
                            <w:r>
                              <w:rPr>
                                <w:sz w:val="18"/>
                              </w:rPr>
                              <w:t xml:space="preserve">CAMARA DE</w:t>
                            </w:r>
                          </w:p>
                          <w:p w14:paraId="0B096D4C" w14:textId="77777777" w:rsidR="00D86AAC" w:rsidRPr="003A7956" w:rsidRDefault="00D86AAC" w:rsidP="004C3423">
                            <w:pPr>
                              <w:spacing w:after="0"/>
                              <w:ind w:firstLine="0"/>
                              <w:jc w:val="center"/>
                              <w:rPr>
                                <w:sz w:val="18"/>
                                <w:szCs w:val="18"/>
                              </w:rPr>
                            </w:pPr>
                            <w:r>
                              <w:rPr>
                                <w:sz w:val="18"/>
                              </w:rPr>
                              <w:t xml:space="preserve">COMPTOS</w:t>
                            </w:r>
                          </w:p>
                          <w:p w14:paraId="03B2A706" w14:textId="77777777" w:rsidR="00D86AAC" w:rsidRPr="003A7956" w:rsidRDefault="00D86AAC" w:rsidP="004C3423">
                            <w:pPr>
                              <w:spacing w:after="0"/>
                              <w:ind w:firstLine="0"/>
                              <w:jc w:val="center"/>
                              <w:rPr>
                                <w:sz w:val="18"/>
                                <w:szCs w:val="18"/>
                              </w:rPr>
                            </w:pPr>
                            <w:r>
                              <w:rPr>
                                <w:sz w:val="18"/>
                              </w:rPr>
                              <w:t xml:space="preserve">DE NAVARRA</w:t>
                            </w:r>
                          </w:p>
                          <w:p w14:paraId="77BE3D4F" w14:textId="77777777" w:rsidR="00D86AAC" w:rsidRPr="003A7956" w:rsidRDefault="00D86AAC" w:rsidP="004C3423">
                            <w:pPr>
                              <w:spacing w:after="0"/>
                              <w:ind w:firstLine="0"/>
                              <w:jc w:val="center"/>
                              <w:rPr>
                                <w:color w:val="808080"/>
                                <w:sz w:val="18"/>
                                <w:szCs w:val="18"/>
                              </w:rPr>
                            </w:pPr>
                            <w:r>
                              <w:rPr>
                                <w:color w:val="808080"/>
                                <w:sz w:val="18"/>
                              </w:rPr>
                              <w:t xml:space="preserve">NAFARROAKO</w:t>
                            </w:r>
                          </w:p>
                          <w:p w14:paraId="5842FF60" w14:textId="77777777" w:rsidR="00D86AAC" w:rsidRPr="003A7956" w:rsidRDefault="00D86AAC" w:rsidP="004C3423">
                            <w:pPr>
                              <w:spacing w:after="0"/>
                              <w:ind w:firstLine="0"/>
                              <w:jc w:val="center"/>
                              <w:rPr>
                                <w:color w:val="808080"/>
                                <w:sz w:val="18"/>
                                <w:szCs w:val="18"/>
                              </w:rPr>
                            </w:pPr>
                            <w:r>
                              <w:rPr>
                                <w:color w:val="808080"/>
                                <w:sz w:val="18"/>
                              </w:rPr>
                              <w:t xml:space="preserve">KONTUEN</w:t>
                            </w:r>
                          </w:p>
                          <w:p w14:paraId="1D4BF37F" w14:textId="77777777" w:rsidR="00D86AAC" w:rsidRPr="003A7956" w:rsidRDefault="00D86AAC" w:rsidP="004C3423">
                            <w:pPr>
                              <w:spacing w:after="0"/>
                              <w:ind w:firstLine="0"/>
                              <w:jc w:val="center"/>
                              <w:rPr>
                                <w:color w:val="808080"/>
                                <w:sz w:val="18"/>
                                <w:szCs w:val="18"/>
                              </w:rPr>
                            </w:pPr>
                            <w:r>
                              <w:rPr>
                                <w:color w:val="808080"/>
                                <w:sz w:val="18"/>
                              </w:rPr>
                              <w:t xml:space="preserve">GANBERA</w:t>
                            </w:r>
                          </w:p>
                          <w:p w14:paraId="05C91F04" w14:textId="77777777" w:rsidR="00D86AAC" w:rsidRPr="002C7026" w:rsidRDefault="00D86AA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8123B" id="_x0000_t202" coordsize="21600,21600" o:spt="202" path="m,l,21600r21600,l21600,xe">
                <v:stroke joinstyle="miter"/>
                <v:path gradientshapeok="t" o:connecttype="rect"/>
              </v:shapetype>
              <v:shape id="Text Box 7" o:spid="_x0000_s1026" type="#_x0000_t202" style="position:absolute;left:0;text-align:left;margin-left:-12.3pt;margin-top:-60.75pt;width:87.05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" stroked="f" strokecolor="white">
                <v:textbox>
                  <w:txbxContent>
                    <w:p w14:paraId="4700F6D0" w14:textId="77777777" w:rsidR="00D86AAC" w:rsidRPr="003A7956" w:rsidRDefault="00D86AAC" w:rsidP="004C3423">
                      <w:pPr>
                        <w:spacing w:after="0"/>
                        <w:ind w:firstLine="0"/>
                        <w:jc w:val="center"/>
                        <w:rPr>
                          <w:sz w:val="18"/>
                          <w:szCs w:val="18"/>
                        </w:rPr>
                      </w:pPr>
                      <w:r>
                        <w:rPr>
                          <w:sz w:val="18"/>
                        </w:rPr>
                        <w:t xml:space="preserve">CAMARA DE</w:t>
                      </w:r>
                    </w:p>
                    <w:p w14:paraId="0B096D4C" w14:textId="77777777" w:rsidR="00D86AAC" w:rsidRPr="003A7956" w:rsidRDefault="00D86AAC" w:rsidP="004C3423">
                      <w:pPr>
                        <w:spacing w:after="0"/>
                        <w:ind w:firstLine="0"/>
                        <w:jc w:val="center"/>
                        <w:rPr>
                          <w:sz w:val="18"/>
                          <w:szCs w:val="18"/>
                        </w:rPr>
                      </w:pPr>
                      <w:r>
                        <w:rPr>
                          <w:sz w:val="18"/>
                        </w:rPr>
                        <w:t xml:space="preserve">COMPTOS</w:t>
                      </w:r>
                    </w:p>
                    <w:p w14:paraId="03B2A706" w14:textId="77777777" w:rsidR="00D86AAC" w:rsidRPr="003A7956" w:rsidRDefault="00D86AAC" w:rsidP="004C3423">
                      <w:pPr>
                        <w:spacing w:after="0"/>
                        <w:ind w:firstLine="0"/>
                        <w:jc w:val="center"/>
                        <w:rPr>
                          <w:sz w:val="18"/>
                          <w:szCs w:val="18"/>
                        </w:rPr>
                      </w:pPr>
                      <w:r>
                        <w:rPr>
                          <w:sz w:val="18"/>
                        </w:rPr>
                        <w:t xml:space="preserve">DE NAVARRA</w:t>
                      </w:r>
                    </w:p>
                    <w:p w14:paraId="77BE3D4F" w14:textId="77777777" w:rsidR="00D86AAC" w:rsidRPr="003A7956" w:rsidRDefault="00D86AAC" w:rsidP="004C3423">
                      <w:pPr>
                        <w:spacing w:after="0"/>
                        <w:ind w:firstLine="0"/>
                        <w:jc w:val="center"/>
                        <w:rPr>
                          <w:color w:val="808080"/>
                          <w:sz w:val="18"/>
                          <w:szCs w:val="18"/>
                        </w:rPr>
                      </w:pPr>
                      <w:r>
                        <w:rPr>
                          <w:color w:val="808080"/>
                          <w:sz w:val="18"/>
                        </w:rPr>
                        <w:t xml:space="preserve">NAFARROAKO</w:t>
                      </w:r>
                    </w:p>
                    <w:p w14:paraId="5842FF60" w14:textId="77777777" w:rsidR="00D86AAC" w:rsidRPr="003A7956" w:rsidRDefault="00D86AAC" w:rsidP="004C3423">
                      <w:pPr>
                        <w:spacing w:after="0"/>
                        <w:ind w:firstLine="0"/>
                        <w:jc w:val="center"/>
                        <w:rPr>
                          <w:color w:val="808080"/>
                          <w:sz w:val="18"/>
                          <w:szCs w:val="18"/>
                        </w:rPr>
                      </w:pPr>
                      <w:r>
                        <w:rPr>
                          <w:color w:val="808080"/>
                          <w:sz w:val="18"/>
                        </w:rPr>
                        <w:t xml:space="preserve">KONTUEN</w:t>
                      </w:r>
                    </w:p>
                    <w:p w14:paraId="1D4BF37F" w14:textId="77777777" w:rsidR="00D86AAC" w:rsidRPr="003A7956" w:rsidRDefault="00D86AAC" w:rsidP="004C3423">
                      <w:pPr>
                        <w:spacing w:after="0"/>
                        <w:ind w:firstLine="0"/>
                        <w:jc w:val="center"/>
                        <w:rPr>
                          <w:color w:val="808080"/>
                          <w:sz w:val="18"/>
                          <w:szCs w:val="18"/>
                        </w:rPr>
                      </w:pPr>
                      <w:r>
                        <w:rPr>
                          <w:color w:val="808080"/>
                          <w:sz w:val="18"/>
                        </w:rPr>
                        <w:t xml:space="preserve">GANBERA</w:t>
                      </w:r>
                    </w:p>
                    <w:p w14:paraId="05C91F04" w14:textId="77777777" w:rsidR="00D86AAC" w:rsidRPr="002C7026" w:rsidRDefault="00D86AAC" w:rsidP="002C7026">
                      <w:pPr>
                        <w:spacing w:after="0"/>
                        <w:ind w:firstLine="0"/>
                        <w:jc w:val="center"/>
                        <w:rPr>
                          <w:rFonts w:ascii="Trajan" w:hAnsi="Trajan"/>
                          <w:color w:val="808080"/>
                          <w:sz w:val="18"/>
                          <w:szCs w:val="18"/>
                          <w:lang w:val="es-ES"/>
                        </w:rPr>
                      </w:pPr>
                    </w:p>
                  </w:txbxContent>
                </v:textbox>
              </v:shape>
            </w:pict>
          </mc:Fallback>
        </mc:AlternateContent>
      </w:r>
    </w:p>
    <w:p w14:paraId="0A7D8FAD" w14:textId="77777777" w:rsidR="00F87E58" w:rsidRDefault="00F87E58" w:rsidP="00F87E58">
      <w:pPr>
        <w:pStyle w:val="EstiloPortada"/>
      </w:pPr>
    </w:p>
    <w:p w14:paraId="0DFD8A7C" w14:textId="77777777" w:rsidR="001C3A32" w:rsidRPr="00204979" w:rsidRDefault="00F87E58" w:rsidP="00110694">
      <w:pPr>
        <w:pStyle w:val="EstiloPortada"/>
        <w:ind w:left="3119"/>
      </w:pPr>
      <w:r>
        <w:t xml:space="preserve">Sodenak Parquenasari egindako ekarpen finantzarioak (2001-2023)</w:t>
      </w:r>
    </w:p>
    <w:p w14:paraId="52B67815" w14:textId="77777777" w:rsidR="002F2530" w:rsidRPr="00204979" w:rsidRDefault="002F2530" w:rsidP="00891D73">
      <w:pPr>
        <w:pStyle w:val="texto"/>
      </w:pPr>
    </w:p>
    <w:p w14:paraId="3D29B0F2" w14:textId="77777777" w:rsidR="002F2530" w:rsidRPr="00204979" w:rsidRDefault="002F2530" w:rsidP="00891D73">
      <w:pPr>
        <w:pStyle w:val="texto"/>
      </w:pPr>
    </w:p>
    <w:p w14:paraId="0375FC4C" w14:textId="77777777" w:rsidR="001C3A32" w:rsidRPr="00204979" w:rsidRDefault="001C3A32" w:rsidP="00891D73">
      <w:pPr>
        <w:pStyle w:val="texto"/>
      </w:pPr>
    </w:p>
    <w:p w14:paraId="605CB4EB" w14:textId="77777777" w:rsidR="001C3A32" w:rsidRPr="00204979" w:rsidRDefault="001C3A32" w:rsidP="00891D73">
      <w:pPr>
        <w:pStyle w:val="texto"/>
      </w:pPr>
    </w:p>
    <w:p w14:paraId="5F9575E2" w14:textId="77777777" w:rsidR="001C3A32" w:rsidRPr="00204979" w:rsidRDefault="001C3A32" w:rsidP="00891D73">
      <w:pPr>
        <w:pStyle w:val="texto"/>
      </w:pPr>
    </w:p>
    <w:p w14:paraId="03D84921" w14:textId="77777777" w:rsidR="001C3A32" w:rsidRPr="00204979" w:rsidRDefault="001C3A32" w:rsidP="00891D73">
      <w:pPr>
        <w:pStyle w:val="texto"/>
      </w:pPr>
    </w:p>
    <w:p w14:paraId="1B7A2B4A" w14:textId="77777777" w:rsidR="001C3A32" w:rsidRPr="00204979" w:rsidRDefault="001C3A32" w:rsidP="00891D73">
      <w:pPr>
        <w:pStyle w:val="texto"/>
      </w:pPr>
    </w:p>
    <w:p w14:paraId="38DB877B" w14:textId="77777777" w:rsidR="001C3A32" w:rsidRPr="00204979" w:rsidRDefault="001C3A32" w:rsidP="00891D73">
      <w:pPr>
        <w:pStyle w:val="texto"/>
      </w:pPr>
    </w:p>
    <w:p w14:paraId="58E94C1B" w14:textId="77777777" w:rsidR="001C3A32" w:rsidRPr="00204979" w:rsidRDefault="001C3A32" w:rsidP="00891D73">
      <w:pPr>
        <w:pStyle w:val="texto"/>
      </w:pPr>
    </w:p>
    <w:p w14:paraId="09197A29" w14:textId="77777777" w:rsidR="001C3A32" w:rsidRPr="00204979" w:rsidRDefault="001C3A32" w:rsidP="00891D73">
      <w:pPr>
        <w:pStyle w:val="texto"/>
      </w:pPr>
    </w:p>
    <w:p w14:paraId="31701BE9" w14:textId="77777777" w:rsidR="001C3A32" w:rsidRPr="00204979" w:rsidRDefault="001C3A32" w:rsidP="00891D73">
      <w:pPr>
        <w:pStyle w:val="texto"/>
      </w:pPr>
    </w:p>
    <w:p w14:paraId="34EB8925" w14:textId="77777777" w:rsidR="001C3A32" w:rsidRPr="00204979" w:rsidRDefault="001C3A32" w:rsidP="00891D73">
      <w:pPr>
        <w:pStyle w:val="texto"/>
      </w:pPr>
    </w:p>
    <w:p w14:paraId="4AF91F91" w14:textId="77777777" w:rsidR="001C3A32" w:rsidRPr="00204979" w:rsidRDefault="001C3A32" w:rsidP="00891D73">
      <w:pPr>
        <w:pStyle w:val="texto"/>
      </w:pPr>
    </w:p>
    <w:p w14:paraId="523CD052" w14:textId="77777777" w:rsidR="001C3A32" w:rsidRPr="00204979" w:rsidRDefault="001C3A32" w:rsidP="00891D73">
      <w:pPr>
        <w:pStyle w:val="texto"/>
      </w:pPr>
    </w:p>
    <w:p w14:paraId="0210C10B" w14:textId="77777777" w:rsidR="001C3A32" w:rsidRPr="00204979" w:rsidRDefault="001C3A32" w:rsidP="00891D73">
      <w:pPr>
        <w:pStyle w:val="texto"/>
      </w:pPr>
    </w:p>
    <w:p w14:paraId="57CA8202" w14:textId="77777777" w:rsidR="001C3A32" w:rsidRPr="00204979" w:rsidRDefault="001C3A32" w:rsidP="00891D73">
      <w:pPr>
        <w:pStyle w:val="texto"/>
      </w:pPr>
    </w:p>
    <w:p w14:paraId="0EEA7DB8" w14:textId="77777777" w:rsidR="001C3A32" w:rsidRPr="00204979" w:rsidRDefault="001C3A32" w:rsidP="00891D73">
      <w:pPr>
        <w:pStyle w:val="texto"/>
      </w:pPr>
    </w:p>
    <w:p w14:paraId="54E5B10B" w14:textId="77777777" w:rsidR="001C3A32" w:rsidRPr="00204979" w:rsidRDefault="001C3A32" w:rsidP="00891D73">
      <w:pPr>
        <w:pStyle w:val="texto"/>
      </w:pPr>
    </w:p>
    <w:p w14:paraId="0AC5CB7D" w14:textId="77777777" w:rsidR="001C3A32" w:rsidRPr="00204979" w:rsidRDefault="001C3A32" w:rsidP="00891D73">
      <w:pPr>
        <w:pStyle w:val="texto"/>
      </w:pPr>
    </w:p>
    <w:p w14:paraId="611C41BD" w14:textId="77777777" w:rsidR="00716463" w:rsidRPr="001D4F09" w:rsidRDefault="00156B78" w:rsidP="009936FC">
      <w:pPr>
        <w:pStyle w:val="Fechaportada"/>
      </w:pPr>
      <w:r>
        <w:t xml:space="preserve">2023ko azaroa</w:t>
      </w:r>
    </w:p>
    <w:p w14:paraId="1412ECDE"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515C822" w14:textId="77777777" w:rsidR="001C3A32" w:rsidRDefault="00891D73" w:rsidP="00891D73">
      <w:pPr>
        <w:pStyle w:val="ndice"/>
      </w:pPr>
      <w:r>
        <w:t xml:space="preserve">Aurkibidea</w:t>
      </w:r>
    </w:p>
    <w:p w14:paraId="1FAB7EC5" w14:textId="77777777" w:rsidR="000D06D2" w:rsidRDefault="0014728F">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49803643" w:history="1">
        <w:r w:rsidR="000D06D2" w:rsidRPr="00B81725">
          <w:rPr>
            <w:rStyle w:val="Hipervnculo"/>
          </w:rPr>
          <w:t>I. Introducción</w:t>
        </w:r>
        <w:r w:rsidR="000D06D2">
          <w:rPr>
            <w:webHidden/>
          </w:rPr>
          <w:tab/>
        </w:r>
        <w:r w:rsidR="000D06D2">
          <w:rPr>
            <w:webHidden/>
          </w:rPr>
          <w:fldChar w:fldCharType="begin"/>
        </w:r>
        <w:r w:rsidR="000D06D2">
          <w:rPr>
            <w:webHidden/>
          </w:rPr>
          <w:instrText xml:space="preserve"> PAGEREF _Toc149803643 \h </w:instrText>
        </w:r>
        <w:r w:rsidR="000D06D2">
          <w:rPr>
            <w:webHidden/>
          </w:rPr>
        </w:r>
        <w:r w:rsidR="000D06D2">
          <w:rPr>
            <w:webHidden/>
          </w:rPr>
          <w:fldChar w:fldCharType="separate"/>
        </w:r>
        <w:r w:rsidR="00D32AC1">
          <w:rPr>
            <w:webHidden/>
          </w:rPr>
          <w:t>3</w:t>
        </w:r>
        <w:r w:rsidR="000D06D2">
          <w:rPr>
            <w:webHidden/>
          </w:rPr>
          <w:fldChar w:fldCharType="end"/>
        </w:r>
      </w:hyperlink>
    </w:p>
    <w:p w14:paraId="112B0ACF" w14:textId="77777777" w:rsidR="000D06D2" w:rsidRDefault="00414BA3">
      <w:pPr>
        <w:pStyle w:val="TDC1"/>
        <w:rPr>
          <w:smallCaps w:val="0"/>
          <w:rFonts w:asciiTheme="minorHAnsi" w:eastAsiaTheme="minorEastAsia" w:hAnsiTheme="minorHAnsi" w:cstheme="minorBidi"/>
        </w:rPr>
      </w:pPr>
      <w:hyperlink w:anchor="_Toc149803644" w:history="1">
        <w:r w:rsidR="000D06D2" w:rsidRPr="00B81725">
          <w:rPr>
            <w:rStyle w:val="Hipervnculo"/>
          </w:rPr>
          <w:t>II. Objetivos y alcance</w:t>
        </w:r>
        <w:r w:rsidR="000D06D2">
          <w:rPr>
            <w:webHidden/>
          </w:rPr>
          <w:tab/>
        </w:r>
        <w:r w:rsidR="000D06D2">
          <w:rPr>
            <w:webHidden/>
          </w:rPr>
          <w:fldChar w:fldCharType="begin"/>
        </w:r>
        <w:r w:rsidR="000D06D2">
          <w:rPr>
            <w:webHidden/>
          </w:rPr>
          <w:instrText xml:space="preserve"> PAGEREF _Toc149803644 \h </w:instrText>
        </w:r>
        <w:r w:rsidR="000D06D2">
          <w:rPr>
            <w:webHidden/>
          </w:rPr>
        </w:r>
        <w:r w:rsidR="000D06D2">
          <w:rPr>
            <w:webHidden/>
          </w:rPr>
          <w:fldChar w:fldCharType="separate"/>
        </w:r>
        <w:r w:rsidR="00D32AC1">
          <w:rPr>
            <w:webHidden/>
          </w:rPr>
          <w:t>4</w:t>
        </w:r>
        <w:r w:rsidR="000D06D2">
          <w:rPr>
            <w:webHidden/>
          </w:rPr>
          <w:fldChar w:fldCharType="end"/>
        </w:r>
      </w:hyperlink>
    </w:p>
    <w:p w14:paraId="3B4A665D" w14:textId="77777777" w:rsidR="000D06D2" w:rsidRDefault="00414BA3">
      <w:pPr>
        <w:pStyle w:val="TDC1"/>
        <w:rPr>
          <w:smallCaps w:val="0"/>
          <w:rFonts w:asciiTheme="minorHAnsi" w:eastAsiaTheme="minorEastAsia" w:hAnsiTheme="minorHAnsi" w:cstheme="minorBidi"/>
        </w:rPr>
      </w:pPr>
      <w:hyperlink w:anchor="_Toc149803645" w:history="1">
        <w:r w:rsidR="000D06D2" w:rsidRPr="00B81725">
          <w:rPr>
            <w:rStyle w:val="Hipervnculo"/>
          </w:rPr>
          <w:t>III. Conclusiones y recomendaciones</w:t>
        </w:r>
        <w:r w:rsidR="000D06D2">
          <w:rPr>
            <w:webHidden/>
          </w:rPr>
          <w:tab/>
        </w:r>
        <w:r w:rsidR="000D06D2">
          <w:rPr>
            <w:webHidden/>
          </w:rPr>
          <w:fldChar w:fldCharType="begin"/>
        </w:r>
        <w:r w:rsidR="000D06D2">
          <w:rPr>
            <w:webHidden/>
          </w:rPr>
          <w:instrText xml:space="preserve"> PAGEREF _Toc149803645 \h </w:instrText>
        </w:r>
        <w:r w:rsidR="000D06D2">
          <w:rPr>
            <w:webHidden/>
          </w:rPr>
        </w:r>
        <w:r w:rsidR="000D06D2">
          <w:rPr>
            <w:webHidden/>
          </w:rPr>
          <w:fldChar w:fldCharType="separate"/>
        </w:r>
        <w:r w:rsidR="00D32AC1">
          <w:rPr>
            <w:webHidden/>
          </w:rPr>
          <w:t>6</w:t>
        </w:r>
        <w:r w:rsidR="000D06D2">
          <w:rPr>
            <w:webHidden/>
          </w:rPr>
          <w:fldChar w:fldCharType="end"/>
        </w:r>
      </w:hyperlink>
    </w:p>
    <w:p w14:paraId="3045DC59" w14:textId="77777777" w:rsidR="000D06D2" w:rsidRDefault="00414BA3">
      <w:pPr>
        <w:pStyle w:val="TDC1"/>
        <w:rPr>
          <w:smallCaps w:val="0"/>
          <w:rFonts w:asciiTheme="minorHAnsi" w:eastAsiaTheme="minorEastAsia" w:hAnsiTheme="minorHAnsi" w:cstheme="minorBidi"/>
        </w:rPr>
      </w:pPr>
      <w:hyperlink w:anchor="_Toc149803646" w:history="1">
        <w:r w:rsidR="000D06D2" w:rsidRPr="00B81725">
          <w:rPr>
            <w:rStyle w:val="Hipervnculo"/>
          </w:rPr>
          <w:t>IV. Responsabilidad de Sodena</w:t>
        </w:r>
        <w:r w:rsidR="000D06D2">
          <w:rPr>
            <w:webHidden/>
          </w:rPr>
          <w:tab/>
        </w:r>
        <w:r w:rsidR="000D06D2">
          <w:rPr>
            <w:webHidden/>
          </w:rPr>
          <w:fldChar w:fldCharType="begin"/>
        </w:r>
        <w:r w:rsidR="000D06D2">
          <w:rPr>
            <w:webHidden/>
          </w:rPr>
          <w:instrText xml:space="preserve"> PAGEREF _Toc149803646 \h </w:instrText>
        </w:r>
        <w:r w:rsidR="000D06D2">
          <w:rPr>
            <w:webHidden/>
          </w:rPr>
        </w:r>
        <w:r w:rsidR="000D06D2">
          <w:rPr>
            <w:webHidden/>
          </w:rPr>
          <w:fldChar w:fldCharType="separate"/>
        </w:r>
        <w:r w:rsidR="00D32AC1">
          <w:rPr>
            <w:webHidden/>
          </w:rPr>
          <w:t>10</w:t>
        </w:r>
        <w:r w:rsidR="000D06D2">
          <w:rPr>
            <w:webHidden/>
          </w:rPr>
          <w:fldChar w:fldCharType="end"/>
        </w:r>
      </w:hyperlink>
    </w:p>
    <w:p w14:paraId="0322FEA7" w14:textId="77777777" w:rsidR="000D06D2" w:rsidRDefault="00414BA3">
      <w:pPr>
        <w:pStyle w:val="TDC1"/>
        <w:rPr>
          <w:smallCaps w:val="0"/>
          <w:rFonts w:asciiTheme="minorHAnsi" w:eastAsiaTheme="minorEastAsia" w:hAnsiTheme="minorHAnsi" w:cstheme="minorBidi"/>
        </w:rPr>
      </w:pPr>
      <w:hyperlink w:anchor="_Toc149803647" w:history="1">
        <w:r w:rsidR="000D06D2" w:rsidRPr="00B81725">
          <w:rPr>
            <w:rStyle w:val="Hipervnculo"/>
          </w:rPr>
          <w:t>V. Responsabilidad de la Cámara de Comptos</w:t>
        </w:r>
        <w:r w:rsidR="000D06D2">
          <w:rPr>
            <w:webHidden/>
          </w:rPr>
          <w:tab/>
        </w:r>
        <w:r w:rsidR="000D06D2">
          <w:rPr>
            <w:webHidden/>
          </w:rPr>
          <w:fldChar w:fldCharType="begin"/>
        </w:r>
        <w:r w:rsidR="000D06D2">
          <w:rPr>
            <w:webHidden/>
          </w:rPr>
          <w:instrText xml:space="preserve"> PAGEREF _Toc149803647 \h </w:instrText>
        </w:r>
        <w:r w:rsidR="000D06D2">
          <w:rPr>
            <w:webHidden/>
          </w:rPr>
        </w:r>
        <w:r w:rsidR="000D06D2">
          <w:rPr>
            <w:webHidden/>
          </w:rPr>
          <w:fldChar w:fldCharType="separate"/>
        </w:r>
        <w:r w:rsidR="00D32AC1">
          <w:rPr>
            <w:webHidden/>
          </w:rPr>
          <w:t>11</w:t>
        </w:r>
        <w:r w:rsidR="000D06D2">
          <w:rPr>
            <w:webHidden/>
          </w:rPr>
          <w:fldChar w:fldCharType="end"/>
        </w:r>
      </w:hyperlink>
    </w:p>
    <w:p w14:paraId="7090089C" w14:textId="77777777" w:rsidR="000D06D2" w:rsidRDefault="00414BA3">
      <w:pPr>
        <w:pStyle w:val="TDC1"/>
        <w:rPr>
          <w:smallCaps w:val="0"/>
          <w:rFonts w:asciiTheme="minorHAnsi" w:eastAsiaTheme="minorEastAsia" w:hAnsiTheme="minorHAnsi" w:cstheme="minorBidi"/>
        </w:rPr>
      </w:pPr>
      <w:hyperlink w:anchor="_Toc149803648" w:history="1">
        <w:r w:rsidR="000D06D2" w:rsidRPr="00B81725">
          <w:rPr>
            <w:rStyle w:val="Hipervnculo"/>
          </w:rPr>
          <w:t>Apéndice 1. Marco regulador</w:t>
        </w:r>
        <w:r w:rsidR="000D06D2">
          <w:rPr>
            <w:webHidden/>
          </w:rPr>
          <w:tab/>
        </w:r>
        <w:r w:rsidR="000D06D2">
          <w:rPr>
            <w:webHidden/>
          </w:rPr>
          <w:fldChar w:fldCharType="begin"/>
        </w:r>
        <w:r w:rsidR="000D06D2">
          <w:rPr>
            <w:webHidden/>
          </w:rPr>
          <w:instrText xml:space="preserve"> PAGEREF _Toc149803648 \h </w:instrText>
        </w:r>
        <w:r w:rsidR="000D06D2">
          <w:rPr>
            <w:webHidden/>
          </w:rPr>
        </w:r>
        <w:r w:rsidR="000D06D2">
          <w:rPr>
            <w:webHidden/>
          </w:rPr>
          <w:fldChar w:fldCharType="separate"/>
        </w:r>
        <w:r w:rsidR="00D32AC1">
          <w:rPr>
            <w:webHidden/>
          </w:rPr>
          <w:t>12</w:t>
        </w:r>
        <w:r w:rsidR="000D06D2">
          <w:rPr>
            <w:webHidden/>
          </w:rPr>
          <w:fldChar w:fldCharType="end"/>
        </w:r>
      </w:hyperlink>
    </w:p>
    <w:p w14:paraId="60A72E80" w14:textId="77777777" w:rsidR="000D06D2" w:rsidRDefault="00414BA3">
      <w:pPr>
        <w:pStyle w:val="TDC1"/>
        <w:rPr>
          <w:smallCaps w:val="0"/>
          <w:rFonts w:asciiTheme="minorHAnsi" w:eastAsiaTheme="minorEastAsia" w:hAnsiTheme="minorHAnsi" w:cstheme="minorBidi"/>
        </w:rPr>
      </w:pPr>
      <w:hyperlink w:anchor="_Toc149803649" w:history="1">
        <w:r w:rsidR="000D06D2" w:rsidRPr="00B81725">
          <w:rPr>
            <w:rStyle w:val="Hipervnculo"/>
          </w:rPr>
          <w:t>Apéndice 2. Observaciones y hallazgos adicionales de la fiscalización.</w:t>
        </w:r>
        <w:r w:rsidR="000D06D2">
          <w:rPr>
            <w:webHidden/>
          </w:rPr>
          <w:tab/>
        </w:r>
        <w:r w:rsidR="000D06D2">
          <w:rPr>
            <w:webHidden/>
          </w:rPr>
          <w:fldChar w:fldCharType="begin"/>
        </w:r>
        <w:r w:rsidR="000D06D2">
          <w:rPr>
            <w:webHidden/>
          </w:rPr>
          <w:instrText xml:space="preserve"> PAGEREF _Toc149803649 \h </w:instrText>
        </w:r>
        <w:r w:rsidR="000D06D2">
          <w:rPr>
            <w:webHidden/>
          </w:rPr>
        </w:r>
        <w:r w:rsidR="000D06D2">
          <w:rPr>
            <w:webHidden/>
          </w:rPr>
          <w:fldChar w:fldCharType="separate"/>
        </w:r>
        <w:r w:rsidR="00D32AC1">
          <w:rPr>
            <w:webHidden/>
          </w:rPr>
          <w:t>14</w:t>
        </w:r>
        <w:r w:rsidR="000D06D2">
          <w:rPr>
            <w:webHidden/>
          </w:rPr>
          <w:fldChar w:fldCharType="end"/>
        </w:r>
      </w:hyperlink>
    </w:p>
    <w:p w14:paraId="08AFCF94" w14:textId="77777777" w:rsidR="000D06D2" w:rsidRDefault="00414BA3">
      <w:pPr>
        <w:pStyle w:val="TDC2"/>
        <w:rPr>
          <w:rFonts w:asciiTheme="minorHAnsi" w:eastAsiaTheme="minorEastAsia" w:hAnsiTheme="minorHAnsi" w:cstheme="minorBidi"/>
        </w:rPr>
      </w:pPr>
      <w:hyperlink w:anchor="_Toc149803650" w:history="1">
        <w:r w:rsidR="000D06D2" w:rsidRPr="00B81725">
          <w:rPr>
            <w:rStyle w:val="Hipervnculo"/>
          </w:rPr>
          <w:t>2.1 Sociedad de Desarrollo de Navarra S.L.</w:t>
        </w:r>
        <w:r w:rsidR="000D06D2">
          <w:rPr>
            <w:webHidden/>
          </w:rPr>
          <w:tab/>
        </w:r>
        <w:r w:rsidR="000D06D2">
          <w:rPr>
            <w:webHidden/>
          </w:rPr>
          <w:fldChar w:fldCharType="begin"/>
        </w:r>
        <w:r w:rsidR="000D06D2">
          <w:rPr>
            <w:webHidden/>
          </w:rPr>
          <w:instrText xml:space="preserve"> PAGEREF _Toc149803650 \h </w:instrText>
        </w:r>
        <w:r w:rsidR="000D06D2">
          <w:rPr>
            <w:webHidden/>
          </w:rPr>
        </w:r>
        <w:r w:rsidR="000D06D2">
          <w:rPr>
            <w:webHidden/>
          </w:rPr>
          <w:fldChar w:fldCharType="separate"/>
        </w:r>
        <w:r w:rsidR="00D32AC1">
          <w:rPr>
            <w:webHidden/>
          </w:rPr>
          <w:t>14</w:t>
        </w:r>
        <w:r w:rsidR="000D06D2">
          <w:rPr>
            <w:webHidden/>
          </w:rPr>
          <w:fldChar w:fldCharType="end"/>
        </w:r>
      </w:hyperlink>
    </w:p>
    <w:p w14:paraId="5BBB0388" w14:textId="77777777" w:rsidR="000D06D2" w:rsidRDefault="00414BA3">
      <w:pPr>
        <w:pStyle w:val="TDC2"/>
        <w:rPr>
          <w:rFonts w:asciiTheme="minorHAnsi" w:eastAsiaTheme="minorEastAsia" w:hAnsiTheme="minorHAnsi" w:cstheme="minorBidi"/>
        </w:rPr>
      </w:pPr>
      <w:hyperlink w:anchor="_Toc149803651" w:history="1">
        <w:r w:rsidR="000D06D2" w:rsidRPr="00B81725">
          <w:rPr>
            <w:rStyle w:val="Hipervnculo"/>
          </w:rPr>
          <w:t>2.2 Parque de la Naturaleza S.A.</w:t>
        </w:r>
        <w:r w:rsidR="000D06D2">
          <w:rPr>
            <w:webHidden/>
          </w:rPr>
          <w:tab/>
        </w:r>
        <w:r w:rsidR="000D06D2">
          <w:rPr>
            <w:webHidden/>
          </w:rPr>
          <w:fldChar w:fldCharType="begin"/>
        </w:r>
        <w:r w:rsidR="000D06D2">
          <w:rPr>
            <w:webHidden/>
          </w:rPr>
          <w:instrText xml:space="preserve"> PAGEREF _Toc149803651 \h </w:instrText>
        </w:r>
        <w:r w:rsidR="000D06D2">
          <w:rPr>
            <w:webHidden/>
          </w:rPr>
        </w:r>
        <w:r w:rsidR="000D06D2">
          <w:rPr>
            <w:webHidden/>
          </w:rPr>
          <w:fldChar w:fldCharType="separate"/>
        </w:r>
        <w:r w:rsidR="00D32AC1">
          <w:rPr>
            <w:webHidden/>
          </w:rPr>
          <w:t>15</w:t>
        </w:r>
        <w:r w:rsidR="000D06D2">
          <w:rPr>
            <w:webHidden/>
          </w:rPr>
          <w:fldChar w:fldCharType="end"/>
        </w:r>
      </w:hyperlink>
    </w:p>
    <w:p w14:paraId="30835D09" w14:textId="77777777" w:rsidR="000D06D2" w:rsidRDefault="00414BA3">
      <w:pPr>
        <w:pStyle w:val="TDC2"/>
        <w:rPr>
          <w:rFonts w:asciiTheme="minorHAnsi" w:eastAsiaTheme="minorEastAsia" w:hAnsiTheme="minorHAnsi" w:cstheme="minorBidi"/>
        </w:rPr>
      </w:pPr>
      <w:hyperlink w:anchor="_Toc149803652" w:history="1">
        <w:r w:rsidR="000D06D2" w:rsidRPr="00B81725">
          <w:rPr>
            <w:rStyle w:val="Hipervnculo"/>
          </w:rPr>
          <w:t>2.3 Apoyo financiero de Sodena a Parquenasa</w:t>
        </w:r>
        <w:r w:rsidR="000D06D2">
          <w:rPr>
            <w:webHidden/>
          </w:rPr>
          <w:tab/>
        </w:r>
        <w:r w:rsidR="000D06D2">
          <w:rPr>
            <w:webHidden/>
          </w:rPr>
          <w:fldChar w:fldCharType="begin"/>
        </w:r>
        <w:r w:rsidR="000D06D2">
          <w:rPr>
            <w:webHidden/>
          </w:rPr>
          <w:instrText xml:space="preserve"> PAGEREF _Toc149803652 \h </w:instrText>
        </w:r>
        <w:r w:rsidR="000D06D2">
          <w:rPr>
            <w:webHidden/>
          </w:rPr>
        </w:r>
        <w:r w:rsidR="000D06D2">
          <w:rPr>
            <w:webHidden/>
          </w:rPr>
          <w:fldChar w:fldCharType="separate"/>
        </w:r>
        <w:r w:rsidR="00D32AC1">
          <w:rPr>
            <w:webHidden/>
          </w:rPr>
          <w:t>21</w:t>
        </w:r>
        <w:r w:rsidR="000D06D2">
          <w:rPr>
            <w:webHidden/>
          </w:rPr>
          <w:fldChar w:fldCharType="end"/>
        </w:r>
      </w:hyperlink>
    </w:p>
    <w:p w14:paraId="3A94F9F0" w14:textId="77777777" w:rsidR="000D06D2" w:rsidRDefault="00414BA3">
      <w:pPr>
        <w:pStyle w:val="TDC2"/>
        <w:rPr>
          <w:rFonts w:asciiTheme="minorHAnsi" w:eastAsiaTheme="minorEastAsia" w:hAnsiTheme="minorHAnsi" w:cstheme="minorBidi"/>
        </w:rPr>
      </w:pPr>
      <w:hyperlink w:anchor="_Toc149803653" w:history="1">
        <w:r w:rsidR="000D06D2" w:rsidRPr="00B81725">
          <w:rPr>
            <w:rStyle w:val="Hipervnculo"/>
          </w:rPr>
          <w:t>2.4 Cuantía y situación contable de Parquenasa en las cuentas anuales de Sodena</w:t>
        </w:r>
        <w:r w:rsidR="000D06D2">
          <w:rPr>
            <w:webHidden/>
          </w:rPr>
          <w:tab/>
        </w:r>
        <w:r w:rsidR="000D06D2">
          <w:rPr>
            <w:webHidden/>
          </w:rPr>
          <w:fldChar w:fldCharType="begin"/>
        </w:r>
        <w:r w:rsidR="000D06D2">
          <w:rPr>
            <w:webHidden/>
          </w:rPr>
          <w:instrText xml:space="preserve"> PAGEREF _Toc149803653 \h </w:instrText>
        </w:r>
        <w:r w:rsidR="000D06D2">
          <w:rPr>
            <w:webHidden/>
          </w:rPr>
        </w:r>
        <w:r w:rsidR="000D06D2">
          <w:rPr>
            <w:webHidden/>
          </w:rPr>
          <w:fldChar w:fldCharType="separate"/>
        </w:r>
        <w:r w:rsidR="00D32AC1">
          <w:rPr>
            <w:webHidden/>
          </w:rPr>
          <w:t>27</w:t>
        </w:r>
        <w:r w:rsidR="000D06D2">
          <w:rPr>
            <w:webHidden/>
          </w:rPr>
          <w:fldChar w:fldCharType="end"/>
        </w:r>
      </w:hyperlink>
    </w:p>
    <w:p w14:paraId="00453399" w14:textId="77777777" w:rsidR="000D06D2" w:rsidRDefault="00414BA3">
      <w:pPr>
        <w:pStyle w:val="TDC2"/>
        <w:rPr>
          <w:rFonts w:asciiTheme="minorHAnsi" w:eastAsiaTheme="minorEastAsia" w:hAnsiTheme="minorHAnsi" w:cstheme="minorBidi"/>
        </w:rPr>
      </w:pPr>
      <w:hyperlink w:anchor="_Toc149803654" w:history="1">
        <w:r w:rsidR="000D06D2" w:rsidRPr="00B81725">
          <w:rPr>
            <w:rStyle w:val="Hipervnculo"/>
          </w:rPr>
          <w:t>2.5 Situación de los socios ante las aportaciones financieras de Sodena</w:t>
        </w:r>
        <w:r w:rsidR="000D06D2">
          <w:rPr>
            <w:webHidden/>
          </w:rPr>
          <w:tab/>
        </w:r>
        <w:r w:rsidR="000D06D2">
          <w:rPr>
            <w:webHidden/>
          </w:rPr>
          <w:fldChar w:fldCharType="begin"/>
        </w:r>
        <w:r w:rsidR="000D06D2">
          <w:rPr>
            <w:webHidden/>
          </w:rPr>
          <w:instrText xml:space="preserve"> PAGEREF _Toc149803654 \h </w:instrText>
        </w:r>
        <w:r w:rsidR="000D06D2">
          <w:rPr>
            <w:webHidden/>
          </w:rPr>
        </w:r>
        <w:r w:rsidR="000D06D2">
          <w:rPr>
            <w:webHidden/>
          </w:rPr>
          <w:fldChar w:fldCharType="separate"/>
        </w:r>
        <w:r w:rsidR="00D32AC1">
          <w:rPr>
            <w:webHidden/>
          </w:rPr>
          <w:t>31</w:t>
        </w:r>
        <w:r w:rsidR="000D06D2">
          <w:rPr>
            <w:webHidden/>
          </w:rPr>
          <w:fldChar w:fldCharType="end"/>
        </w:r>
      </w:hyperlink>
    </w:p>
    <w:p w14:paraId="79D92C07" w14:textId="77777777" w:rsidR="000D06D2" w:rsidRDefault="00414BA3">
      <w:pPr>
        <w:pStyle w:val="TDC2"/>
        <w:rPr>
          <w:rFonts w:asciiTheme="minorHAnsi" w:eastAsiaTheme="minorEastAsia" w:hAnsiTheme="minorHAnsi" w:cstheme="minorBidi"/>
        </w:rPr>
      </w:pPr>
      <w:hyperlink w:anchor="_Toc149803655" w:history="1">
        <w:r w:rsidR="000D06D2" w:rsidRPr="00B81725">
          <w:rPr>
            <w:rStyle w:val="Hipervnculo"/>
          </w:rPr>
          <w:t>2.6 Capitalización de los créditos y posibles repercusiones de una hipotética conversión de Parquenasa en sociedad pública.</w:t>
        </w:r>
        <w:r w:rsidR="000D06D2">
          <w:rPr>
            <w:webHidden/>
          </w:rPr>
          <w:tab/>
        </w:r>
        <w:r w:rsidR="000D06D2">
          <w:rPr>
            <w:webHidden/>
          </w:rPr>
          <w:fldChar w:fldCharType="begin"/>
        </w:r>
        <w:r w:rsidR="000D06D2">
          <w:rPr>
            <w:webHidden/>
          </w:rPr>
          <w:instrText xml:space="preserve"> PAGEREF _Toc149803655 \h </w:instrText>
        </w:r>
        <w:r w:rsidR="000D06D2">
          <w:rPr>
            <w:webHidden/>
          </w:rPr>
        </w:r>
        <w:r w:rsidR="000D06D2">
          <w:rPr>
            <w:webHidden/>
          </w:rPr>
          <w:fldChar w:fldCharType="separate"/>
        </w:r>
        <w:r w:rsidR="00D32AC1">
          <w:rPr>
            <w:webHidden/>
          </w:rPr>
          <w:t>32</w:t>
        </w:r>
        <w:r w:rsidR="000D06D2">
          <w:rPr>
            <w:webHidden/>
          </w:rPr>
          <w:fldChar w:fldCharType="end"/>
        </w:r>
      </w:hyperlink>
    </w:p>
    <w:p w14:paraId="1B7AF245" w14:textId="77777777" w:rsidR="000D06D2" w:rsidRDefault="00414BA3">
      <w:pPr>
        <w:pStyle w:val="TDC1"/>
        <w:rPr>
          <w:smallCaps w:val="0"/>
          <w:rFonts w:asciiTheme="minorHAnsi" w:eastAsiaTheme="minorEastAsia" w:hAnsiTheme="minorHAnsi" w:cstheme="minorBidi"/>
        </w:rPr>
      </w:pPr>
      <w:hyperlink w:anchor="_Toc149803656" w:history="1">
        <w:r w:rsidR="000D06D2" w:rsidRPr="00B81725">
          <w:rPr>
            <w:rStyle w:val="Hipervnculo"/>
          </w:rPr>
          <w:t>Alegaciones formuladas al Informe Provisional</w:t>
        </w:r>
        <w:r w:rsidR="000D06D2">
          <w:rPr>
            <w:webHidden/>
          </w:rPr>
          <w:tab/>
        </w:r>
        <w:r w:rsidR="000D06D2">
          <w:rPr>
            <w:webHidden/>
          </w:rPr>
          <w:fldChar w:fldCharType="begin"/>
        </w:r>
        <w:r w:rsidR="000D06D2">
          <w:rPr>
            <w:webHidden/>
          </w:rPr>
          <w:instrText xml:space="preserve"> PAGEREF _Toc149803656 \h </w:instrText>
        </w:r>
        <w:r w:rsidR="000D06D2">
          <w:rPr>
            <w:webHidden/>
          </w:rPr>
        </w:r>
        <w:r w:rsidR="000D06D2">
          <w:rPr>
            <w:webHidden/>
          </w:rPr>
          <w:fldChar w:fldCharType="separate"/>
        </w:r>
        <w:r w:rsidR="00D32AC1">
          <w:rPr>
            <w:webHidden/>
          </w:rPr>
          <w:t>36</w:t>
        </w:r>
        <w:r w:rsidR="000D06D2">
          <w:rPr>
            <w:webHidden/>
          </w:rPr>
          <w:fldChar w:fldCharType="end"/>
        </w:r>
      </w:hyperlink>
    </w:p>
    <w:p w14:paraId="56AD0E51" w14:textId="77777777" w:rsidR="000D06D2" w:rsidRDefault="00414BA3">
      <w:pPr>
        <w:pStyle w:val="TDC1"/>
        <w:rPr>
          <w:smallCaps w:val="0"/>
          <w:rFonts w:asciiTheme="minorHAnsi" w:eastAsiaTheme="minorEastAsia" w:hAnsiTheme="minorHAnsi" w:cstheme="minorBidi"/>
        </w:rPr>
      </w:pPr>
      <w:hyperlink w:anchor="_Toc149803657" w:history="1">
        <w:r w:rsidR="000D06D2" w:rsidRPr="00B81725">
          <w:rPr>
            <w:rStyle w:val="Hipervnculo"/>
          </w:rPr>
          <w:t>Contestación de la Cámara de Comptos a las alegaciones presentadas al Informe Provisional</w:t>
        </w:r>
      </w:hyperlink>
    </w:p>
    <w:p w14:paraId="480B1DAE" w14:textId="77777777" w:rsidR="00891D73" w:rsidRDefault="0014728F" w:rsidP="003C6E1D">
      <w:pPr>
        <w:pStyle w:val="texto"/>
      </w:pPr>
      <w:r>
        <w:fldChar w:fldCharType="end"/>
      </w:r>
    </w:p>
    <w:p w14:paraId="6D7E7765" w14:textId="77777777" w:rsidR="00891D73" w:rsidRDefault="00891D73" w:rsidP="00891D73">
      <w:pPr>
        <w:pStyle w:val="texto"/>
      </w:pPr>
    </w:p>
    <w:p w14:paraId="27B76012" w14:textId="77777777" w:rsidR="00891D73" w:rsidRPr="00E703B6" w:rsidRDefault="00891D73" w:rsidP="00E703B6"/>
    <w:p w14:paraId="40ED481D"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9F45580" w14:textId="77777777" w:rsidR="00F87E58" w:rsidRPr="00F87E58" w:rsidRDefault="001728D0" w:rsidP="00F87E58">
      <w:pPr>
        <w:pStyle w:val="atitulo1"/>
      </w:pPr>
      <w:r>
        <w:t xml:space="preserve"> </w:t>
      </w:r>
      <w:bookmarkStart w:id="0" w:name="_Toc146017565"/>
      <w:bookmarkStart w:id="1" w:name="_Toc149803643"/>
      <w:r>
        <w:t xml:space="preserve">I. Sarrera</w:t>
      </w:r>
      <w:bookmarkEnd w:id="0"/>
      <w:bookmarkEnd w:id="1"/>
    </w:p>
    <w:p w14:paraId="5D810EF4" w14:textId="77777777" w:rsidR="00F87E58" w:rsidRPr="0012731A" w:rsidRDefault="00F87E58" w:rsidP="00F87E58">
      <w:pPr>
        <w:pStyle w:val="texto"/>
      </w:pPr>
      <w:r>
        <w:t xml:space="preserve">EH Bildu talde parlamentarioaren eskaera aintzat hartuta, Nafarroako Parlamentuko Eledunen Batzarrak, 2022ko azaroaren 21ean, erabaki zuen Kontuen Ganberari eskatzea fiskalizazio txosten bat egin zezala Nafarroaren Garapen Sozietatea SL enpresa publikoak (hemendik aurrera, Sodena) Parque de la Naturaleza de Navarra SA enpresari (aurrerantzean, Parquenasa) egindako ekarpen finantzarioei buruz; zehazki, alderdi hauen gainean:</w:t>
      </w:r>
    </w:p>
    <w:p w14:paraId="3B277F5B" w14:textId="77777777" w:rsidR="00F87E58" w:rsidRPr="00E414D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Parquenasak aurrera daraman Natura Parkearen proiektuari sektore publikotik egindako ekarpen guztiak.</w:t>
      </w:r>
    </w:p>
    <w:p w14:paraId="754DA24B" w14:textId="77777777" w:rsidR="00F87E58" w:rsidRPr="00AA38C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Horien zenbatekoa eta Sodenan duten kontabilitate egoera.</w:t>
      </w:r>
    </w:p>
    <w:p w14:paraId="3E580817" w14:textId="77777777" w:rsidR="00F87E58" w:rsidRPr="00AA38C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Zer aukera dagoen gainerako bazkideei beren jabetzako kapital sozialaren arabera egin behar zituzketen ekarpenak erreklamatzen saiatzeko.</w:t>
      </w:r>
    </w:p>
    <w:p w14:paraId="523B231C" w14:textId="77777777" w:rsidR="00F87E58" w:rsidRPr="00E414D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Pr>
          <w:i/>
        </w:rPr>
        <w:t xml:space="preserve">Sodenak emandako kredituen kapitalizazioa, eta horrek ekarriko lituzkeen ondorioak Parquenasa sozietate publiko bilakatuz gero.</w:t>
      </w:r>
    </w:p>
    <w:p w14:paraId="41BED153" w14:textId="77777777" w:rsidR="00F87E58" w:rsidRPr="00AA38CF" w:rsidRDefault="00F87E58" w:rsidP="00F87E58">
      <w:pPr>
        <w:pStyle w:val="texto"/>
      </w:pPr>
      <w:r>
        <w:t xml:space="preserve">Kontuen Ganberak, abenduaren 20ko 19/1984 Foru Legearekin bat etorriz, eskatutako fiskalizazioa egin du.</w:t>
      </w:r>
      <w:r>
        <w:t xml:space="preserve"> </w:t>
      </w:r>
    </w:p>
    <w:p w14:paraId="5071230F" w14:textId="77777777" w:rsidR="00F87E58" w:rsidRDefault="00F87E58" w:rsidP="00F87E58">
      <w:pPr>
        <w:pStyle w:val="texto"/>
      </w:pPr>
      <w:r>
        <w:t xml:space="preserve">Azterketa lana 2023ko martxotik ekainera bitartean egin du auditoretzako teknikari batek eta auditore batek osatutako lantaldeak, eta Kontuen Ganberako zerbitzu juridiko eta administratiboen lankidetza ere izan dute.</w:t>
      </w:r>
    </w:p>
    <w:p w14:paraId="1F5AE259" w14:textId="77777777" w:rsidR="00234D3C" w:rsidRPr="0085077D" w:rsidRDefault="00234D3C" w:rsidP="00234D3C">
      <w:pPr>
        <w:pStyle w:val="texto"/>
      </w:pPr>
      <w:r>
        <w:t xml:space="preserve">Nafarroako Kontuen Ganbera arautzen duen abenduaren 20ko 19/1984 Foru Legearen 11. artikuluan ezarritakoari jarraikiz, lan honen emaitzen berri eman zitzaien Ekonomia eta Ogasun Departamentuko kontseilariari, Sodenari eta Nafarroako Enpresa Korporazio Publikoari (aurrerantzean, NEKP), alegazioak egin zitzaten.</w:t>
      </w:r>
    </w:p>
    <w:p w14:paraId="7CAA3962" w14:textId="77777777" w:rsidR="003A17DF" w:rsidRPr="003A17DF" w:rsidRDefault="003A17DF" w:rsidP="00234D3C">
      <w:pPr>
        <w:pStyle w:val="texto"/>
      </w:pPr>
      <w:r>
        <w:t xml:space="preserve">Ezarritako epean Sodenak eta NEKPk alegazioak aurkeztu dituzte, eta txosten honetan jaso dira, Ganbera honen erantzunarekin batera.</w:t>
      </w:r>
    </w:p>
    <w:p w14:paraId="296868A0" w14:textId="77777777" w:rsidR="00F87E58" w:rsidRPr="00AA38CF" w:rsidRDefault="00F87E58" w:rsidP="00F87E58">
      <w:pPr>
        <w:pStyle w:val="texto"/>
      </w:pPr>
      <w:r>
        <w:t xml:space="preserve">Eskerrak eman nahi dizkiegu Nafarroako Gobernuko Ondare Zerbitzuko langileei, lan hau egiteko eman diguten laguntzarengatik.</w:t>
      </w:r>
    </w:p>
    <w:p w14:paraId="25829E10" w14:textId="77777777" w:rsidR="00F87E58" w:rsidRDefault="00F87E58" w:rsidP="00F87E58">
      <w:pPr>
        <w:rPr>
          <w:sz w:val="26"/>
          <w:szCs w:val="26"/>
        </w:rPr>
      </w:pPr>
      <w:r>
        <w:br w:type="page"/>
      </w:r>
    </w:p>
    <w:p w14:paraId="1EF6A0C9" w14:textId="77777777" w:rsidR="00F87E58" w:rsidRPr="00F87E58" w:rsidRDefault="00F87E58" w:rsidP="00F87E58">
      <w:pPr>
        <w:pStyle w:val="atitulo1"/>
      </w:pPr>
      <w:bookmarkStart w:id="2" w:name="_Toc133322326"/>
      <w:bookmarkStart w:id="3" w:name="_Toc146017566"/>
      <w:bookmarkStart w:id="4" w:name="_Toc149803644"/>
      <w:r>
        <w:t xml:space="preserve">II.</w:t>
      </w:r>
      <w:r>
        <w:t xml:space="preserve"> </w:t>
      </w:r>
      <w:r>
        <w:t xml:space="preserve">Helburuak eta irismena</w:t>
      </w:r>
      <w:bookmarkEnd w:id="2"/>
      <w:bookmarkEnd w:id="3"/>
      <w:bookmarkEnd w:id="4"/>
    </w:p>
    <w:p w14:paraId="7682F1BE" w14:textId="77777777" w:rsidR="00F87E58" w:rsidRDefault="00F87E58" w:rsidP="00F87E58">
      <w:pPr>
        <w:pStyle w:val="texto"/>
        <w:rPr>
          <w:szCs w:val="26"/>
        </w:rPr>
      </w:pPr>
      <w:r>
        <w:t xml:space="preserve">Parlamentutik jasotako eskaera kontuan hartuta, lan honen helburua da konklusio bat azaltzea eskatutako gaiei buruz. Honako hauek dira:</w:t>
      </w:r>
    </w:p>
    <w:p w14:paraId="1881051B"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Parquenasak aurrera daraman “Sendaviva” Natura Parkearen proiektuari sektore publikotik egindako ekarpen guztiak kuantifikatzea.</w:t>
      </w:r>
    </w:p>
    <w:p w14:paraId="28AD92AF"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Horien zenbatekoa eta Sodenan duten kontabilitate egoera egiaztatzea.</w:t>
      </w:r>
    </w:p>
    <w:p w14:paraId="25E10E0E"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Aztertzea zer aukera dagoen gainerako bazkideei beren jabetzako kapital sozialaren arabera egin behar zituzketen ekarpenak erreklamatzen saiatzeko.</w:t>
      </w:r>
    </w:p>
    <w:p w14:paraId="45E4F7B1"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Aztertzea Sodenak emandako kredituen kapitalizazioa eta horrek zer ondorio ekarriko lituzkeen Parquenasa sozietate publiko bilakatuz gero.</w:t>
      </w:r>
    </w:p>
    <w:p w14:paraId="7BFF1B83" w14:textId="77777777" w:rsidR="00F87E58" w:rsidRDefault="00F87E58" w:rsidP="00F87E58">
      <w:pPr>
        <w:pStyle w:val="texto"/>
        <w:rPr>
          <w:szCs w:val="26"/>
        </w:rPr>
      </w:pPr>
      <w:r>
        <w:t xml:space="preserve">Fiskalizazioaren irismen objektiboari dagokionez, dokumentu hauek hartu dira kontuan, besteak beste:</w:t>
      </w:r>
    </w:p>
    <w:p w14:paraId="04CF651B" w14:textId="77777777" w:rsidR="00F87E58" w:rsidRPr="002952F1"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t xml:space="preserve">Sodena:</w:t>
      </w:r>
    </w:p>
    <w:p w14:paraId="236681AB"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Auditoretza egin zaien urteko kontuak.</w:t>
      </w:r>
    </w:p>
    <w:p w14:paraId="2E895430" w14:textId="77777777" w:rsidR="00F87E58" w:rsidRPr="00D11B5E"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left" w:pos="567"/>
        </w:tabs>
        <w:spacing w:after="100"/>
        <w:ind w:left="0" w:firstLine="284"/>
        <w:rPr>
          <w:rFonts w:cs="Arial"/>
        </w:rPr>
      </w:pPr>
      <w:r>
        <w:t xml:space="preserve">Sodenako Administrazio Kontseiluaren eta Parquenasako Batzar Orokorraren aktak.</w:t>
      </w:r>
    </w:p>
    <w:p w14:paraId="656F91D2"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rFonts w:cs="Arial"/>
        </w:rPr>
      </w:pPr>
      <w:r>
        <w:t xml:space="preserve">Parquenasa sozietateko bazkideen artean sinatutako akordioak, eta Sodena eta Parquenasaren artean sinatutako finantzaketa kontratuak.</w:t>
      </w:r>
      <w:r>
        <w:t xml:space="preserve"> </w:t>
      </w:r>
    </w:p>
    <w:p w14:paraId="043A2412" w14:textId="77777777" w:rsidR="00B40CE4" w:rsidRPr="00C372CC" w:rsidRDefault="00B40CE4" w:rsidP="00B40CE4">
      <w:pPr>
        <w:pStyle w:val="texto"/>
        <w:rPr>
          <w:szCs w:val="26"/>
        </w:rPr>
      </w:pPr>
      <w:r>
        <w:t xml:space="preserve">Sodenak fiskalizazioaren esparruan eskatu zaizkion dokumentu guztiak aurkeztu ditu.</w:t>
      </w:r>
    </w:p>
    <w:p w14:paraId="458686E7" w14:textId="77777777" w:rsidR="00F87E58" w:rsidRPr="002952F1"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t xml:space="preserve">Nafarroako Gobernuko Ondare Zerbitzua</w:t>
      </w:r>
    </w:p>
    <w:p w14:paraId="54F226E1"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Sodenak Parquenasari urtero maileguak emateari buruz hartutako gobernu erabakien espedienteak.</w:t>
      </w:r>
    </w:p>
    <w:p w14:paraId="68CA7335" w14:textId="77777777" w:rsidR="00F87E58"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t xml:space="preserve">NEKP</w:t>
      </w:r>
    </w:p>
    <w:p w14:paraId="39B2A08E"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Parquenasako partaidetza Navarra Impulsa Cultura, Deporte y Ocio SL (hemendik aurrera, Nicdo) sozietate publikoari saltzeko eskriturak eta dokumentazioa.</w:t>
      </w:r>
    </w:p>
    <w:p w14:paraId="14C63B6F" w14:textId="77777777" w:rsidR="00F87E58"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t xml:space="preserve">Parquenasa</w:t>
      </w:r>
    </w:p>
    <w:p w14:paraId="13E2CE9E"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Sozietatearen estatutuak</w:t>
      </w:r>
    </w:p>
    <w:p w14:paraId="7F1D4D33"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2022ko ekitaldiko urteko kontu auditatuak</w:t>
      </w:r>
    </w:p>
    <w:p w14:paraId="22279A83" w14:textId="77777777" w:rsidR="00F87E58" w:rsidRDefault="00F87E58" w:rsidP="00F87E58">
      <w:pPr>
        <w:pStyle w:val="texto"/>
        <w:rPr>
          <w:szCs w:val="26"/>
        </w:rPr>
      </w:pPr>
      <w:r>
        <w:t xml:space="preserve">Denbora-norainokoak 2001etik 2023ko ekainaren 30era arteko aldia hartzen du.</w:t>
      </w:r>
      <w:r>
        <w:t xml:space="preserve"> </w:t>
      </w:r>
      <w:r>
        <w:t xml:space="preserve">Sodenak akzioak Nicdo sozietate publikoari saldu bitarteko aldia aztertzeko eskatu zuen Parlamentuak, baina egokitzat jo da gure lanak aldi luzeagoa hartzea, hain zuzen ere azterketa lana amaitu den egunera artekoa, hau da, 2023ko ekainaren 30era artekoa, erosketa horren ondoren sozietate-jokaleku berri bat sortu delako eta erosketa hori gertaera garrantzitsua delako.</w:t>
      </w:r>
    </w:p>
    <w:p w14:paraId="645F462A" w14:textId="77777777" w:rsidR="00F87E58" w:rsidRDefault="00F87E58" w:rsidP="00F87E58">
      <w:pPr>
        <w:pStyle w:val="texto"/>
        <w:rPr>
          <w:szCs w:val="26"/>
        </w:rPr>
      </w:pPr>
      <w:r>
        <w:t xml:space="preserve">Gure lanak parkearen jarduerari buruzko zenbait datu biltzen dituen arren, ez dago lan honen irismenean azterketa egin eta konklusioak ateratzea sozietatearen kudeaketa ekonomikoari buruz, ezta inpaktu sozioekonomikoaren gaineko urteroko txostenei buruz ere. </w:t>
      </w:r>
      <w:r>
        <w:t xml:space="preserve"> </w:t>
      </w:r>
    </w:p>
    <w:p w14:paraId="3613AA67" w14:textId="77777777" w:rsidR="00F87E58" w:rsidRDefault="00F87E58" w:rsidP="00F87E58">
      <w:pPr>
        <w:rPr>
          <w:b/>
          <w:color w:val="000000"/>
          <w:kern w:val="28"/>
          <w:sz w:val="25"/>
          <w:szCs w:val="26"/>
          <w:rFonts w:ascii="Arial" w:hAnsi="Arial"/>
        </w:rPr>
      </w:pPr>
      <w:r>
        <w:br w:type="page"/>
      </w:r>
    </w:p>
    <w:p w14:paraId="2B7CEF89" w14:textId="77777777" w:rsidR="00F87E58" w:rsidRDefault="00F87E58" w:rsidP="00F87E58">
      <w:pPr>
        <w:pStyle w:val="atitulo1"/>
      </w:pPr>
      <w:bookmarkStart w:id="5" w:name="_Toc133322327"/>
      <w:bookmarkStart w:id="6" w:name="_Toc146017567"/>
      <w:bookmarkStart w:id="7" w:name="_Toc149803645"/>
      <w:r>
        <w:t xml:space="preserve">III.</w:t>
      </w:r>
      <w:r>
        <w:t xml:space="preserve"> </w:t>
      </w:r>
      <w:bookmarkEnd w:id="5"/>
      <w:r>
        <w:t xml:space="preserve">Konklusioak eta gomendioak</w:t>
      </w:r>
      <w:bookmarkEnd w:id="6"/>
      <w:bookmarkEnd w:id="7"/>
    </w:p>
    <w:p w14:paraId="72FE247F" w14:textId="77777777" w:rsidR="00F87E58" w:rsidRPr="002B08BC" w:rsidRDefault="00F87E58" w:rsidP="00F87E58">
      <w:pPr>
        <w:pStyle w:val="texto"/>
        <w:rPr>
          <w:szCs w:val="26"/>
        </w:rPr>
      </w:pPr>
      <w:r>
        <w:t xml:space="preserve">Nafarroako Parlamentuak adierazitako gaiei dagokionez atera ditugun konklusioak azalduko ditugu.</w:t>
      </w:r>
      <w:r>
        <w:t xml:space="preserve"> </w:t>
      </w:r>
      <w:r>
        <w:t xml:space="preserve">Zenbait datu ekonomiko 2022ko abenduaren 31koak dira eta Sodenaren azken urteko kontu auditatuei dagozkie, eta beste batzuk 2023ko ekainaren 30era artekoak dira.</w:t>
      </w:r>
      <w:r>
        <w:t xml:space="preserve"> </w:t>
      </w:r>
    </w:p>
    <w:p w14:paraId="1ACB1227" w14:textId="77777777" w:rsidR="00F87E58" w:rsidRPr="00584F7F" w:rsidRDefault="00F87E58" w:rsidP="00F87E58">
      <w:pPr>
        <w:pStyle w:val="atitulo3"/>
      </w:pPr>
      <w:r>
        <w:t xml:space="preserve">A.- Parquenasak aurrera daraman Natura Parkearen proiektuari sektore publikotik egindako ekarpen guztiak kuantifikatzea.</w:t>
      </w:r>
    </w:p>
    <w:p w14:paraId="7B8418F0" w14:textId="77777777" w:rsidR="00F87E58" w:rsidRPr="001A5E73"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Parquenasa eratu zenetik Sodenak Nicdori akzioak saldu zizkion arte, jasorik dauden ekarpen bakarrak Sodenak egindako 83,41 milioiko ekarpenak dira. Horietatik:</w:t>
      </w:r>
    </w:p>
    <w:p w14:paraId="15BDA6ED" w14:textId="77777777" w:rsidR="00F87E58" w:rsidRPr="00045BCE" w:rsidRDefault="00F87E58" w:rsidP="00F87E58">
      <w:pPr>
        <w:pStyle w:val="Prrafodelista"/>
        <w:numPr>
          <w:ilvl w:val="0"/>
          <w:numId w:val="35"/>
        </w:numPr>
        <w:tabs>
          <w:tab w:val="left" w:pos="567"/>
        </w:tabs>
        <w:spacing w:after="140"/>
        <w:ind w:left="0" w:firstLine="284"/>
        <w:contextualSpacing w:val="0"/>
        <w:jc w:val="both"/>
        <w:rPr>
          <w:color w:val="000000"/>
          <w:spacing w:val="6"/>
          <w:sz w:val="26"/>
          <w:rFonts w:cs="Arial"/>
        </w:rPr>
      </w:pPr>
      <w:r>
        <w:rPr>
          <w:color w:val="000000"/>
          <w:sz w:val="26"/>
        </w:rPr>
        <w:t xml:space="preserve">4,05 milioi jarri ziren % 45eko partaidetza hartzeko kapital sozialean, eta guztiz narriatuta daude.</w:t>
      </w:r>
      <w:r>
        <w:rPr>
          <w:color w:val="000000"/>
          <w:sz w:val="26"/>
        </w:rPr>
        <w:t xml:space="preserve"> </w:t>
      </w:r>
    </w:p>
    <w:p w14:paraId="27B98FC4" w14:textId="77777777" w:rsidR="00F87E58" w:rsidRDefault="00F87E58" w:rsidP="00F87E58">
      <w:pPr>
        <w:pStyle w:val="Prrafodelista"/>
        <w:numPr>
          <w:ilvl w:val="0"/>
          <w:numId w:val="35"/>
        </w:numPr>
        <w:tabs>
          <w:tab w:val="left" w:pos="567"/>
        </w:tabs>
        <w:spacing w:after="140"/>
        <w:ind w:left="0" w:firstLine="284"/>
        <w:contextualSpacing w:val="0"/>
        <w:jc w:val="both"/>
        <w:rPr>
          <w:color w:val="000000"/>
          <w:spacing w:val="6"/>
          <w:sz w:val="26"/>
          <w:rFonts w:cs="Arial"/>
        </w:rPr>
      </w:pPr>
      <w:r>
        <w:rPr>
          <w:color w:val="000000"/>
          <w:sz w:val="26"/>
        </w:rPr>
        <w:t xml:space="preserve">79,36 milioi jarri dira mailegu gisa, eta horietatik 56,80 milioi partaidetza-maileguak dira.</w:t>
      </w:r>
      <w:r>
        <w:rPr>
          <w:color w:val="000000"/>
          <w:sz w:val="26"/>
        </w:rPr>
        <w:t xml:space="preserve"> </w:t>
      </w:r>
      <w:r>
        <w:rPr>
          <w:color w:val="000000"/>
          <w:sz w:val="26"/>
        </w:rPr>
        <w:t xml:space="preserve">Gainerako 22,57 milioiak mailegu arruntak dira.</w:t>
      </w:r>
    </w:p>
    <w:p w14:paraId="14CD187D"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2023ko urtarrilean Sodenaren partaidetza guztiak Nicdo sozietate publikoari eskualdatu zitzaizkion.</w:t>
      </w:r>
      <w:r>
        <w:t xml:space="preserve"> </w:t>
      </w:r>
      <w:r>
        <w:t xml:space="preserve">Finantzaketa sistema aldatu egin da eta Parquenasarentzako 5,8 milioiko dirulaguntza izenduna ageri da Kultura eta Kirol Departamentuaren 2023ko aurrekontuetan.</w:t>
      </w:r>
      <w:r>
        <w:t xml:space="preserve"> </w:t>
      </w:r>
    </w:p>
    <w:p w14:paraId="1B31356D" w14:textId="77777777" w:rsidR="00F87E58" w:rsidRPr="00584F7F" w:rsidRDefault="00F87E58" w:rsidP="00F87E58">
      <w:pPr>
        <w:pStyle w:val="atitulo3"/>
      </w:pPr>
      <w:r>
        <w:t xml:space="preserve">B.- Horien zenbatekoa eta Sodenan duten kontabilitate egoera egiaztatzea.</w:t>
      </w:r>
    </w:p>
    <w:p w14:paraId="49DB4B0C" w14:textId="77777777" w:rsidR="00F87E58" w:rsidRPr="009336A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spacing w:after="240"/>
        <w:ind w:left="0" w:firstLine="289"/>
        <w:rPr>
          <w:rFonts w:cs="Arial"/>
        </w:rPr>
      </w:pPr>
      <w:r>
        <w:t xml:space="preserve">Emandako kredituen zenbatekoa eta kontabilitate egoera honako hauek ziren 2022ko abenduaren 31n, Sodenaren urteko kontu auditatuetan ageri denez:</w:t>
      </w:r>
      <w:r>
        <w:t xml:space="preserve"> </w:t>
      </w:r>
    </w:p>
    <w:tbl>
      <w:tblPr>
        <w:tblW w:w="8364" w:type="dxa"/>
        <w:jc w:val="center"/>
        <w:tblCellMar>
          <w:left w:w="70" w:type="dxa"/>
          <w:right w:w="70" w:type="dxa"/>
        </w:tblCellMar>
        <w:tblLook w:val="04A0" w:firstRow="1" w:lastRow="0" w:firstColumn="1" w:lastColumn="0" w:noHBand="0" w:noVBand="1"/>
      </w:tblPr>
      <w:tblGrid>
        <w:gridCol w:w="7015"/>
        <w:gridCol w:w="1349"/>
      </w:tblGrid>
      <w:tr w:rsidR="00F87E58" w14:paraId="35DD98C2" w14:textId="77777777" w:rsidTr="00F87E58">
        <w:trPr>
          <w:trHeight w:val="255"/>
          <w:jc w:val="center"/>
        </w:trPr>
        <w:tc>
          <w:tcPr>
            <w:tcW w:w="7015" w:type="dxa"/>
            <w:tcBorders>
              <w:top w:val="single" w:sz="4" w:space="0" w:color="auto"/>
              <w:bottom w:val="single" w:sz="4" w:space="0" w:color="auto"/>
            </w:tcBorders>
            <w:shd w:val="clear" w:color="000000" w:fill="9BC2E6"/>
            <w:noWrap/>
            <w:vAlign w:val="center"/>
            <w:hideMark/>
          </w:tcPr>
          <w:p w14:paraId="7CDAEAE4" w14:textId="77777777" w:rsidR="00F87E58" w:rsidRDefault="00F87E58" w:rsidP="00F87E58">
            <w:pPr>
              <w:pStyle w:val="cuadroCabe"/>
              <w:jc w:val="left"/>
            </w:pPr>
            <w:r>
              <w:t xml:space="preserve">Kredituak</w:t>
            </w:r>
          </w:p>
        </w:tc>
        <w:tc>
          <w:tcPr>
            <w:tcW w:w="1349" w:type="dxa"/>
            <w:tcBorders>
              <w:top w:val="single" w:sz="4" w:space="0" w:color="auto"/>
              <w:bottom w:val="single" w:sz="4" w:space="0" w:color="auto"/>
            </w:tcBorders>
            <w:shd w:val="clear" w:color="000000" w:fill="9BC2E6"/>
            <w:noWrap/>
            <w:vAlign w:val="center"/>
            <w:hideMark/>
          </w:tcPr>
          <w:p w14:paraId="75721D5E" w14:textId="77777777" w:rsidR="00F87E58" w:rsidRDefault="00F87E58" w:rsidP="00F87E58">
            <w:pPr>
              <w:pStyle w:val="cuadroCabe"/>
              <w:jc w:val="right"/>
            </w:pPr>
            <w:r>
              <w:t xml:space="preserve">2022</w:t>
            </w:r>
          </w:p>
        </w:tc>
      </w:tr>
      <w:tr w:rsidR="00F87E58" w14:paraId="63388067" w14:textId="77777777" w:rsidTr="00F87E58">
        <w:trPr>
          <w:trHeight w:val="198"/>
          <w:jc w:val="center"/>
        </w:trPr>
        <w:tc>
          <w:tcPr>
            <w:tcW w:w="7015" w:type="dxa"/>
            <w:tcBorders>
              <w:top w:val="single" w:sz="4" w:space="0" w:color="auto"/>
              <w:bottom w:val="single" w:sz="2" w:space="0" w:color="auto"/>
            </w:tcBorders>
            <w:shd w:val="clear" w:color="auto" w:fill="auto"/>
            <w:noWrap/>
            <w:vAlign w:val="center"/>
            <w:hideMark/>
          </w:tcPr>
          <w:p w14:paraId="113A1CD3" w14:textId="77777777" w:rsidR="00F87E58" w:rsidRDefault="00F87E58" w:rsidP="00F87E58">
            <w:pPr>
              <w:pStyle w:val="cuatexto"/>
              <w:jc w:val="left"/>
            </w:pPr>
            <w:r>
              <w:t xml:space="preserve">Emandako zenbatekoa</w:t>
            </w:r>
          </w:p>
        </w:tc>
        <w:tc>
          <w:tcPr>
            <w:tcW w:w="1349" w:type="dxa"/>
            <w:tcBorders>
              <w:top w:val="single" w:sz="4" w:space="0" w:color="auto"/>
              <w:bottom w:val="single" w:sz="2" w:space="0" w:color="auto"/>
            </w:tcBorders>
            <w:shd w:val="clear" w:color="auto" w:fill="auto"/>
            <w:noWrap/>
            <w:vAlign w:val="center"/>
            <w:hideMark/>
          </w:tcPr>
          <w:p w14:paraId="7D709607" w14:textId="77777777" w:rsidR="00F87E58" w:rsidRDefault="00F87E58" w:rsidP="00F87E58">
            <w:pPr>
              <w:pStyle w:val="cuatexto"/>
              <w:jc w:val="right"/>
            </w:pPr>
            <w:r>
              <w:t xml:space="preserve">78.104.448</w:t>
            </w:r>
          </w:p>
        </w:tc>
      </w:tr>
      <w:tr w:rsidR="00F87E58" w14:paraId="693D573D" w14:textId="77777777" w:rsidTr="00F87E58">
        <w:trPr>
          <w:trHeight w:val="198"/>
          <w:jc w:val="center"/>
        </w:trPr>
        <w:tc>
          <w:tcPr>
            <w:tcW w:w="7015" w:type="dxa"/>
            <w:tcBorders>
              <w:top w:val="single" w:sz="2" w:space="0" w:color="auto"/>
              <w:bottom w:val="single" w:sz="2" w:space="0" w:color="auto"/>
            </w:tcBorders>
            <w:shd w:val="clear" w:color="auto" w:fill="auto"/>
            <w:noWrap/>
            <w:vAlign w:val="center"/>
            <w:hideMark/>
          </w:tcPr>
          <w:p w14:paraId="09A2E4FC" w14:textId="77777777" w:rsidR="00F87E58" w:rsidRDefault="00F87E58" w:rsidP="00F87E58">
            <w:pPr>
              <w:pStyle w:val="cuatexto"/>
              <w:jc w:val="left"/>
            </w:pPr>
            <w:r>
              <w:t xml:space="preserve">Interesak</w:t>
            </w:r>
          </w:p>
        </w:tc>
        <w:tc>
          <w:tcPr>
            <w:tcW w:w="1349" w:type="dxa"/>
            <w:tcBorders>
              <w:top w:val="single" w:sz="2" w:space="0" w:color="auto"/>
              <w:bottom w:val="single" w:sz="2" w:space="0" w:color="auto"/>
            </w:tcBorders>
            <w:shd w:val="clear" w:color="auto" w:fill="auto"/>
            <w:noWrap/>
            <w:vAlign w:val="center"/>
            <w:hideMark/>
          </w:tcPr>
          <w:p w14:paraId="49374ACC" w14:textId="77777777" w:rsidR="00F87E58" w:rsidRDefault="00F87E58" w:rsidP="00F87E58">
            <w:pPr>
              <w:pStyle w:val="cuatexto"/>
              <w:jc w:val="right"/>
            </w:pPr>
            <w:r>
              <w:t xml:space="preserve">187.706</w:t>
            </w:r>
          </w:p>
        </w:tc>
      </w:tr>
      <w:tr w:rsidR="00F87E58" w14:paraId="05857291" w14:textId="77777777" w:rsidTr="00F87E58">
        <w:trPr>
          <w:trHeight w:val="198"/>
          <w:jc w:val="center"/>
        </w:trPr>
        <w:tc>
          <w:tcPr>
            <w:tcW w:w="7015" w:type="dxa"/>
            <w:tcBorders>
              <w:top w:val="single" w:sz="2" w:space="0" w:color="auto"/>
              <w:bottom w:val="single" w:sz="4" w:space="0" w:color="auto"/>
            </w:tcBorders>
            <w:shd w:val="clear" w:color="auto" w:fill="auto"/>
            <w:noWrap/>
            <w:vAlign w:val="center"/>
            <w:hideMark/>
          </w:tcPr>
          <w:p w14:paraId="7148A4E9" w14:textId="77777777" w:rsidR="00F87E58" w:rsidRDefault="00F87E58" w:rsidP="00F87E58">
            <w:pPr>
              <w:pStyle w:val="cuatexto"/>
              <w:jc w:val="left"/>
            </w:pPr>
            <w:r>
              <w:t xml:space="preserve">Narriadura</w:t>
            </w:r>
          </w:p>
        </w:tc>
        <w:tc>
          <w:tcPr>
            <w:tcW w:w="1349" w:type="dxa"/>
            <w:tcBorders>
              <w:top w:val="single" w:sz="2" w:space="0" w:color="auto"/>
              <w:bottom w:val="single" w:sz="4" w:space="0" w:color="auto"/>
            </w:tcBorders>
            <w:shd w:val="clear" w:color="auto" w:fill="auto"/>
            <w:noWrap/>
            <w:vAlign w:val="center"/>
            <w:hideMark/>
          </w:tcPr>
          <w:p w14:paraId="0AEB721D" w14:textId="77777777" w:rsidR="00F87E58" w:rsidRDefault="00F87E58" w:rsidP="00F87E58">
            <w:pPr>
              <w:pStyle w:val="cuatexto"/>
              <w:jc w:val="right"/>
            </w:pPr>
            <w:r>
              <w:t xml:space="preserve">-55.780.244</w:t>
            </w:r>
          </w:p>
        </w:tc>
      </w:tr>
      <w:tr w:rsidR="00F87E58" w14:paraId="06BD7869" w14:textId="77777777" w:rsidTr="00F87E58">
        <w:trPr>
          <w:trHeight w:val="255"/>
          <w:jc w:val="center"/>
        </w:trPr>
        <w:tc>
          <w:tcPr>
            <w:tcW w:w="7015" w:type="dxa"/>
            <w:tcBorders>
              <w:top w:val="single" w:sz="4" w:space="0" w:color="auto"/>
              <w:bottom w:val="single" w:sz="4" w:space="0" w:color="auto"/>
            </w:tcBorders>
            <w:shd w:val="clear" w:color="auto" w:fill="9CC2E5"/>
            <w:noWrap/>
            <w:vAlign w:val="center"/>
            <w:hideMark/>
          </w:tcPr>
          <w:p w14:paraId="6B88E8B5" w14:textId="77777777" w:rsidR="00F87E58" w:rsidRDefault="00F87E58" w:rsidP="00F87E58">
            <w:pPr>
              <w:pStyle w:val="cuadroCabe"/>
              <w:jc w:val="left"/>
            </w:pPr>
            <w:r>
              <w:t xml:space="preserve">Guztira</w:t>
            </w:r>
          </w:p>
        </w:tc>
        <w:tc>
          <w:tcPr>
            <w:tcW w:w="1349" w:type="dxa"/>
            <w:tcBorders>
              <w:top w:val="single" w:sz="4" w:space="0" w:color="auto"/>
              <w:bottom w:val="single" w:sz="4" w:space="0" w:color="auto"/>
            </w:tcBorders>
            <w:shd w:val="clear" w:color="auto" w:fill="9CC2E5"/>
            <w:noWrap/>
            <w:vAlign w:val="center"/>
            <w:hideMark/>
          </w:tcPr>
          <w:p w14:paraId="7E546541" w14:textId="77777777" w:rsidR="00F87E58" w:rsidRDefault="00F87E58" w:rsidP="00F87E58">
            <w:pPr>
              <w:pStyle w:val="cuadroCabe"/>
              <w:jc w:val="right"/>
            </w:pPr>
            <w:r>
              <w:t xml:space="preserve">22.511.910</w:t>
            </w:r>
          </w:p>
        </w:tc>
      </w:tr>
    </w:tbl>
    <w:p w14:paraId="2DC1091F" w14:textId="77777777" w:rsidR="00F87E58" w:rsidRDefault="00F87E58" w:rsidP="00F87E58">
      <w:pPr>
        <w:pStyle w:val="texto"/>
        <w:spacing w:before="240"/>
        <w:rPr>
          <w:rFonts w:cs="Arial"/>
        </w:rPr>
      </w:pPr>
      <w:r>
        <w:t xml:space="preserve">Urteko kontuetan adierazten denez, 56,80 milioiko mailegu horiek partaidetza-maileguak dira.</w:t>
      </w:r>
      <w:r>
        <w:t xml:space="preserve"> </w:t>
      </w:r>
    </w:p>
    <w:p w14:paraId="6187ADD8"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Nahiz eta Sodenaren urteko kontuen arabera maileguen kontabilitate balioa 2022ko abenduaren 31n 22,51 milioikoa den (narriatutako zenbatekoak kendu eta gero), Parquenasak 78,30 milioiko zorra du Sodenarekin.</w:t>
      </w:r>
      <w:r>
        <w:t xml:space="preserve"> </w:t>
      </w:r>
      <w:r>
        <w:t xml:space="preserve">Hala ere, igo egin da eta 79,36 milioira iritsi da 2023ko ekainaren 30erako.</w:t>
      </w:r>
    </w:p>
    <w:p w14:paraId="2D253187" w14:textId="77777777" w:rsidR="00F318D9" w:rsidRDefault="00F318D9" w:rsidP="00F318D9">
      <w:pPr>
        <w:pStyle w:val="texto"/>
        <w:tabs>
          <w:tab w:val="clear" w:pos="2835"/>
          <w:tab w:val="clear" w:pos="3969"/>
          <w:tab w:val="clear" w:pos="5103"/>
          <w:tab w:val="clear" w:pos="6237"/>
          <w:tab w:val="clear" w:pos="7371"/>
          <w:tab w:val="left" w:pos="480"/>
        </w:tabs>
        <w:rPr>
          <w:rFonts w:cs="Arial"/>
        </w:rPr>
      </w:pPr>
      <w:r>
        <w:t xml:space="preserve">Hori dela-eta, nabarmendu behar dugu, sozietatearen egoera ekonomiko-finantzarioa kontuan hartuta, Parquenasak nekez itzul ditzakeela maileguak, ez muga-egunetan behintzat, beheko taulan zehazten den bezala:</w:t>
      </w:r>
    </w:p>
    <w:p w14:paraId="06E9DDC4" w14:textId="77777777" w:rsidR="00F318D9" w:rsidRPr="00C3553D" w:rsidRDefault="00F318D9" w:rsidP="00F318D9">
      <w:pPr>
        <w:pStyle w:val="texto"/>
        <w:spacing w:before="240"/>
        <w:ind w:firstLine="0"/>
        <w:jc w:val="right"/>
        <w:rPr>
          <w:rFonts w:cs="Arial"/>
        </w:rPr>
      </w:pPr>
      <w:r>
        <w:rPr>
          <w:color w:val="000000"/>
          <w:sz w:val="20"/>
          <w:rFonts w:ascii="Arial Narrow" w:hAnsi="Arial Narrow"/>
        </w:rPr>
        <w:t xml:space="preserve">(milakotan)</w:t>
      </w:r>
    </w:p>
    <w:tbl>
      <w:tblPr>
        <w:tblW w:w="8505" w:type="dxa"/>
        <w:jc w:val="center"/>
        <w:tblCellMar>
          <w:left w:w="70" w:type="dxa"/>
          <w:right w:w="70" w:type="dxa"/>
        </w:tblCellMar>
        <w:tblLook w:val="04A0" w:firstRow="1" w:lastRow="0" w:firstColumn="1" w:lastColumn="0" w:noHBand="0" w:noVBand="1"/>
      </w:tblPr>
      <w:tblGrid>
        <w:gridCol w:w="2551"/>
        <w:gridCol w:w="1134"/>
        <w:gridCol w:w="1418"/>
        <w:gridCol w:w="1417"/>
        <w:gridCol w:w="964"/>
        <w:gridCol w:w="1021"/>
      </w:tblGrid>
      <w:tr w:rsidR="00F318D9" w:rsidRPr="0097255E" w14:paraId="475524AD" w14:textId="77777777" w:rsidTr="00F318D9">
        <w:trPr>
          <w:trHeight w:val="255"/>
          <w:jc w:val="center"/>
        </w:trPr>
        <w:tc>
          <w:tcPr>
            <w:tcW w:w="2551" w:type="dxa"/>
            <w:tcBorders>
              <w:top w:val="single" w:sz="4" w:space="0" w:color="auto"/>
              <w:left w:val="nil"/>
              <w:bottom w:val="single" w:sz="4" w:space="0" w:color="auto"/>
              <w:right w:val="nil"/>
            </w:tcBorders>
            <w:shd w:val="clear" w:color="000000" w:fill="9CC2E5"/>
            <w:noWrap/>
            <w:vAlign w:val="center"/>
            <w:hideMark/>
          </w:tcPr>
          <w:p w14:paraId="54ED53E3" w14:textId="77777777" w:rsidR="00F318D9" w:rsidRPr="0097255E" w:rsidRDefault="00F318D9" w:rsidP="00F318D9">
            <w:pPr>
              <w:spacing w:after="0"/>
              <w:ind w:firstLine="0"/>
              <w:jc w:val="left"/>
              <w:rPr>
                <w:color w:val="000000"/>
                <w:sz w:val="18"/>
                <w:szCs w:val="18"/>
                <w:rFonts w:ascii="Arial" w:hAnsi="Arial" w:cs="Arial"/>
              </w:rPr>
            </w:pPr>
            <w:r>
              <w:rPr>
                <w:color w:val="000000"/>
                <w:sz w:val="18"/>
                <w:rFonts w:ascii="Arial" w:hAnsi="Arial"/>
              </w:rPr>
              <w:t xml:space="preserve"> </w:t>
            </w:r>
          </w:p>
        </w:tc>
        <w:tc>
          <w:tcPr>
            <w:tcW w:w="1134" w:type="dxa"/>
            <w:tcBorders>
              <w:top w:val="single" w:sz="4" w:space="0" w:color="auto"/>
              <w:left w:val="nil"/>
              <w:bottom w:val="single" w:sz="4" w:space="0" w:color="auto"/>
              <w:right w:val="nil"/>
            </w:tcBorders>
            <w:shd w:val="clear" w:color="000000" w:fill="9CC2E5"/>
            <w:noWrap/>
            <w:vAlign w:val="center"/>
            <w:hideMark/>
          </w:tcPr>
          <w:p w14:paraId="2FB80156"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Emanda</w:t>
            </w:r>
          </w:p>
        </w:tc>
        <w:tc>
          <w:tcPr>
            <w:tcW w:w="1418" w:type="dxa"/>
            <w:tcBorders>
              <w:top w:val="single" w:sz="4" w:space="0" w:color="auto"/>
              <w:left w:val="nil"/>
              <w:bottom w:val="single" w:sz="4" w:space="0" w:color="auto"/>
              <w:right w:val="nil"/>
            </w:tcBorders>
            <w:shd w:val="clear" w:color="000000" w:fill="9CC2E5"/>
            <w:noWrap/>
            <w:vAlign w:val="center"/>
            <w:hideMark/>
          </w:tcPr>
          <w:p w14:paraId="4117F9DD"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Ordainduta 2022/12/31</w:t>
            </w:r>
          </w:p>
        </w:tc>
        <w:tc>
          <w:tcPr>
            <w:tcW w:w="1417" w:type="dxa"/>
            <w:tcBorders>
              <w:top w:val="single" w:sz="4" w:space="0" w:color="auto"/>
              <w:left w:val="nil"/>
              <w:bottom w:val="single" w:sz="4" w:space="0" w:color="auto"/>
              <w:right w:val="nil"/>
            </w:tcBorders>
            <w:shd w:val="clear" w:color="000000" w:fill="9CC2E5"/>
            <w:vAlign w:val="center"/>
          </w:tcPr>
          <w:p w14:paraId="4FD960E9"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Ordainduta 2023/06/30</w:t>
            </w:r>
          </w:p>
        </w:tc>
        <w:tc>
          <w:tcPr>
            <w:tcW w:w="964" w:type="dxa"/>
            <w:tcBorders>
              <w:top w:val="single" w:sz="4" w:space="0" w:color="auto"/>
              <w:left w:val="nil"/>
              <w:bottom w:val="single" w:sz="4" w:space="0" w:color="auto"/>
              <w:right w:val="nil"/>
            </w:tcBorders>
            <w:shd w:val="clear" w:color="000000" w:fill="9CC2E5"/>
            <w:vAlign w:val="center"/>
            <w:hideMark/>
          </w:tcPr>
          <w:p w14:paraId="6167AB60"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Interesak</w:t>
            </w:r>
          </w:p>
        </w:tc>
        <w:tc>
          <w:tcPr>
            <w:tcW w:w="1021" w:type="dxa"/>
            <w:tcBorders>
              <w:top w:val="single" w:sz="4" w:space="0" w:color="auto"/>
              <w:left w:val="nil"/>
              <w:bottom w:val="single" w:sz="4" w:space="0" w:color="auto"/>
              <w:right w:val="nil"/>
            </w:tcBorders>
            <w:shd w:val="clear" w:color="000000" w:fill="9CC2E5"/>
            <w:noWrap/>
            <w:vAlign w:val="center"/>
            <w:hideMark/>
          </w:tcPr>
          <w:p w14:paraId="61266ED2"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Muga</w:t>
            </w:r>
          </w:p>
          <w:p w14:paraId="1A764C2D"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eguna</w:t>
            </w:r>
          </w:p>
        </w:tc>
      </w:tr>
      <w:tr w:rsidR="00F318D9" w:rsidRPr="0097255E" w14:paraId="18A7C277" w14:textId="77777777" w:rsidTr="00F318D9">
        <w:trPr>
          <w:trHeight w:val="198"/>
          <w:jc w:val="center"/>
        </w:trPr>
        <w:tc>
          <w:tcPr>
            <w:tcW w:w="2551" w:type="dxa"/>
            <w:tcBorders>
              <w:top w:val="single" w:sz="4" w:space="0" w:color="auto"/>
              <w:left w:val="nil"/>
              <w:bottom w:val="single" w:sz="2" w:space="0" w:color="auto"/>
              <w:right w:val="nil"/>
            </w:tcBorders>
            <w:shd w:val="clear" w:color="auto" w:fill="auto"/>
            <w:vAlign w:val="center"/>
            <w:hideMark/>
          </w:tcPr>
          <w:p w14:paraId="286CE1E2" w14:textId="77777777" w:rsidR="00F318D9" w:rsidRPr="0097255E" w:rsidRDefault="00F318D9" w:rsidP="00F318D9">
            <w:pPr>
              <w:spacing w:after="0"/>
              <w:ind w:firstLine="0"/>
              <w:jc w:val="left"/>
              <w:rPr>
                <w:color w:val="000000"/>
                <w:sz w:val="18"/>
                <w:szCs w:val="18"/>
                <w:rFonts w:ascii="Arial Narrow" w:hAnsi="Arial Narrow" w:cs="Calibri"/>
              </w:rPr>
            </w:pPr>
            <w:r>
              <w:rPr>
                <w:color w:val="000000"/>
                <w:sz w:val="18"/>
                <w:rFonts w:ascii="Arial Narrow" w:hAnsi="Arial Narrow"/>
              </w:rPr>
              <w:t xml:space="preserve">Maileguak 2005-2019 +2021+2022</w:t>
            </w:r>
          </w:p>
        </w:tc>
        <w:tc>
          <w:tcPr>
            <w:tcW w:w="1134" w:type="dxa"/>
            <w:tcBorders>
              <w:top w:val="single" w:sz="4" w:space="0" w:color="auto"/>
              <w:left w:val="nil"/>
              <w:bottom w:val="single" w:sz="2" w:space="0" w:color="auto"/>
              <w:right w:val="nil"/>
            </w:tcBorders>
            <w:shd w:val="clear" w:color="auto" w:fill="auto"/>
            <w:noWrap/>
            <w:vAlign w:val="center"/>
            <w:hideMark/>
          </w:tcPr>
          <w:p w14:paraId="74225731"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1418" w:type="dxa"/>
            <w:tcBorders>
              <w:top w:val="single" w:sz="4" w:space="0" w:color="auto"/>
              <w:left w:val="nil"/>
              <w:bottom w:val="single" w:sz="2" w:space="0" w:color="auto"/>
              <w:right w:val="nil"/>
            </w:tcBorders>
            <w:shd w:val="clear" w:color="auto" w:fill="auto"/>
            <w:noWrap/>
            <w:vAlign w:val="center"/>
            <w:hideMark/>
          </w:tcPr>
          <w:p w14:paraId="6477E690"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1417" w:type="dxa"/>
            <w:tcBorders>
              <w:top w:val="single" w:sz="4" w:space="0" w:color="auto"/>
              <w:left w:val="nil"/>
              <w:bottom w:val="single" w:sz="2" w:space="0" w:color="auto"/>
              <w:right w:val="nil"/>
            </w:tcBorders>
            <w:vAlign w:val="center"/>
          </w:tcPr>
          <w:p w14:paraId="66D51493"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964" w:type="dxa"/>
            <w:tcBorders>
              <w:top w:val="single" w:sz="4" w:space="0" w:color="auto"/>
              <w:left w:val="nil"/>
              <w:bottom w:val="single" w:sz="2" w:space="0" w:color="auto"/>
              <w:right w:val="nil"/>
            </w:tcBorders>
            <w:shd w:val="clear" w:color="auto" w:fill="auto"/>
            <w:vAlign w:val="center"/>
            <w:hideMark/>
          </w:tcPr>
          <w:p w14:paraId="17834BAF"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25</w:t>
            </w:r>
          </w:p>
        </w:tc>
        <w:tc>
          <w:tcPr>
            <w:tcW w:w="1021" w:type="dxa"/>
            <w:tcBorders>
              <w:top w:val="single" w:sz="4" w:space="0" w:color="auto"/>
              <w:left w:val="nil"/>
              <w:bottom w:val="single" w:sz="2" w:space="0" w:color="auto"/>
              <w:right w:val="nil"/>
            </w:tcBorders>
            <w:shd w:val="clear" w:color="auto" w:fill="auto"/>
            <w:vAlign w:val="center"/>
            <w:hideMark/>
          </w:tcPr>
          <w:p w14:paraId="22FB2ADA"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2027/03/15</w:t>
            </w:r>
          </w:p>
        </w:tc>
      </w:tr>
      <w:tr w:rsidR="00F318D9" w:rsidRPr="0097255E" w14:paraId="5DAA7291" w14:textId="77777777" w:rsidTr="00F318D9">
        <w:trPr>
          <w:trHeight w:val="198"/>
          <w:jc w:val="center"/>
        </w:trPr>
        <w:tc>
          <w:tcPr>
            <w:tcW w:w="2551" w:type="dxa"/>
            <w:tcBorders>
              <w:top w:val="single" w:sz="2" w:space="0" w:color="auto"/>
              <w:left w:val="nil"/>
              <w:bottom w:val="single" w:sz="2" w:space="0" w:color="auto"/>
              <w:right w:val="nil"/>
            </w:tcBorders>
            <w:shd w:val="clear" w:color="auto" w:fill="auto"/>
            <w:vAlign w:val="center"/>
            <w:hideMark/>
          </w:tcPr>
          <w:p w14:paraId="76DC1DD4" w14:textId="77777777" w:rsidR="00F318D9" w:rsidRDefault="00474317" w:rsidP="00F318D9">
            <w:pPr>
              <w:spacing w:after="0"/>
              <w:ind w:firstLine="0"/>
              <w:jc w:val="left"/>
              <w:rPr>
                <w:color w:val="000000"/>
                <w:sz w:val="18"/>
                <w:szCs w:val="18"/>
                <w:rFonts w:ascii="Arial Narrow" w:hAnsi="Arial Narrow" w:cs="Calibri"/>
              </w:rPr>
            </w:pPr>
            <w:r>
              <w:rPr>
                <w:color w:val="000000"/>
                <w:sz w:val="18"/>
                <w:rFonts w:ascii="Arial Narrow" w:hAnsi="Arial Narrow"/>
              </w:rPr>
              <w:t xml:space="preserve">Mailegua 2020 + Plan Estrategikoko</w:t>
            </w:r>
            <w:r>
              <w:rPr>
                <w:color w:val="000000"/>
                <w:sz w:val="18"/>
                <w:rFonts w:ascii="Arial Narrow" w:hAnsi="Arial Narrow"/>
              </w:rPr>
              <w:t xml:space="preserve"> </w:t>
            </w:r>
          </w:p>
          <w:p w14:paraId="75713C9B" w14:textId="77777777" w:rsidR="00F318D9" w:rsidRPr="0097255E" w:rsidRDefault="00F318D9" w:rsidP="00F318D9">
            <w:pPr>
              <w:spacing w:after="0"/>
              <w:ind w:firstLine="0"/>
              <w:jc w:val="left"/>
              <w:rPr>
                <w:color w:val="000000"/>
                <w:sz w:val="18"/>
                <w:szCs w:val="18"/>
                <w:rFonts w:ascii="Arial Narrow" w:hAnsi="Arial Narrow" w:cs="Calibri"/>
              </w:rPr>
            </w:pPr>
            <w:r>
              <w:rPr>
                <w:color w:val="000000"/>
                <w:sz w:val="18"/>
                <w:rFonts w:ascii="Arial Narrow" w:hAnsi="Arial Narrow"/>
              </w:rPr>
              <w:t xml:space="preserve">inbertsioa</w:t>
            </w:r>
          </w:p>
        </w:tc>
        <w:tc>
          <w:tcPr>
            <w:tcW w:w="1134" w:type="dxa"/>
            <w:tcBorders>
              <w:top w:val="single" w:sz="2" w:space="0" w:color="auto"/>
              <w:left w:val="nil"/>
              <w:bottom w:val="single" w:sz="2" w:space="0" w:color="auto"/>
              <w:right w:val="nil"/>
            </w:tcBorders>
            <w:shd w:val="clear" w:color="auto" w:fill="auto"/>
            <w:noWrap/>
            <w:vAlign w:val="center"/>
            <w:hideMark/>
          </w:tcPr>
          <w:p w14:paraId="142F0A69"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5.900</w:t>
            </w:r>
          </w:p>
        </w:tc>
        <w:tc>
          <w:tcPr>
            <w:tcW w:w="1418" w:type="dxa"/>
            <w:tcBorders>
              <w:top w:val="single" w:sz="2" w:space="0" w:color="auto"/>
              <w:left w:val="nil"/>
              <w:bottom w:val="single" w:sz="2" w:space="0" w:color="auto"/>
              <w:right w:val="nil"/>
            </w:tcBorders>
            <w:shd w:val="clear" w:color="auto" w:fill="auto"/>
            <w:noWrap/>
            <w:vAlign w:val="center"/>
            <w:hideMark/>
          </w:tcPr>
          <w:p w14:paraId="6BAF1A9C"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5.893</w:t>
            </w:r>
          </w:p>
        </w:tc>
        <w:tc>
          <w:tcPr>
            <w:tcW w:w="1417" w:type="dxa"/>
            <w:tcBorders>
              <w:top w:val="single" w:sz="2" w:space="0" w:color="auto"/>
              <w:left w:val="nil"/>
              <w:bottom w:val="single" w:sz="2" w:space="0" w:color="auto"/>
              <w:right w:val="nil"/>
            </w:tcBorders>
            <w:vAlign w:val="center"/>
          </w:tcPr>
          <w:p w14:paraId="379CC2EA"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5.893</w:t>
            </w:r>
          </w:p>
        </w:tc>
        <w:tc>
          <w:tcPr>
            <w:tcW w:w="964" w:type="dxa"/>
            <w:tcBorders>
              <w:top w:val="single" w:sz="2" w:space="0" w:color="auto"/>
              <w:left w:val="nil"/>
              <w:bottom w:val="single" w:sz="2" w:space="0" w:color="auto"/>
              <w:right w:val="nil"/>
            </w:tcBorders>
            <w:shd w:val="clear" w:color="auto" w:fill="auto"/>
            <w:vAlign w:val="center"/>
            <w:hideMark/>
          </w:tcPr>
          <w:p w14:paraId="13EE68BF"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163</w:t>
            </w:r>
          </w:p>
        </w:tc>
        <w:tc>
          <w:tcPr>
            <w:tcW w:w="1021" w:type="dxa"/>
            <w:tcBorders>
              <w:top w:val="single" w:sz="2" w:space="0" w:color="auto"/>
              <w:left w:val="nil"/>
              <w:bottom w:val="single" w:sz="2" w:space="0" w:color="auto"/>
              <w:right w:val="nil"/>
            </w:tcBorders>
            <w:shd w:val="clear" w:color="auto" w:fill="auto"/>
            <w:vAlign w:val="center"/>
            <w:hideMark/>
          </w:tcPr>
          <w:p w14:paraId="3C3523C8"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2025/05/31</w:t>
            </w:r>
          </w:p>
        </w:tc>
      </w:tr>
      <w:tr w:rsidR="00F318D9" w:rsidRPr="0097255E" w14:paraId="0DBFCABA" w14:textId="77777777" w:rsidTr="00F318D9">
        <w:trPr>
          <w:trHeight w:val="198"/>
          <w:jc w:val="center"/>
        </w:trPr>
        <w:tc>
          <w:tcPr>
            <w:tcW w:w="2551" w:type="dxa"/>
            <w:tcBorders>
              <w:top w:val="single" w:sz="2" w:space="0" w:color="auto"/>
              <w:left w:val="nil"/>
              <w:bottom w:val="single" w:sz="4" w:space="0" w:color="auto"/>
              <w:right w:val="nil"/>
            </w:tcBorders>
            <w:shd w:val="clear" w:color="auto" w:fill="auto"/>
            <w:vAlign w:val="center"/>
            <w:hideMark/>
          </w:tcPr>
          <w:p w14:paraId="6EFA0661" w14:textId="77777777" w:rsidR="00F318D9" w:rsidRPr="0097255E" w:rsidRDefault="00F318D9" w:rsidP="00F318D9">
            <w:pPr>
              <w:spacing w:after="0"/>
              <w:ind w:firstLine="0"/>
              <w:jc w:val="left"/>
              <w:rPr>
                <w:color w:val="000000"/>
                <w:sz w:val="18"/>
                <w:szCs w:val="18"/>
                <w:rFonts w:ascii="Arial Narrow" w:hAnsi="Arial Narrow" w:cs="Calibri"/>
              </w:rPr>
            </w:pPr>
            <w:r>
              <w:rPr>
                <w:color w:val="000000"/>
                <w:sz w:val="18"/>
                <w:rFonts w:ascii="Arial Narrow" w:hAnsi="Arial Narrow"/>
              </w:rPr>
              <w:t xml:space="preserve">Mailegua, sutea dela-eta 2022</w:t>
            </w:r>
          </w:p>
        </w:tc>
        <w:tc>
          <w:tcPr>
            <w:tcW w:w="1134" w:type="dxa"/>
            <w:tcBorders>
              <w:top w:val="single" w:sz="2" w:space="0" w:color="auto"/>
              <w:left w:val="nil"/>
              <w:bottom w:val="single" w:sz="4" w:space="0" w:color="auto"/>
              <w:right w:val="nil"/>
            </w:tcBorders>
            <w:shd w:val="clear" w:color="auto" w:fill="auto"/>
            <w:noWrap/>
            <w:vAlign w:val="center"/>
            <w:hideMark/>
          </w:tcPr>
          <w:p w14:paraId="08D3B20D"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1.500</w:t>
            </w:r>
          </w:p>
        </w:tc>
        <w:tc>
          <w:tcPr>
            <w:tcW w:w="1418" w:type="dxa"/>
            <w:tcBorders>
              <w:top w:val="single" w:sz="2" w:space="0" w:color="auto"/>
              <w:left w:val="nil"/>
              <w:bottom w:val="single" w:sz="4" w:space="0" w:color="auto"/>
              <w:right w:val="nil"/>
            </w:tcBorders>
            <w:shd w:val="clear" w:color="auto" w:fill="auto"/>
            <w:noWrap/>
            <w:vAlign w:val="center"/>
            <w:hideMark/>
          </w:tcPr>
          <w:p w14:paraId="3C62451C"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107</w:t>
            </w:r>
          </w:p>
        </w:tc>
        <w:tc>
          <w:tcPr>
            <w:tcW w:w="1417" w:type="dxa"/>
            <w:tcBorders>
              <w:top w:val="single" w:sz="2" w:space="0" w:color="auto"/>
              <w:left w:val="nil"/>
              <w:bottom w:val="single" w:sz="4" w:space="0" w:color="auto"/>
              <w:right w:val="nil"/>
            </w:tcBorders>
            <w:vAlign w:val="center"/>
          </w:tcPr>
          <w:p w14:paraId="21021957"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1.364</w:t>
            </w:r>
          </w:p>
        </w:tc>
        <w:tc>
          <w:tcPr>
            <w:tcW w:w="964" w:type="dxa"/>
            <w:tcBorders>
              <w:top w:val="single" w:sz="2" w:space="0" w:color="auto"/>
              <w:left w:val="nil"/>
              <w:bottom w:val="single" w:sz="4" w:space="0" w:color="auto"/>
              <w:right w:val="nil"/>
            </w:tcBorders>
            <w:shd w:val="clear" w:color="auto" w:fill="auto"/>
            <w:vAlign w:val="center"/>
            <w:hideMark/>
          </w:tcPr>
          <w:p w14:paraId="6892F419"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021" w:type="dxa"/>
            <w:tcBorders>
              <w:top w:val="single" w:sz="2" w:space="0" w:color="auto"/>
              <w:left w:val="nil"/>
              <w:bottom w:val="single" w:sz="4" w:space="0" w:color="auto"/>
              <w:right w:val="nil"/>
            </w:tcBorders>
            <w:shd w:val="clear" w:color="auto" w:fill="auto"/>
            <w:vAlign w:val="center"/>
            <w:hideMark/>
          </w:tcPr>
          <w:p w14:paraId="68AB4696" w14:textId="77777777" w:rsidR="00F318D9" w:rsidRPr="0097255E" w:rsidRDefault="00F318D9" w:rsidP="00F318D9">
            <w:pPr>
              <w:spacing w:after="0"/>
              <w:ind w:firstLine="0"/>
              <w:jc w:val="right"/>
              <w:rPr>
                <w:color w:val="000000"/>
                <w:sz w:val="18"/>
                <w:szCs w:val="18"/>
                <w:rFonts w:ascii="Arial Narrow" w:hAnsi="Arial Narrow" w:cs="Calibri"/>
              </w:rPr>
            </w:pPr>
            <w:r>
              <w:rPr>
                <w:color w:val="000000"/>
                <w:sz w:val="18"/>
                <w:rFonts w:ascii="Arial Narrow" w:hAnsi="Arial Narrow"/>
              </w:rPr>
              <w:t xml:space="preserve">2034/12/01</w:t>
            </w:r>
          </w:p>
        </w:tc>
      </w:tr>
      <w:tr w:rsidR="00F318D9" w:rsidRPr="0097255E" w14:paraId="45FF00C4" w14:textId="77777777" w:rsidTr="00F318D9">
        <w:trPr>
          <w:trHeight w:val="255"/>
          <w:jc w:val="center"/>
        </w:trPr>
        <w:tc>
          <w:tcPr>
            <w:tcW w:w="2551" w:type="dxa"/>
            <w:tcBorders>
              <w:top w:val="single" w:sz="4" w:space="0" w:color="auto"/>
              <w:left w:val="nil"/>
              <w:bottom w:val="single" w:sz="4" w:space="0" w:color="auto"/>
              <w:right w:val="nil"/>
            </w:tcBorders>
            <w:shd w:val="clear" w:color="000000" w:fill="9CC2E5"/>
            <w:vAlign w:val="center"/>
            <w:hideMark/>
          </w:tcPr>
          <w:p w14:paraId="11D0FA12" w14:textId="77777777" w:rsidR="00F318D9" w:rsidRPr="0097255E" w:rsidRDefault="00F318D9" w:rsidP="00F318D9">
            <w:pPr>
              <w:spacing w:after="0"/>
              <w:ind w:firstLine="0"/>
              <w:jc w:val="left"/>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Guztira</w:t>
            </w:r>
          </w:p>
        </w:tc>
        <w:tc>
          <w:tcPr>
            <w:tcW w:w="1134" w:type="dxa"/>
            <w:tcBorders>
              <w:top w:val="single" w:sz="4" w:space="0" w:color="auto"/>
              <w:left w:val="nil"/>
              <w:bottom w:val="single" w:sz="4" w:space="0" w:color="auto"/>
              <w:right w:val="nil"/>
            </w:tcBorders>
            <w:shd w:val="clear" w:color="000000" w:fill="9CC2E5"/>
            <w:noWrap/>
            <w:vAlign w:val="center"/>
            <w:hideMark/>
          </w:tcPr>
          <w:p w14:paraId="1916365E"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79.504</w:t>
            </w:r>
          </w:p>
        </w:tc>
        <w:tc>
          <w:tcPr>
            <w:tcW w:w="1418" w:type="dxa"/>
            <w:tcBorders>
              <w:top w:val="single" w:sz="4" w:space="0" w:color="auto"/>
              <w:left w:val="nil"/>
              <w:bottom w:val="single" w:sz="4" w:space="0" w:color="auto"/>
              <w:right w:val="nil"/>
            </w:tcBorders>
            <w:shd w:val="clear" w:color="000000" w:fill="9CC2E5"/>
            <w:noWrap/>
            <w:vAlign w:val="center"/>
            <w:hideMark/>
          </w:tcPr>
          <w:p w14:paraId="043085F9"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78.104</w:t>
            </w:r>
          </w:p>
        </w:tc>
        <w:tc>
          <w:tcPr>
            <w:tcW w:w="1417" w:type="dxa"/>
            <w:tcBorders>
              <w:top w:val="single" w:sz="4" w:space="0" w:color="auto"/>
              <w:left w:val="nil"/>
              <w:bottom w:val="single" w:sz="4" w:space="0" w:color="auto"/>
              <w:right w:val="nil"/>
            </w:tcBorders>
            <w:shd w:val="clear" w:color="000000" w:fill="9CC2E5"/>
            <w:vAlign w:val="center"/>
          </w:tcPr>
          <w:p w14:paraId="5490626B"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79.361</w:t>
            </w:r>
          </w:p>
        </w:tc>
        <w:tc>
          <w:tcPr>
            <w:tcW w:w="964" w:type="dxa"/>
            <w:tcBorders>
              <w:top w:val="single" w:sz="4" w:space="0" w:color="auto"/>
              <w:left w:val="nil"/>
              <w:bottom w:val="single" w:sz="4" w:space="0" w:color="auto"/>
              <w:right w:val="nil"/>
            </w:tcBorders>
            <w:shd w:val="clear" w:color="000000" w:fill="9CC2E5"/>
            <w:vAlign w:val="center"/>
            <w:hideMark/>
          </w:tcPr>
          <w:p w14:paraId="421C8F38"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188</w:t>
            </w:r>
          </w:p>
        </w:tc>
        <w:tc>
          <w:tcPr>
            <w:tcW w:w="1021" w:type="dxa"/>
            <w:tcBorders>
              <w:top w:val="single" w:sz="4" w:space="0" w:color="auto"/>
              <w:left w:val="nil"/>
              <w:bottom w:val="single" w:sz="4" w:space="0" w:color="auto"/>
              <w:right w:val="nil"/>
            </w:tcBorders>
            <w:shd w:val="clear" w:color="000000" w:fill="9CC2E5"/>
            <w:noWrap/>
            <w:vAlign w:val="center"/>
            <w:hideMark/>
          </w:tcPr>
          <w:p w14:paraId="5CAF23D8" w14:textId="77777777" w:rsidR="00F318D9" w:rsidRPr="0097255E" w:rsidRDefault="00F318D9" w:rsidP="00F318D9">
            <w:pPr>
              <w:spacing w:after="0"/>
              <w:ind w:firstLine="0"/>
              <w:jc w:val="right"/>
              <w:rPr>
                <w:color w:val="000000"/>
                <w:sz w:val="18"/>
                <w:szCs w:val="18"/>
                <w:rFonts w:ascii="Arial" w:hAnsi="Arial" w:cs="Arial"/>
              </w:rPr>
            </w:pPr>
            <w:r>
              <w:rPr>
                <w:color w:val="000000"/>
                <w:sz w:val="18"/>
                <w:rFonts w:ascii="Arial" w:hAnsi="Arial"/>
              </w:rPr>
              <w:t xml:space="preserve"> </w:t>
            </w:r>
          </w:p>
        </w:tc>
      </w:tr>
    </w:tbl>
    <w:p w14:paraId="62CD3D3D" w14:textId="77777777" w:rsidR="00F318D9" w:rsidRPr="00C372CC" w:rsidRDefault="00F318D9" w:rsidP="00F318D9">
      <w:pPr>
        <w:pStyle w:val="texto"/>
        <w:tabs>
          <w:tab w:val="clear" w:pos="2835"/>
          <w:tab w:val="clear" w:pos="3969"/>
          <w:tab w:val="clear" w:pos="5103"/>
          <w:tab w:val="clear" w:pos="6237"/>
          <w:tab w:val="clear" w:pos="7371"/>
          <w:tab w:val="left" w:pos="480"/>
        </w:tabs>
        <w:rPr>
          <w:rFonts w:cs="Arial"/>
        </w:rPr>
      </w:pPr>
    </w:p>
    <w:p w14:paraId="76B3256C" w14:textId="77777777" w:rsidR="00F318D9" w:rsidRPr="00C372CC" w:rsidRDefault="00F318D9" w:rsidP="005E4FA5">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Maileguak emateko urteroko baimen-eskaeretan, Sodenak adierazi izan du mailegu horiek kobraezin gisa hornitzen direla osorik.</w:t>
      </w:r>
      <w:r>
        <w:t xml:space="preserve"> </w:t>
      </w:r>
      <w:r>
        <w:t xml:space="preserve">Kontu horri dagokionez, atentzioa ematen du oraindik ageri direla 22,51 milioiko mailegu berreskuragarriak, nahiz eta eskaeretan kobraezintzat jotzen ziren, eta ez dela bideragarritasun planik egin haiek itzultzeko, eta Parquenasak berak zer nolako finantza egoera duen.</w:t>
      </w:r>
      <w:r>
        <w:t xml:space="preserve"> </w:t>
      </w:r>
    </w:p>
    <w:p w14:paraId="51AF9F63"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Partaidetza-mailegua ezaugarri espezifikoak dituen finantzaketa mota da, eta ezaugarri horiek mailegu arruntetik bereizten dute. Honako hauek nabarmentzen ditugu:</w:t>
      </w:r>
    </w:p>
    <w:p w14:paraId="59827C3E" w14:textId="77777777" w:rsidR="00F87E58" w:rsidRPr="007C6524" w:rsidRDefault="00F87E58" w:rsidP="00F87E58">
      <w:pPr>
        <w:pStyle w:val="texto"/>
        <w:numPr>
          <w:ilvl w:val="0"/>
          <w:numId w:val="41"/>
        </w:numPr>
        <w:tabs>
          <w:tab w:val="clear" w:pos="2835"/>
          <w:tab w:val="clear" w:pos="3969"/>
          <w:tab w:val="clear" w:pos="5103"/>
          <w:tab w:val="clear" w:pos="6237"/>
          <w:tab w:val="clear" w:pos="7371"/>
          <w:tab w:val="left" w:pos="284"/>
          <w:tab w:val="left" w:pos="426"/>
        </w:tabs>
        <w:spacing w:after="100"/>
        <w:rPr>
          <w:color w:val="000000"/>
          <w:szCs w:val="26"/>
        </w:rPr>
      </w:pPr>
      <w:r>
        <w:t xml:space="preserve">Partaidetza-maileguak ondare garbitzat jotzen dira, merkataritzako legerian aurreikusten diren kapital-murrizketari eta sozietateen likidazioari dagokienez.</w:t>
      </w:r>
      <w:r>
        <w:t xml:space="preserve"> </w:t>
      </w:r>
    </w:p>
    <w:p w14:paraId="7DE54A36" w14:textId="77777777" w:rsidR="00F87E58" w:rsidRDefault="00F87E58" w:rsidP="00F87E58">
      <w:pPr>
        <w:pStyle w:val="texto"/>
        <w:numPr>
          <w:ilvl w:val="0"/>
          <w:numId w:val="41"/>
        </w:numPr>
        <w:tabs>
          <w:tab w:val="clear" w:pos="2835"/>
          <w:tab w:val="clear" w:pos="3969"/>
          <w:tab w:val="clear" w:pos="5103"/>
          <w:tab w:val="clear" w:pos="6237"/>
          <w:tab w:val="clear" w:pos="7371"/>
          <w:tab w:val="left" w:pos="284"/>
          <w:tab w:val="left" w:pos="426"/>
        </w:tabs>
        <w:spacing w:after="100"/>
        <w:rPr>
          <w:szCs w:val="26"/>
        </w:rPr>
      </w:pPr>
      <w:r>
        <w:t xml:space="preserve">Kapitalizazioaren bitartez amortizazio aurreratua egin daiteke. Horretarako enpresaren kapitala handitu behar da amortizatzen den maileguaren zenbatekoa gehituz.</w:t>
      </w:r>
      <w:r>
        <w:t xml:space="preserve"> </w:t>
      </w:r>
    </w:p>
    <w:p w14:paraId="605CE4D7" w14:textId="77777777" w:rsidR="00E83417" w:rsidRPr="00C372CC" w:rsidRDefault="00E83417" w:rsidP="00F87E58">
      <w:pPr>
        <w:pStyle w:val="texto"/>
        <w:rPr>
          <w:rFonts w:cs="Arial"/>
        </w:rPr>
      </w:pPr>
      <w:r>
        <w:t xml:space="preserve">Hala ere, partaidetza-mailegua izan arren, itzuli beharrekoa da, bere izaera juridikoak hala eskatzen duelako.</w:t>
      </w:r>
      <w:r>
        <w:t xml:space="preserve"> </w:t>
      </w:r>
    </w:p>
    <w:p w14:paraId="66C3E33F" w14:textId="77777777" w:rsidR="00F87E58" w:rsidRDefault="00F87E58" w:rsidP="00F87E58">
      <w:pPr>
        <w:pStyle w:val="texto"/>
      </w:pPr>
      <w:r>
        <w:t xml:space="preserve">Sodena eta Parquenasaren arteko 2005eko abenduaren 30eko finantzaketa kontratuak kapitalizazioa mugatzen du halako moduan non Sodenak ezin baitu % 50etik gorako partaidetza izan kapital sozialean.</w:t>
      </w:r>
      <w:r>
        <w:t xml:space="preserve"> </w:t>
      </w:r>
      <w:r>
        <w:t xml:space="preserve">Nicdori saldu arte jada % 45eko partaidetza zuenez, muga horrek ondorio hau zekarren: gehieneko zenbateko kapitalizagarria, balio izendunean, kapital sozialaren % 5 izatea, hau da, 90.000 euro.</w:t>
      </w:r>
      <w:r>
        <w:t xml:space="preserve"> </w:t>
      </w:r>
      <w:r>
        <w:t xml:space="preserve">Halaber, sozietatearen Batzar Orokorraren onespena behar litzateke.</w:t>
      </w:r>
      <w:r>
        <w:t xml:space="preserve"> </w:t>
      </w:r>
    </w:p>
    <w:p w14:paraId="03F1CB3F" w14:textId="77777777" w:rsidR="00F87E58" w:rsidRDefault="00F87E58" w:rsidP="00F87E58">
      <w:pPr>
        <w:pStyle w:val="texto"/>
      </w:pPr>
      <w:r>
        <w:t xml:space="preserve">Muga horiek galarazi dute partaidetza-mailegu gisa emandako 56,80 milioiak balio izendunean kapitalizatzea.</w:t>
      </w:r>
      <w:r>
        <w:t xml:space="preserve"> </w:t>
      </w:r>
    </w:p>
    <w:p w14:paraId="6E0EDDD1" w14:textId="77777777" w:rsidR="00F87E58" w:rsidRDefault="002523A8" w:rsidP="005E4FA5">
      <w:pPr>
        <w:pStyle w:val="texto"/>
        <w:rPr>
          <w:szCs w:val="26"/>
        </w:rPr>
      </w:pPr>
      <w:r>
        <w:t xml:space="preserve">Merkataritzako araudian partaidetza-maileguak ondare garbitzat jotzearen helburua da saneamendua ahalbidetzea kontabilitate-ondorioetarako.</w:t>
      </w:r>
      <w:r>
        <w:t xml:space="preserve"> </w:t>
      </w:r>
      <w:r>
        <w:t xml:space="preserve">Horrela, enpresei aukera ematen zaie nahitaezko desegitea geroratzeko, eta errazago suspertzen ahal dira.</w:t>
      </w:r>
      <w:r>
        <w:t xml:space="preserve"> </w:t>
      </w:r>
      <w:r>
        <w:t xml:space="preserve">Helburua ezin da izan egoera horrek mugarik gabe irautea, ordea.</w:t>
      </w:r>
      <w:r>
        <w:t xml:space="preserve"> </w:t>
      </w:r>
      <w:r>
        <w:t xml:space="preserve">Parquenasak 18 urte daramatza egoera horretan.</w:t>
      </w:r>
      <w:r>
        <w:t xml:space="preserve"> </w:t>
      </w:r>
    </w:p>
    <w:p w14:paraId="4B608207" w14:textId="77777777" w:rsidR="00C372CC" w:rsidRPr="004E14C8" w:rsidRDefault="00C372CC" w:rsidP="005E4FA5">
      <w:pPr>
        <w:pStyle w:val="texto"/>
        <w:rPr>
          <w:szCs w:val="26"/>
        </w:rPr>
      </w:pPr>
      <w:r>
        <w:t xml:space="preserve">Beraz, kontabilitateko tratamendua gorabehera, eta Parquenasaren finantza egoera kontuan hartuta, errealitatea da mailegu horiek ezin izanen direla itzuli muga-egunean.</w:t>
      </w:r>
      <w:r>
        <w:t xml:space="preserve"> </w:t>
      </w:r>
    </w:p>
    <w:p w14:paraId="50691DFC" w14:textId="77777777" w:rsidR="00F87E58" w:rsidRPr="00584F7F" w:rsidRDefault="00F87E58" w:rsidP="00F87E58">
      <w:pPr>
        <w:pStyle w:val="atitulo3"/>
        <w:spacing w:before="240"/>
      </w:pPr>
      <w:r>
        <w:t xml:space="preserve">C.- Aztertzea zer aukera dagoen gainerako bazkideei beren jabetzako kapital sozialaren arabera egin behar zituzketen ekarpenak erreklamatzen saiatzeko.</w:t>
      </w:r>
    </w:p>
    <w:p w14:paraId="6BB02569" w14:textId="77777777" w:rsidR="00F87E58" w:rsidRPr="001F29D8" w:rsidRDefault="00F87E58" w:rsidP="00F87E58">
      <w:pPr>
        <w:pStyle w:val="texto"/>
        <w:rPr>
          <w:rFonts w:cs="Arial"/>
        </w:rPr>
      </w:pPr>
      <w:r>
        <w:t xml:space="preserve">Sodenak Parquenasari egin dizkion ekarpen finantzarioak kapitala eta maileguak izan dira, eta 2005az geroztik Sodena izan da sozietateko bazkide mailegu-emaile bakarra.</w:t>
      </w:r>
      <w:r>
        <w:t xml:space="preserve"> </w:t>
      </w:r>
      <w:r>
        <w:t xml:space="preserve">Egoera horren abiapuntuan 2005eko urtarrilaren 31ko eta abenduaren 30eko finantzaketa kontratuak daude, Sodenak eta Parquenasak sinatuak.</w:t>
      </w:r>
      <w:r>
        <w:t xml:space="preserve"> </w:t>
      </w:r>
      <w:r>
        <w:t xml:space="preserve">Kontratu horiek indarrean diraute, alderdi sinatzaileak behartzen dituzte, eta baliozkoak dira merkataritza-legeriaren arabera.</w:t>
      </w:r>
      <w:r>
        <w:t xml:space="preserve"> </w:t>
      </w:r>
    </w:p>
    <w:p w14:paraId="5F981751" w14:textId="77777777" w:rsidR="00F87E58" w:rsidRPr="00E73F9B" w:rsidRDefault="00F87E58" w:rsidP="00F87E58">
      <w:pPr>
        <w:pStyle w:val="texto"/>
        <w:rPr>
          <w:rFonts w:cs="Arial"/>
        </w:rPr>
      </w:pPr>
      <w:r>
        <w:t xml:space="preserve">Ez da ahaztu behar, halaber, Sodenak finantza eragiketa horien formalizazioa proposatu zuela Sendaviva parkearen bideragarritasunari eusteko interes publikoaren onerako, bazkide pribatuek ez baitzuten interesik agertu, inbertsioak batere errentagarritasunik ez zuela-eta.</w:t>
      </w:r>
    </w:p>
    <w:p w14:paraId="68C36719" w14:textId="77777777" w:rsidR="00F87E58" w:rsidRPr="001F29D8" w:rsidRDefault="00F87E58" w:rsidP="00F87E58">
      <w:pPr>
        <w:pStyle w:val="texto"/>
        <w:rPr>
          <w:rFonts w:cs="Arial"/>
        </w:rPr>
      </w:pPr>
      <w:r>
        <w:t xml:space="preserve">Ondorioz, gure iritziz, ez dago inolako lege arrazoirik gainerako bazkideei –bai hasierako bazkideei bai gero horien partaidetzak erosi zituztenei– maileguz emandako diru kopuruak erreklamatzeko oinarria eman dezakeenik, sozietate anonimo batean bazkideek ez dutelako pertsonalki erantzuten sozietatearen zorrez. Horrela adierazten du 1. artikuluan uztailaren 2ko 1/2010 Legegintzako Errege Dekretuak, Kapital Sozietateei buruzko Legearen testu bategina onesten duenak.</w:t>
      </w:r>
    </w:p>
    <w:p w14:paraId="2B5720C5" w14:textId="77777777" w:rsidR="00F87E58" w:rsidRPr="00584F7F" w:rsidRDefault="00F87E58" w:rsidP="00F87E58">
      <w:pPr>
        <w:pStyle w:val="atitulo3"/>
        <w:spacing w:before="240"/>
      </w:pPr>
      <w:r>
        <w:t xml:space="preserve">D.- Aztertzea Sodenak emandako kredituen kapitalizazioa eta horrek zer ondorio ekarriko lituzkeen Parquenasa sozietate publiko bilakatuz gero.</w:t>
      </w:r>
    </w:p>
    <w:p w14:paraId="4890F49E"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Aurrean azaldu den bezala, 2005eko abenduaren 30eko finantzaketa kontratuak kapital sozialaren % 50etik gorako partaidetza-maileguak kapitalizatzea eragozten zuen; horregatik Sodenak ezin izan du lortu kapital horretan gehiengo osoa izatea eta, horrenbestez, Parquenasa sozietate publiko bilakatzea.</w:t>
      </w:r>
    </w:p>
    <w:p w14:paraId="7C051D13" w14:textId="77777777" w:rsidR="00F87E58" w:rsidRPr="00CB7B67"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Hala ere, akzio guztiak Nicdori saldu izanak sozietate-jokalekua aldatu du, orain Nicdo baita bazkide publikoa Parquenasan.</w:t>
      </w:r>
      <w:r>
        <w:t xml:space="preserve"> </w:t>
      </w:r>
      <w:r>
        <w:t xml:space="preserve">Beraz, Sodenak bazkide izateari utzi dio, eta Parquenasaren mailegu-emailea baino ez da.</w:t>
      </w:r>
      <w:r>
        <w:t xml:space="preserve"> </w:t>
      </w:r>
    </w:p>
    <w:p w14:paraId="6B394D46" w14:textId="77777777" w:rsidR="00F87E58" w:rsidRDefault="00F87E58" w:rsidP="00F87E58">
      <w:pPr>
        <w:pStyle w:val="texto"/>
        <w:rPr>
          <w:szCs w:val="26"/>
        </w:rPr>
      </w:pPr>
      <w:r>
        <w:t xml:space="preserve">Egoera berri honek aukera ematen dio bere partaidetza-maileguak kapitalizatu ahal izateko harik eta gehienez akzioen % 50 eskuratu arte, baldin eta sozietatearen Batzar Orokorrak kapitalizazio hori baimentzen badio, oraindik indarrean baitago 2005eko abenduaren 30eko finantzaketa kontratua.</w:t>
      </w:r>
    </w:p>
    <w:p w14:paraId="10565B83" w14:textId="77777777" w:rsidR="00F87E58" w:rsidRPr="003C3AAA" w:rsidRDefault="00F87E58" w:rsidP="00F87E58">
      <w:pPr>
        <w:pStyle w:val="texto"/>
        <w:rPr>
          <w:szCs w:val="26"/>
        </w:rPr>
      </w:pPr>
      <w:r>
        <w:t xml:space="preserve">Kapitalizazioa gauzatuko balitz, Sodena berriz izanen litzateke bazkide eta Parquenasa sozietate publiko bilakatuko litzateke, partaidetza publikoak (Nicdo eta Sodena) gehiengoa izanen lukeelako.</w:t>
      </w:r>
      <w:r>
        <w:t xml:space="preserve"> </w:t>
      </w:r>
    </w:p>
    <w:p w14:paraId="5C01656A"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t xml:space="preserve">Parquenasa bilakatuko balitz Nafarroako Foru Komunitateko Administrazioko enpresa-sektore publikoko sozietate publiko, sektore horri aplikatzekoak diren zuzenbide publikoko arauak bete beharko lituzke. Horien artean aipatzekoak dira txosten honen 2. gehigarriaren 2.6.2 apartatuan arau nagusitzat nabarmendu ditugunak.</w:t>
      </w:r>
    </w:p>
    <w:p w14:paraId="3C9C6F85"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Sozietateko bazkide publikoak bere gain hartu du haren kudeaketa, administratzaile bakarraren figuraren bitartez, bai eta finantza sostengua –2005etik aurrera– eta arrisku guztiak ere.</w:t>
      </w:r>
      <w:r>
        <w:t xml:space="preserve"> </w:t>
      </w:r>
      <w:r>
        <w:t xml:space="preserve">Uste dugu egoera hori ez datorrela bat Parquenasa sozietate pribatua izatearekin.</w:t>
      </w:r>
      <w:r>
        <w:t xml:space="preserve"> </w:t>
      </w:r>
    </w:p>
    <w:p w14:paraId="586F1D41" w14:textId="77777777" w:rsidR="00F87E58" w:rsidRDefault="00F87E58" w:rsidP="00F87E58">
      <w:pPr>
        <w:pStyle w:val="texto"/>
        <w:rPr>
          <w:szCs w:val="26"/>
        </w:rPr>
      </w:pPr>
      <w:r>
        <w:t xml:space="preserve">Aurrekoa dela-eta, hona hemen gure gomendioak:</w:t>
      </w:r>
    </w:p>
    <w:p w14:paraId="39C21B95" w14:textId="77777777" w:rsidR="00FC135F" w:rsidRPr="00C372CC" w:rsidRDefault="00F87E58" w:rsidP="00B946F5">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Pr>
          <w:i/>
        </w:rPr>
        <w:t xml:space="preserve">Parquenasak defizit egoera iraunkor eta egiturazkoa duela eta finantzaketa pribatua erakartzeko aukera urriak dituela ikusita, aztertzea ea “Sendaviva” proiektua kudeatzen duen merkataritza sozietate pribatu gisa bideragarritasunik izan dezakeen.</w:t>
      </w:r>
      <w:r>
        <w:rPr>
          <w:i/>
        </w:rPr>
        <w:t xml:space="preserve"> </w:t>
      </w:r>
    </w:p>
    <w:p w14:paraId="66A8FC37" w14:textId="77777777" w:rsidR="00F87E58" w:rsidRPr="007D2420" w:rsidRDefault="00C372CC" w:rsidP="00B946F5">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Pr>
          <w:i/>
        </w:rPr>
        <w:t xml:space="preserve">Bazkide pribatuekin batera aztertzea haien partaidetzak Nicdori prezio sinboliko baten truke saltzeko eta Parquenasa sozietate publiko bihurtzeko aukera.</w:t>
      </w:r>
    </w:p>
    <w:p w14:paraId="7BE0C90E"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Pr>
          <w:i/>
        </w:rPr>
        <w:t xml:space="preserve">Edo, bestela, Parquenasari planteatzea Sodena titularra den partaidetza-mailegu guztiak edo batzuk kapitalizatzeko aukera, guztizko partaidetza publikoak kapital sozialaren gehiengoa lor dezan eta Parquenasa sozietate publiko bilaka dadin.</w:t>
      </w:r>
      <w:r>
        <w:rPr>
          <w:i/>
        </w:rPr>
        <w:t xml:space="preserve"> </w:t>
      </w:r>
    </w:p>
    <w:p w14:paraId="798E20AF" w14:textId="77777777" w:rsidR="00F87E58" w:rsidRDefault="00F87E58" w:rsidP="00F87E58">
      <w:pPr>
        <w:pStyle w:val="atitulo1"/>
      </w:pPr>
      <w:bookmarkStart w:id="8" w:name="_Toc133322328"/>
      <w:bookmarkStart w:id="9" w:name="_Toc146017568"/>
      <w:bookmarkStart w:id="10" w:name="_Toc149803646"/>
      <w:r>
        <w:t xml:space="preserve">IV</w:t>
      </w:r>
      <w:bookmarkEnd w:id="8"/>
      <w:r>
        <w:t xml:space="preserve">.</w:t>
      </w:r>
      <w:r>
        <w:t xml:space="preserve"> </w:t>
      </w:r>
      <w:r>
        <w:t xml:space="preserve">Sodenaren erantzukizuna</w:t>
      </w:r>
      <w:bookmarkEnd w:id="9"/>
      <w:bookmarkEnd w:id="10"/>
    </w:p>
    <w:p w14:paraId="5C88CA7D" w14:textId="77777777" w:rsidR="00F87E58" w:rsidRDefault="00F87E58" w:rsidP="00F87E58">
      <w:pPr>
        <w:pStyle w:val="texto"/>
      </w:pPr>
      <w:r>
        <w:t xml:space="preserve">Sodenaren erantzukizuna izan da Parquenasarekin egin dituen jarduerak eta eragiketak aplikatu beharreko merkataritza arloko legeriarekin bat datozela bermatzea, eta, halaber, funts publikoen kudeaketa egokia bermatzea.</w:t>
      </w:r>
      <w:r>
        <w:t xml:space="preserve"> </w:t>
      </w:r>
    </w:p>
    <w:p w14:paraId="06CD136D" w14:textId="77777777" w:rsidR="00F87E58" w:rsidRDefault="00F87E58" w:rsidP="00F87E58">
      <w:pPr>
        <w:spacing w:after="0"/>
        <w:ind w:firstLine="0"/>
        <w:jc w:val="left"/>
        <w:rPr>
          <w:b/>
          <w:color w:val="000000"/>
          <w:kern w:val="28"/>
          <w:sz w:val="25"/>
          <w:szCs w:val="26"/>
          <w:rFonts w:ascii="Arial" w:hAnsi="Arial"/>
        </w:rPr>
      </w:pPr>
      <w:bookmarkStart w:id="11" w:name="_Toc133322329"/>
      <w:r>
        <w:br w:type="page"/>
      </w:r>
    </w:p>
    <w:p w14:paraId="046EF34D" w14:textId="77777777" w:rsidR="00F87E58" w:rsidRDefault="00F87E58" w:rsidP="00F87E58">
      <w:pPr>
        <w:pStyle w:val="atitulo1"/>
      </w:pPr>
      <w:bookmarkStart w:id="12" w:name="_Toc146017569"/>
      <w:bookmarkStart w:id="13" w:name="_Toc149803647"/>
      <w:r>
        <w:t xml:space="preserve">V. </w:t>
      </w:r>
      <w:bookmarkEnd w:id="11"/>
      <w:r>
        <w:t xml:space="preserve">Kontuen Ganberaren erantzukizuna</w:t>
      </w:r>
      <w:bookmarkEnd w:id="12"/>
      <w:bookmarkEnd w:id="13"/>
    </w:p>
    <w:p w14:paraId="2F787504" w14:textId="77777777" w:rsidR="00F87E58" w:rsidRDefault="00F87E58" w:rsidP="00F87E58">
      <w:pPr>
        <w:pStyle w:val="texto"/>
      </w:pPr>
      <w:r>
        <w:t xml:space="preserve">Gure erantzukizuna da fiskalizazioan oinarritutako konklusioak adieraztea Sodenak Parquenasari egindako ekarpen finantzarioak direla-eta, Parlamentuak eskatu digun bezala.</w:t>
      </w:r>
    </w:p>
    <w:p w14:paraId="3B2DDC17" w14:textId="77777777" w:rsidR="00F87E58" w:rsidRPr="00D11B5E" w:rsidRDefault="00F87E58" w:rsidP="00F87E58">
      <w:pPr>
        <w:pStyle w:val="texto"/>
      </w:pPr>
      <w:r>
        <w:t xml:space="preserve">Horretarako, fiskalizazio hori egin dugu Kanpo Kontroleko Erakunde Publikoek erabakitako funtsezko fiskalizazio-printzipioei jarraituz, ISSAI-ESen ezarritakoak, eta batez ere betetze-fiskalizazioei buruzko ISSAI-ES 400 delakoa aplikatu dugu, bai eta Kanpo Kontroleko Organoen Fiskalizazio Gida Praktikoetan jasotako gidalerroak ere.</w:t>
      </w:r>
    </w:p>
    <w:p w14:paraId="69613CB0" w14:textId="77777777" w:rsidR="00F87E58" w:rsidRPr="00D11B5E" w:rsidRDefault="00F87E58" w:rsidP="00F87E58">
      <w:pPr>
        <w:pStyle w:val="texto"/>
      </w:pPr>
      <w:r>
        <w:t xml:space="preserve">Printzipio eta jarraibide horiek behartzen gaituzte etika-baldintzak betetzera eta fiskalizazioaren plangintza eta exekuzioa halako moldez egitera non moduzko ziurtasun bat lortuko dugun, baliabide publikoen kudeatzea muntazko alderdi guztietan arau indardunen araberakoa izateaz.</w:t>
      </w:r>
      <w:r>
        <w:t xml:space="preserve"> </w:t>
      </w:r>
      <w:r>
        <w:t xml:space="preserve">Fiskalizazio bat egiteko, aplikatu beharrekoak dira iritsitako konklusioei oinarri ematen dien auditoretza-ebidentzia lortzeko prozedurak.</w:t>
      </w:r>
      <w:r>
        <w:t xml:space="preserve"> </w:t>
      </w:r>
      <w:r>
        <w:t xml:space="preserve">Gure ustez, lortu dugun auditoretza-ebidentziak behar adinako oinarria eta oinarri egokia jasotzen du lortutako konklusioei funtsa emateko.</w:t>
      </w:r>
    </w:p>
    <w:p w14:paraId="52622013" w14:textId="77777777" w:rsidR="00AD43AE" w:rsidRPr="00493AE6" w:rsidRDefault="00AD43AE" w:rsidP="00AD43AE">
      <w:pPr>
        <w:tabs>
          <w:tab w:val="center" w:pos="2835"/>
          <w:tab w:val="center" w:pos="3969"/>
          <w:tab w:val="center" w:pos="5103"/>
          <w:tab w:val="center" w:pos="6237"/>
          <w:tab w:val="center" w:pos="7371"/>
        </w:tabs>
        <w:ind w:firstLine="284"/>
        <w:rPr>
          <w:spacing w:val="6"/>
          <w:sz w:val="26"/>
          <w:szCs w:val="26"/>
        </w:rPr>
      </w:pPr>
      <w:r>
        <w:rPr>
          <w:sz w:val="26"/>
        </w:rPr>
        <w:t xml:space="preserve">Miguel Ángel Aurrecoechea auditorea arduratu da lan honetaz, eta hark proposatuta jaulkitzen da txosten hau, indarreko araudiak aurreikusitako izapideak bete ondoren.</w:t>
      </w:r>
    </w:p>
    <w:p w14:paraId="19756793" w14:textId="77777777" w:rsidR="00AD43AE" w:rsidRDefault="00AD43AE" w:rsidP="00AD43AE">
      <w:pPr>
        <w:pStyle w:val="texto"/>
        <w:tabs>
          <w:tab w:val="left" w:pos="142"/>
        </w:tabs>
        <w:rPr>
          <w:szCs w:val="26"/>
        </w:rPr>
      </w:pPr>
    </w:p>
    <w:p w14:paraId="481330BE" w14:textId="77777777" w:rsidR="00AD43AE" w:rsidRDefault="00AD43AE" w:rsidP="00AD43AE">
      <w:pPr>
        <w:tabs>
          <w:tab w:val="center" w:pos="2835"/>
          <w:tab w:val="center" w:pos="3969"/>
          <w:tab w:val="center" w:pos="5103"/>
          <w:tab w:val="center" w:pos="6237"/>
          <w:tab w:val="center" w:pos="7371"/>
        </w:tabs>
        <w:spacing w:after="0"/>
        <w:ind w:firstLine="284"/>
        <w:jc w:val="center"/>
        <w:rPr>
          <w:i/>
          <w:spacing w:val="6"/>
          <w:sz w:val="22"/>
          <w:szCs w:val="22"/>
        </w:rPr>
      </w:pPr>
      <w:r>
        <w:rPr>
          <w:i/>
          <w:sz w:val="22"/>
        </w:rPr>
        <w:t xml:space="preserve">(Ignacio Cabeza del Salvador Nafarroako Kontuen Ganberako lehendakariak</w:t>
      </w:r>
    </w:p>
    <w:p w14:paraId="2341C7A9" w14:textId="77777777" w:rsidR="00AD43AE" w:rsidRPr="00493AE6" w:rsidRDefault="00AD43AE" w:rsidP="00AD43AE">
      <w:pPr>
        <w:tabs>
          <w:tab w:val="center" w:pos="2835"/>
          <w:tab w:val="center" w:pos="3969"/>
          <w:tab w:val="center" w:pos="5103"/>
          <w:tab w:val="center" w:pos="6237"/>
          <w:tab w:val="center" w:pos="7371"/>
        </w:tabs>
        <w:spacing w:after="0"/>
        <w:ind w:firstLine="284"/>
        <w:jc w:val="center"/>
        <w:rPr>
          <w:i/>
          <w:spacing w:val="6"/>
          <w:sz w:val="22"/>
          <w:szCs w:val="22"/>
        </w:rPr>
      </w:pPr>
      <w:r>
        <w:rPr>
          <w:i/>
          <w:sz w:val="22"/>
        </w:rPr>
        <w:t xml:space="preserve">digitalki sinatua alboan adierazitako egunean)</w:t>
      </w:r>
    </w:p>
    <w:p w14:paraId="2D9561AE" w14:textId="77777777" w:rsidR="00F87E58" w:rsidRDefault="00F87E58" w:rsidP="00AD43AE"/>
    <w:p w14:paraId="56D12E65" w14:textId="77777777" w:rsidR="00F87E58" w:rsidRPr="003174AD" w:rsidRDefault="00F87E58" w:rsidP="00F87E58">
      <w:pPr>
        <w:rPr>
          <w:b/>
          <w:color w:val="000000"/>
          <w:kern w:val="28"/>
          <w:sz w:val="22"/>
          <w:szCs w:val="22"/>
          <w:rFonts w:ascii="Arial" w:hAnsi="Arial"/>
        </w:rPr>
      </w:pPr>
      <w:bookmarkStart w:id="14" w:name="_Toc133322333"/>
      <w:r>
        <w:br w:type="page"/>
      </w:r>
    </w:p>
    <w:p w14:paraId="31EDBEE5" w14:textId="77777777" w:rsidR="00F87E58" w:rsidRPr="00972476" w:rsidRDefault="00F87E58" w:rsidP="00F87E58">
      <w:pPr>
        <w:pStyle w:val="atitulo1"/>
      </w:pPr>
      <w:bookmarkStart w:id="15" w:name="_Toc146017570"/>
      <w:bookmarkStart w:id="16" w:name="_Toc149803648"/>
      <w:r>
        <w:t xml:space="preserve">1. gehigarria.</w:t>
      </w:r>
      <w:r>
        <w:t xml:space="preserve"> </w:t>
      </w:r>
      <w:r>
        <w:t xml:space="preserve">Arau-esparrua</w:t>
      </w:r>
      <w:bookmarkEnd w:id="14"/>
      <w:bookmarkEnd w:id="15"/>
      <w:bookmarkEnd w:id="16"/>
    </w:p>
    <w:p w14:paraId="08C127BE" w14:textId="77777777" w:rsidR="00F87E58" w:rsidRDefault="00F87E58" w:rsidP="00F87E58">
      <w:pPr>
        <w:pStyle w:val="texto"/>
      </w:pPr>
      <w:r>
        <w:t xml:space="preserve">Fiskalizazio honi aplikatzekoa den araubide juridikoa batez ere honako hauek osatzen dute:</w:t>
      </w:r>
      <w:r>
        <w:t xml:space="preserve"> </w:t>
      </w:r>
    </w:p>
    <w:p w14:paraId="751E619D"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1/1984 Foru Legea, urtarrilaren 2koa, Nafarroaren Garapen Sozietatea SA sortzeari buruzkoa.</w:t>
      </w:r>
    </w:p>
    <w:p w14:paraId="2993A9B7"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17/1985 Foru Legea, irailaren 27koa, Nafarroako Ondareari buruzkoa.</w:t>
      </w:r>
      <w:r>
        <w:t xml:space="preserve"> </w:t>
      </w:r>
    </w:p>
    <w:p w14:paraId="20E297B1"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14/2007 Foru Legea, apirilaren 4koa, Nafarroako Ondareari buruzkoa.</w:t>
      </w:r>
      <w:r>
        <w:t xml:space="preserve"> </w:t>
      </w:r>
    </w:p>
    <w:p w14:paraId="2FE21C5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13/2007 Foru Legea, apirilaren 4koa, Nafarroako Ogasun publikoari buruzkoa.</w:t>
      </w:r>
      <w:r>
        <w:t xml:space="preserve"> </w:t>
      </w:r>
    </w:p>
    <w:p w14:paraId="10663AE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15/2004 Foru Legea, abenduaren 3koa, Nafarroako Foru Komunitateko Administrazioari buruzkoa.</w:t>
      </w:r>
    </w:p>
    <w:p w14:paraId="3CEE8F14"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11/2019 Foru Legea, martxoaren 11koa, Nafarroako Foru Komunitateko Administrazioari eta foru-sektore publiko instituzionalari buruzkoa.</w:t>
      </w:r>
    </w:p>
    <w:p w14:paraId="26F3BFF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8/2009 Foru Legea, ekainaren 18koa, Nafarroako Enpresa Korporazio Publikoa, S.M.P. izeneko sozietatea sortzeari buruzkoa.</w:t>
      </w:r>
    </w:p>
    <w:p w14:paraId="70184E6E"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10/2014 Foru Legea, maiatzaren 16koa, OPFL aldatzeari buruzkoa.</w:t>
      </w:r>
    </w:p>
    <w:p w14:paraId="6F85BAC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19/2014 Foru Legea, urriaren 28koa, 10/2014 Foru Legeari xedapen iragankor bakarra gehitu ziona.</w:t>
      </w:r>
    </w:p>
    <w:p w14:paraId="785B8F5A"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Nafarroako aurrekontu orokorrei buruzko foru legeak, batez ere 2014tik 2023ra bitartekoak, eta haien aldaketak.</w:t>
      </w:r>
    </w:p>
    <w:p w14:paraId="6B9763E8" w14:textId="77777777" w:rsidR="00F87E58" w:rsidRPr="00F7326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Sodena SAren eraketari buruzko 68/1984 Foru Dekretua, 109/1984 Foru Dekretuaz aldatua.</w:t>
      </w:r>
      <w:r>
        <w:t xml:space="preserve"> </w:t>
      </w:r>
    </w:p>
    <w:p w14:paraId="29E0B0FF"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216/2019 Foru Dekretua, irailaren 11koa, Nafarroako Foru Komunitateko Administrazioaren enpresa-entitate publikoek, fundazio publikoek eta sozietate publikoek abalak eta maileguak emateko beharrezkoa den Nafarroako Gobernuaren baimena lortzeko prozedura arautzen duena.</w:t>
      </w:r>
      <w:r>
        <w:t xml:space="preserve"> </w:t>
      </w:r>
    </w:p>
    <w:p w14:paraId="2BF2E7E7"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1885eko abuztuaren 22ko Errege Dekretua, Merkataritza Kodea argitaratzekoa.</w:t>
      </w:r>
      <w:r>
        <w:t xml:space="preserve"> </w:t>
      </w:r>
    </w:p>
    <w:p w14:paraId="20B7446A"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1564/1989 Legegintzako Errege Dekretua, abenduaren 22koa, Sozietate Anonimoen Legearen testu bategina onestekoa (2010eko irailaren 1era arte egon zen indarrean).</w:t>
      </w:r>
      <w:r>
        <w:t xml:space="preserve"> </w:t>
      </w:r>
    </w:p>
    <w:p w14:paraId="31C85287" w14:textId="77777777" w:rsidR="00F87E58" w:rsidRPr="00F7326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1/2010 Legegintzako Errege Dekretua, uztailaren 2koa, zeinaren bitartez onesten baita Kapitaleko Sozietateei buruzko Legearen testu bategina (2010eko irailaren 1etik aurrera dago indarrean).</w:t>
      </w:r>
      <w:r>
        <w:t xml:space="preserve"> </w:t>
      </w:r>
    </w:p>
    <w:p w14:paraId="6D12CB79"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1643/1990 Errege Dekretua, abenduaren 20koa, Kontabilitate Plan Orokorra onesten duena, 2002tik 2007ra bitarteko ekitaldietarako.</w:t>
      </w:r>
      <w:r>
        <w:t xml:space="preserve"> </w:t>
      </w:r>
    </w:p>
    <w:p w14:paraId="0514D746"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1514/2007 Errege Dekretua, azaroaren 16koa, Kontabilitate Plan Orokorra onesten duena, 2008ko ekitalditik aurrerako ekitaldietarako.</w:t>
      </w:r>
      <w:r>
        <w:t xml:space="preserve"> </w:t>
      </w:r>
    </w:p>
    <w:p w14:paraId="0B9344B7"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Parque de la Naturaleza SA sozietatearen estatutuak.</w:t>
      </w:r>
      <w:r>
        <w:t xml:space="preserve"> </w:t>
      </w:r>
    </w:p>
    <w:p w14:paraId="2BBFE15F" w14:textId="77777777" w:rsidR="00F87E58" w:rsidRPr="009C44C1"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Parque de la Naturaleza SA sozietateko bazkideen artean sinatutako akordioak, eta Sodena eta Parquenasaren artean sinatutako finantzaketa kontratuak.</w:t>
      </w:r>
    </w:p>
    <w:p w14:paraId="7B35B886" w14:textId="77777777" w:rsidR="00F87E58" w:rsidRDefault="00F87E58" w:rsidP="00F87E58">
      <w:pPr>
        <w:pStyle w:val="atitulo1"/>
      </w:pPr>
      <w:bookmarkStart w:id="17" w:name="_Toc133322335"/>
      <w:r>
        <w:br w:type="page"/>
      </w:r>
      <w:r>
        <w:t xml:space="preserve"> </w:t>
      </w:r>
      <w:bookmarkStart w:id="18" w:name="_Toc146017571"/>
      <w:bookmarkStart w:id="19" w:name="_Toc149803649"/>
      <w:r>
        <w:t xml:space="preserve">2. gehigarria.</w:t>
      </w:r>
      <w:r>
        <w:t xml:space="preserve"> </w:t>
      </w:r>
      <w:r>
        <w:t xml:space="preserve">Fiskalizazioko beste ohar eta aurkikuntza batzuk</w:t>
      </w:r>
      <w:bookmarkEnd w:id="17"/>
      <w:r>
        <w:t xml:space="preserve">.</w:t>
      </w:r>
      <w:bookmarkEnd w:id="18"/>
      <w:bookmarkEnd w:id="19"/>
      <w:r>
        <w:t xml:space="preserve"> </w:t>
      </w:r>
    </w:p>
    <w:p w14:paraId="56F4E3AA" w14:textId="77777777" w:rsidR="00F87E58" w:rsidRPr="00421BE3" w:rsidRDefault="00F87E58" w:rsidP="00F87E58">
      <w:pPr>
        <w:pStyle w:val="atitulo2"/>
      </w:pPr>
      <w:bookmarkStart w:id="20" w:name="_Toc146017572"/>
      <w:bookmarkStart w:id="21" w:name="_Toc149803650"/>
      <w:r>
        <w:t xml:space="preserve">2.1. Nafarroaren Garapen Sozietatea SL.</w:t>
      </w:r>
      <w:bookmarkEnd w:id="20"/>
      <w:bookmarkEnd w:id="21"/>
    </w:p>
    <w:p w14:paraId="0BCEDBAF" w14:textId="77777777" w:rsidR="00F87E58" w:rsidRPr="00E52DFC" w:rsidRDefault="00F87E58" w:rsidP="00F87E58">
      <w:pPr>
        <w:pStyle w:val="atitulo3"/>
      </w:pPr>
      <w:r>
        <w:t xml:space="preserve">2.1.1. Alderdi orokorrak.</w:t>
      </w:r>
    </w:p>
    <w:p w14:paraId="19CE83C5" w14:textId="77777777" w:rsidR="00F87E58" w:rsidRPr="00E52DFC" w:rsidRDefault="00F87E58" w:rsidP="00F87E58">
      <w:pPr>
        <w:pStyle w:val="texto"/>
      </w:pPr>
      <w:bookmarkStart w:id="22" w:name="_Toc19535157"/>
      <w:r>
        <w:t xml:space="preserve">Sodena Nafarroako Gobernuaren laguntza finantzariorako tresna da, balio erantsia duten enpresa proiektuak Foru Komunitatera erakartzeko eta garatzeko.</w:t>
      </w:r>
    </w:p>
    <w:p w14:paraId="22A1E313" w14:textId="77777777" w:rsidR="00F87E58" w:rsidRDefault="00F87E58" w:rsidP="00F87E58">
      <w:pPr>
        <w:pStyle w:val="texto"/>
      </w:pPr>
      <w:r>
        <w:t xml:space="preserve">Merkataritza sozietate gisa 1984an sortu zen, Nafarroaren Garapen Sozietatea sortzeari buruzko urtarrilaren 2ko 1/1984 Foru Legea onetsi zenean (hasieran sozietate anonimoaren forma juridikoa izan zuen).</w:t>
      </w:r>
      <w:r>
        <w:t xml:space="preserve"> </w:t>
      </w:r>
    </w:p>
    <w:p w14:paraId="379126D2" w14:textId="77777777" w:rsidR="00F87E58" w:rsidRPr="00E52DFC" w:rsidRDefault="00F87E58" w:rsidP="00F87E58">
      <w:pPr>
        <w:pStyle w:val="texto"/>
      </w:pPr>
      <w:r>
        <w:t xml:space="preserve">Nafarroako sektore publikoa berregituratzeko prozesuaren ondoren, 2011ko azaroan Nafarroako Gobernuaren lau sozietate publikok bat eginda eratu zuten enpresa da, eta erantzukizun mugatuko sozietatearen forma juridikoaren pean jarduten du, NEKP bazkide eta partaide bakarra duela.</w:t>
      </w:r>
      <w:r>
        <w:t xml:space="preserve"> </w:t>
      </w:r>
    </w:p>
    <w:p w14:paraId="568B14BD" w14:textId="77777777" w:rsidR="00F87E58" w:rsidRPr="003B7F55" w:rsidRDefault="00F87E58" w:rsidP="00F87E58">
      <w:pPr>
        <w:pStyle w:val="atitulo3"/>
        <w:spacing w:before="240"/>
      </w:pPr>
      <w:r>
        <w:t xml:space="preserve">2.1.2. Finantza tresnak</w:t>
      </w:r>
    </w:p>
    <w:p w14:paraId="30A77752" w14:textId="77777777" w:rsidR="00F87E58" w:rsidRDefault="00F87E58" w:rsidP="00F87E58">
      <w:pPr>
        <w:pStyle w:val="texto"/>
      </w:pPr>
      <w:r>
        <w:t xml:space="preserve">Honako hauek dira Sodenak inbertsio proiektuak finantzatzeko erabiltzen dituen finantza tresna nagusiak:</w:t>
      </w:r>
    </w:p>
    <w:p w14:paraId="23994468" w14:textId="77777777" w:rsidR="006F6FD3" w:rsidRPr="00C372CC" w:rsidRDefault="006F6FD3" w:rsidP="006F6FD3">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bCs/>
          <w:szCs w:val="26"/>
        </w:rPr>
      </w:pPr>
      <w:r>
        <w:t xml:space="preserve">Sortzea sustatzen dituen enpresen kapitalean parte hartzea, edo, bestela, kapitala handitzen duten enpresetan edo bat egiten edo berregituratzen diren enpresetan.</w:t>
      </w:r>
    </w:p>
    <w:p w14:paraId="49E2056D" w14:textId="77777777" w:rsidR="00F87E58" w:rsidRPr="00C372CC" w:rsidRDefault="006F6FD3" w:rsidP="00B946F5">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pPr>
      <w:r>
        <w:t xml:space="preserve">Mailegu soilak eta partaidetza-maileguak ematea.</w:t>
      </w:r>
      <w:r>
        <w:t xml:space="preserve"> </w:t>
      </w:r>
      <w:r>
        <w:t xml:space="preserve">Honako hauek dira partaidetza-maileguen ezaugarriak:</w:t>
      </w:r>
      <w:r>
        <w:t xml:space="preserve">  </w:t>
      </w:r>
    </w:p>
    <w:p w14:paraId="7EF6F08C"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Interesak osagarri finko bat eta osagarri aldagarri bat ditu, azken hori enpresaren negozio-adierazleei lotua.</w:t>
      </w:r>
      <w:r>
        <w:t xml:space="preserve"> </w:t>
      </w:r>
    </w:p>
    <w:p w14:paraId="627735C6"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Amortizazioa aurreratu egin daiteke mailegua kapitalizatzen bada, hau da, amortizazio hori konpentsatzen bada enpresaren funts propioak handituz amortizazioaren zenbateko berean.</w:t>
      </w:r>
      <w:r>
        <w:t xml:space="preserve"> </w:t>
      </w:r>
    </w:p>
    <w:p w14:paraId="1256E425"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Kredituen lehentasun ordenan, partaidetza-maileguak hartzekodun arrunten ondoren kokatzen dira.</w:t>
      </w:r>
      <w:r>
        <w:t xml:space="preserve"> </w:t>
      </w:r>
    </w:p>
    <w:p w14:paraId="2A7B128B" w14:textId="77777777" w:rsidR="00F87E58" w:rsidRPr="003E759E"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t xml:space="preserve">Partaidetza-maileguak ondare garbitzat jotzen dira, merkataritza-legerian aurreikusten diren kapitala murriztu beharrari eta sozietatea desegin beharrari dagokienez.</w:t>
      </w:r>
    </w:p>
    <w:p w14:paraId="4E8333B0" w14:textId="77777777" w:rsidR="00F87E58" w:rsidRPr="00421BE3" w:rsidRDefault="00F87E58" w:rsidP="00F87E58">
      <w:pPr>
        <w:pStyle w:val="atitulo2"/>
      </w:pPr>
      <w:bookmarkStart w:id="23" w:name="_Toc146017573"/>
      <w:bookmarkStart w:id="24" w:name="_Toc149803651"/>
      <w:r>
        <w:t xml:space="preserve">2.2. Parque de la Naturaleza SA.</w:t>
      </w:r>
      <w:bookmarkEnd w:id="23"/>
      <w:bookmarkEnd w:id="24"/>
      <w:r>
        <w:t xml:space="preserve"> </w:t>
      </w:r>
    </w:p>
    <w:p w14:paraId="1A62D4EF" w14:textId="77777777" w:rsidR="00F87E58" w:rsidRPr="00D5571A" w:rsidRDefault="00F87E58" w:rsidP="00F87E58">
      <w:pPr>
        <w:pStyle w:val="atitulo3"/>
      </w:pPr>
      <w:r>
        <w:t xml:space="preserve">2.2.1. Parkearen proiektuaren aurrekariak eta sozietatearen alderdi orokorrak</w:t>
      </w:r>
      <w:r>
        <w:t xml:space="preserve"> </w:t>
      </w:r>
    </w:p>
    <w:p w14:paraId="5C8FA12D" w14:textId="77777777" w:rsidR="00F87E58" w:rsidRDefault="00F87E58" w:rsidP="00F87E58">
      <w:pPr>
        <w:pStyle w:val="texto"/>
        <w:spacing w:after="240"/>
      </w:pPr>
      <w:r>
        <w:t xml:space="preserve">Arguedasko udalerrian naturaren parke bat (Sendaviva) egiteko proiektua Nafarroako Gobernuak hasi eta sustatu zuen, Nafarroako turismo sektorea indartze aldera.</w:t>
      </w:r>
      <w:r>
        <w:t xml:space="preserve"> </w:t>
      </w:r>
      <w:r>
        <w:t xml:space="preserve">Proiektu hori ezartzeko, hasiera batean 18,65 milioiko inbertsioa aurreikusi zen, eta 2001eko azaroaren 23an Parquenasa merkataritza sozietatea eratu zen sozietate anonimo gisa, bederatzi milioiko kapitalarekin.</w:t>
      </w:r>
      <w:r>
        <w:t xml:space="preserve"> </w:t>
      </w:r>
    </w:p>
    <w:p w14:paraId="0D2718B6" w14:textId="77777777" w:rsidR="00F87E58" w:rsidRPr="002C505E" w:rsidRDefault="00F87E58" w:rsidP="00F87E58">
      <w:pPr>
        <w:pStyle w:val="atitulo3"/>
        <w:spacing w:before="240"/>
        <w:rPr>
          <w:szCs w:val="25"/>
        </w:rPr>
      </w:pPr>
      <w:r>
        <w:t xml:space="preserve">Kapital soziala eta sozietatearen osaera</w:t>
      </w:r>
    </w:p>
    <w:p w14:paraId="2FEBBE08" w14:textId="77777777" w:rsidR="00F87E58" w:rsidRDefault="00F87E58" w:rsidP="00F87E58">
      <w:pPr>
        <w:pStyle w:val="texto"/>
      </w:pPr>
      <w:r>
        <w:t xml:space="preserve">Sodenak haren eraketan parte hartu zuen beste lau bazkiderekin, 4,05 milioi jarrita –kapitalaren % 45–, eta enpresan zortzi urtez, 2009ra arte, gelditzeko konpromisoa sinatu zuen.</w:t>
      </w:r>
      <w:r>
        <w:t xml:space="preserve"> </w:t>
      </w:r>
    </w:p>
    <w:p w14:paraId="01E6106D" w14:textId="77777777" w:rsidR="00F87E58" w:rsidRDefault="00F87E58" w:rsidP="00F87E58">
      <w:pPr>
        <w:pStyle w:val="texto"/>
      </w:pPr>
      <w:r>
        <w:t xml:space="preserve">Urtarrilaren 2ko 1/1984 Foru Legeak ezartzen dizkio Sodenari enpresen kapitaleko gehieneko partaidetza eta bazkide izateko gehieneko aldia. Zehazki, 6.1 artikuluan hau ezartzen da: “</w:t>
      </w:r>
      <w:r>
        <w:rPr>
          <w:i/>
        </w:rPr>
        <w:t xml:space="preserve">Sodenak sozietateen kapitalean parte hartu ahalko du... gutxienez % 5eko eta gehienez % 45eko portzentajearekin, eta gehienez 10 urtean</w:t>
      </w:r>
      <w:r>
        <w:rPr>
          <w:rStyle w:val="Refdenotaalpie"/>
          <w:i/>
        </w:rPr>
        <w:footnoteReference w:id="1"/>
      </w:r>
      <w:r>
        <w:t xml:space="preserve">.”</w:t>
      </w:r>
      <w:r>
        <w:t xml:space="preserve"> </w:t>
      </w:r>
      <w:r>
        <w:t xml:space="preserve">Artikulu horren 3. apartatuaren arabera, muga horiek “</w:t>
      </w:r>
      <w:r>
        <w:rPr>
          <w:i/>
        </w:rPr>
        <w:t xml:space="preserve">salbuespenezko kasuetan aldatu ahalko dira, berariaz baimena ematen badu Foru Diputazioak</w:t>
      </w:r>
      <w:r>
        <w:t xml:space="preserve">” (gaur egun Nafarroako Gobernuak).</w:t>
      </w:r>
    </w:p>
    <w:p w14:paraId="7210DF11" w14:textId="77777777" w:rsidR="00F87E58" w:rsidRDefault="00F87E58" w:rsidP="00F87E58">
      <w:pPr>
        <w:pStyle w:val="texto"/>
      </w:pPr>
      <w:r>
        <w:t xml:space="preserve">Hamar urte baino gehiagoz bazkide izateko berariazko baimena 2016ko azaroan eman zen lehenengoz, eta 2011ko ekitaldian eskatu behar zen.</w:t>
      </w:r>
      <w:r>
        <w:t xml:space="preserve"> </w:t>
      </w:r>
      <w:r>
        <w:t xml:space="preserve">Baimen hori Nafarroako Gobernuaren erabaki baten bidez eman zen. Erabaki horretan baimena eman zen Sodenak bazkide izaten jarraitzeko beste hamar urtez, 2026ra arte, ezertan eragotzi gabe beste luzapen baterako aukera.</w:t>
      </w:r>
      <w:r>
        <w:t xml:space="preserve"> </w:t>
      </w:r>
    </w:p>
    <w:p w14:paraId="0C4A753C" w14:textId="77777777" w:rsidR="00F87E58" w:rsidRDefault="00F87E58">
      <w:pPr>
        <w:spacing w:after="0"/>
        <w:ind w:firstLine="0"/>
        <w:jc w:val="left"/>
        <w:rPr>
          <w:spacing w:val="6"/>
          <w:sz w:val="26"/>
          <w:szCs w:val="24"/>
        </w:rPr>
      </w:pPr>
      <w:r>
        <w:br w:type="page"/>
      </w:r>
    </w:p>
    <w:p w14:paraId="1F803220" w14:textId="77777777" w:rsidR="00F87E58" w:rsidRDefault="00F87E58" w:rsidP="00F87E58">
      <w:pPr>
        <w:pStyle w:val="texto"/>
        <w:spacing w:after="240"/>
      </w:pPr>
      <w:r>
        <w:t xml:space="preserve">Sozietatea eratu zenean honela zegoen osatuta:</w:t>
      </w:r>
    </w:p>
    <w:tbl>
      <w:tblPr>
        <w:tblW w:w="8505"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95"/>
        <w:gridCol w:w="1276"/>
        <w:gridCol w:w="1134"/>
      </w:tblGrid>
      <w:tr w:rsidR="00F87E58" w:rsidRPr="00BB5B2C" w14:paraId="586550C5" w14:textId="77777777" w:rsidTr="00F87E58">
        <w:trPr>
          <w:trHeight w:val="255"/>
          <w:jc w:val="center"/>
        </w:trPr>
        <w:tc>
          <w:tcPr>
            <w:tcW w:w="6095" w:type="dxa"/>
            <w:tcBorders>
              <w:bottom w:val="single" w:sz="4" w:space="0" w:color="auto"/>
            </w:tcBorders>
            <w:shd w:val="clear" w:color="000000" w:fill="9CC2E5"/>
            <w:noWrap/>
            <w:vAlign w:val="center"/>
            <w:hideMark/>
          </w:tcPr>
          <w:p w14:paraId="140FB95D" w14:textId="77777777" w:rsidR="00F87E58" w:rsidRPr="00BB5B2C" w:rsidRDefault="00F87E58" w:rsidP="00F87E58">
            <w:pPr>
              <w:pStyle w:val="cuadroCabe"/>
              <w:jc w:val="left"/>
            </w:pPr>
            <w:r>
              <w:t xml:space="preserve">Akziodunak 2001ean</w:t>
            </w:r>
          </w:p>
        </w:tc>
        <w:tc>
          <w:tcPr>
            <w:tcW w:w="1276" w:type="dxa"/>
            <w:tcBorders>
              <w:bottom w:val="single" w:sz="4" w:space="0" w:color="auto"/>
            </w:tcBorders>
            <w:shd w:val="clear" w:color="000000" w:fill="9CC2E5"/>
            <w:noWrap/>
            <w:vAlign w:val="center"/>
            <w:hideMark/>
          </w:tcPr>
          <w:p w14:paraId="3A46E00E" w14:textId="77777777" w:rsidR="00F87E58" w:rsidRDefault="00F87E58" w:rsidP="00F87E58">
            <w:pPr>
              <w:pStyle w:val="cuadroCabe"/>
              <w:jc w:val="right"/>
            </w:pPr>
            <w:r>
              <w:t xml:space="preserve">Partaidetza</w:t>
            </w:r>
            <w:r>
              <w:t xml:space="preserve"> </w:t>
            </w:r>
          </w:p>
          <w:p w14:paraId="4C0E4690" w14:textId="77777777" w:rsidR="00F87E58" w:rsidRPr="00BB5B2C" w:rsidRDefault="00F87E58" w:rsidP="00F87E58">
            <w:pPr>
              <w:pStyle w:val="cuadroCabe"/>
              <w:jc w:val="right"/>
            </w:pPr>
            <w:r>
              <w:t xml:space="preserve">ehunekoa</w:t>
            </w:r>
          </w:p>
        </w:tc>
        <w:tc>
          <w:tcPr>
            <w:tcW w:w="1134" w:type="dxa"/>
            <w:tcBorders>
              <w:bottom w:val="single" w:sz="4" w:space="0" w:color="auto"/>
            </w:tcBorders>
            <w:shd w:val="clear" w:color="000000" w:fill="9CC2E5"/>
            <w:vAlign w:val="center"/>
          </w:tcPr>
          <w:p w14:paraId="5AB5D51B" w14:textId="77777777" w:rsidR="00F87E58" w:rsidRDefault="00F87E58" w:rsidP="00F87E58">
            <w:pPr>
              <w:pStyle w:val="cuadroCabe"/>
              <w:jc w:val="right"/>
            </w:pPr>
            <w:r>
              <w:t xml:space="preserve">Kapital</w:t>
            </w:r>
            <w:r>
              <w:t xml:space="preserve"> </w:t>
            </w:r>
          </w:p>
          <w:p w14:paraId="0CBD6200" w14:textId="77777777" w:rsidR="00F87E58" w:rsidRPr="00BB5B2C" w:rsidRDefault="00F87E58" w:rsidP="00F87E58">
            <w:pPr>
              <w:pStyle w:val="cuadroCabe"/>
              <w:jc w:val="right"/>
            </w:pPr>
            <w:r>
              <w:t xml:space="preserve">soziala</w:t>
            </w:r>
          </w:p>
        </w:tc>
      </w:tr>
      <w:tr w:rsidR="00C372CC" w:rsidRPr="00C372CC" w14:paraId="0D19A98A" w14:textId="77777777" w:rsidTr="00F87E58">
        <w:trPr>
          <w:trHeight w:val="198"/>
          <w:jc w:val="center"/>
        </w:trPr>
        <w:tc>
          <w:tcPr>
            <w:tcW w:w="6095" w:type="dxa"/>
            <w:tcBorders>
              <w:bottom w:val="single" w:sz="2" w:space="0" w:color="auto"/>
            </w:tcBorders>
            <w:shd w:val="clear" w:color="auto" w:fill="auto"/>
            <w:noWrap/>
            <w:vAlign w:val="center"/>
            <w:hideMark/>
          </w:tcPr>
          <w:p w14:paraId="41D88D4D" w14:textId="77777777" w:rsidR="00F87E58" w:rsidRPr="00C372CC" w:rsidRDefault="00F87E58" w:rsidP="00F87E58">
            <w:pPr>
              <w:pStyle w:val="cuatexto"/>
              <w:jc w:val="left"/>
            </w:pPr>
            <w:r>
              <w:t xml:space="preserve">Nafarroaren Garapen Sozietatea SA</w:t>
            </w:r>
          </w:p>
        </w:tc>
        <w:tc>
          <w:tcPr>
            <w:tcW w:w="1276" w:type="dxa"/>
            <w:tcBorders>
              <w:bottom w:val="single" w:sz="2" w:space="0" w:color="auto"/>
            </w:tcBorders>
            <w:shd w:val="clear" w:color="auto" w:fill="auto"/>
            <w:noWrap/>
            <w:vAlign w:val="center"/>
            <w:hideMark/>
          </w:tcPr>
          <w:p w14:paraId="2BB1A6DB" w14:textId="77777777" w:rsidR="00F87E58" w:rsidRPr="00C372CC" w:rsidRDefault="00F87E58" w:rsidP="00F87E58">
            <w:pPr>
              <w:pStyle w:val="cuatexto"/>
              <w:jc w:val="right"/>
            </w:pPr>
            <w:r>
              <w:t xml:space="preserve">45</w:t>
            </w:r>
          </w:p>
        </w:tc>
        <w:tc>
          <w:tcPr>
            <w:tcW w:w="1134" w:type="dxa"/>
            <w:tcBorders>
              <w:bottom w:val="single" w:sz="2" w:space="0" w:color="auto"/>
            </w:tcBorders>
            <w:vAlign w:val="center"/>
          </w:tcPr>
          <w:p w14:paraId="595AD7E7" w14:textId="77777777" w:rsidR="00F87E58" w:rsidRPr="00C372CC" w:rsidRDefault="00F87E58" w:rsidP="00F87E58">
            <w:pPr>
              <w:pStyle w:val="cuatexto"/>
              <w:jc w:val="right"/>
            </w:pPr>
            <w:r>
              <w:t xml:space="preserve">4.050.000</w:t>
            </w:r>
          </w:p>
        </w:tc>
      </w:tr>
      <w:tr w:rsidR="00C372CC" w:rsidRPr="00C372CC" w14:paraId="6480ED41"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hideMark/>
          </w:tcPr>
          <w:p w14:paraId="2C89C6D6" w14:textId="77777777" w:rsidR="00F87E58" w:rsidRPr="00C372CC" w:rsidRDefault="006F6FD3" w:rsidP="00F87E58">
            <w:pPr>
              <w:pStyle w:val="cuatexto"/>
              <w:jc w:val="left"/>
            </w:pPr>
            <w:r>
              <w:t xml:space="preserve">Grupo Corporativo Empresarial de la Caja de Ahorros y Monte de Piedad de Navarra SA</w:t>
            </w:r>
          </w:p>
        </w:tc>
        <w:tc>
          <w:tcPr>
            <w:tcW w:w="1276" w:type="dxa"/>
            <w:tcBorders>
              <w:top w:val="single" w:sz="2" w:space="0" w:color="auto"/>
              <w:bottom w:val="single" w:sz="2" w:space="0" w:color="auto"/>
            </w:tcBorders>
            <w:shd w:val="clear" w:color="auto" w:fill="auto"/>
            <w:noWrap/>
            <w:vAlign w:val="center"/>
          </w:tcPr>
          <w:p w14:paraId="3C9DBFF5" w14:textId="77777777" w:rsidR="00F87E58" w:rsidRPr="00C372CC" w:rsidRDefault="00F87E58" w:rsidP="00F87E58">
            <w:pPr>
              <w:pStyle w:val="cuatexto"/>
              <w:jc w:val="right"/>
            </w:pPr>
            <w:r>
              <w:t xml:space="preserve">15</w:t>
            </w:r>
          </w:p>
        </w:tc>
        <w:tc>
          <w:tcPr>
            <w:tcW w:w="1134" w:type="dxa"/>
            <w:tcBorders>
              <w:top w:val="single" w:sz="2" w:space="0" w:color="auto"/>
              <w:bottom w:val="single" w:sz="2" w:space="0" w:color="auto"/>
            </w:tcBorders>
            <w:vAlign w:val="center"/>
          </w:tcPr>
          <w:p w14:paraId="0AD9E709" w14:textId="77777777" w:rsidR="00F87E58" w:rsidRPr="00C372CC" w:rsidRDefault="00F87E58" w:rsidP="00F87E58">
            <w:pPr>
              <w:pStyle w:val="cuatexto"/>
              <w:jc w:val="right"/>
            </w:pPr>
            <w:r>
              <w:t xml:space="preserve">1.350.000</w:t>
            </w:r>
          </w:p>
        </w:tc>
      </w:tr>
      <w:tr w:rsidR="00F87E58" w:rsidRPr="00BB5B2C" w14:paraId="30B6A2F9"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tcPr>
          <w:p w14:paraId="411ABE2A" w14:textId="77777777" w:rsidR="00F87E58" w:rsidRPr="00BB5B2C" w:rsidRDefault="00F87E58" w:rsidP="00F87E58">
            <w:pPr>
              <w:pStyle w:val="cuatexto"/>
              <w:jc w:val="left"/>
            </w:pPr>
            <w:r>
              <w:t xml:space="preserve">Parque de Atracciones,Turismo y Actividades lúdicas internacionales SL (Patali)</w:t>
            </w:r>
          </w:p>
        </w:tc>
        <w:tc>
          <w:tcPr>
            <w:tcW w:w="1276" w:type="dxa"/>
            <w:tcBorders>
              <w:top w:val="single" w:sz="2" w:space="0" w:color="auto"/>
              <w:bottom w:val="single" w:sz="2" w:space="0" w:color="auto"/>
            </w:tcBorders>
            <w:shd w:val="clear" w:color="auto" w:fill="auto"/>
            <w:noWrap/>
            <w:vAlign w:val="center"/>
          </w:tcPr>
          <w:p w14:paraId="39FE2C26" w14:textId="77777777" w:rsidR="00F87E58" w:rsidRPr="00BB5B2C" w:rsidRDefault="00F87E58" w:rsidP="00F87E58">
            <w:pPr>
              <w:pStyle w:val="cuatexto"/>
              <w:jc w:val="right"/>
            </w:pPr>
            <w:r>
              <w:t xml:space="preserve">25</w:t>
            </w:r>
          </w:p>
        </w:tc>
        <w:tc>
          <w:tcPr>
            <w:tcW w:w="1134" w:type="dxa"/>
            <w:tcBorders>
              <w:top w:val="single" w:sz="2" w:space="0" w:color="auto"/>
              <w:bottom w:val="single" w:sz="2" w:space="0" w:color="auto"/>
            </w:tcBorders>
            <w:vAlign w:val="center"/>
          </w:tcPr>
          <w:p w14:paraId="66F06DF1" w14:textId="77777777" w:rsidR="00F87E58" w:rsidRPr="00BB5B2C" w:rsidRDefault="00F87E58" w:rsidP="00F87E58">
            <w:pPr>
              <w:pStyle w:val="cuatexto"/>
              <w:jc w:val="right"/>
            </w:pPr>
            <w:r>
              <w:t xml:space="preserve">2.250.000</w:t>
            </w:r>
          </w:p>
        </w:tc>
      </w:tr>
      <w:tr w:rsidR="00F87E58" w:rsidRPr="00BB5B2C" w14:paraId="63C90FD9"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hideMark/>
          </w:tcPr>
          <w:p w14:paraId="6996FDED" w14:textId="77777777" w:rsidR="00F87E58" w:rsidRPr="00BB5B2C" w:rsidRDefault="00F87E58" w:rsidP="00F87E58">
            <w:pPr>
              <w:pStyle w:val="cuatexto"/>
              <w:jc w:val="left"/>
            </w:pPr>
            <w:r>
              <w:t xml:space="preserve">Construcciones Sanzol SA</w:t>
            </w:r>
          </w:p>
        </w:tc>
        <w:tc>
          <w:tcPr>
            <w:tcW w:w="1276" w:type="dxa"/>
            <w:tcBorders>
              <w:top w:val="single" w:sz="2" w:space="0" w:color="auto"/>
              <w:bottom w:val="single" w:sz="2" w:space="0" w:color="auto"/>
            </w:tcBorders>
            <w:shd w:val="clear" w:color="auto" w:fill="auto"/>
            <w:noWrap/>
            <w:vAlign w:val="center"/>
          </w:tcPr>
          <w:p w14:paraId="60985446" w14:textId="77777777" w:rsidR="00F87E58" w:rsidRPr="00BB5B2C" w:rsidRDefault="00F87E58" w:rsidP="00F87E58">
            <w:pPr>
              <w:pStyle w:val="cuatexto"/>
              <w:jc w:val="right"/>
            </w:pPr>
            <w:r>
              <w:t xml:space="preserve">10</w:t>
            </w:r>
          </w:p>
        </w:tc>
        <w:tc>
          <w:tcPr>
            <w:tcW w:w="1134" w:type="dxa"/>
            <w:tcBorders>
              <w:top w:val="single" w:sz="2" w:space="0" w:color="auto"/>
              <w:bottom w:val="single" w:sz="2" w:space="0" w:color="auto"/>
            </w:tcBorders>
            <w:vAlign w:val="center"/>
          </w:tcPr>
          <w:p w14:paraId="4EE5DFD7" w14:textId="77777777" w:rsidR="00F87E58" w:rsidRPr="00BB5B2C" w:rsidRDefault="00F87E58" w:rsidP="00F87E58">
            <w:pPr>
              <w:pStyle w:val="cuatexto"/>
              <w:jc w:val="right"/>
            </w:pPr>
            <w:r>
              <w:t xml:space="preserve">900.000</w:t>
            </w:r>
          </w:p>
        </w:tc>
      </w:tr>
      <w:tr w:rsidR="00F87E58" w:rsidRPr="00BB5B2C" w14:paraId="0372912E" w14:textId="77777777" w:rsidTr="00F87E58">
        <w:trPr>
          <w:trHeight w:val="198"/>
          <w:jc w:val="center"/>
        </w:trPr>
        <w:tc>
          <w:tcPr>
            <w:tcW w:w="6095" w:type="dxa"/>
            <w:tcBorders>
              <w:top w:val="single" w:sz="2" w:space="0" w:color="auto"/>
              <w:bottom w:val="single" w:sz="4" w:space="0" w:color="auto"/>
            </w:tcBorders>
            <w:shd w:val="clear" w:color="auto" w:fill="auto"/>
            <w:noWrap/>
            <w:vAlign w:val="center"/>
            <w:hideMark/>
          </w:tcPr>
          <w:p w14:paraId="3371E262" w14:textId="77777777" w:rsidR="00F87E58" w:rsidRPr="00BB5B2C" w:rsidRDefault="00F87E58" w:rsidP="00F87E58">
            <w:pPr>
              <w:pStyle w:val="cuatexto"/>
              <w:jc w:val="left"/>
            </w:pPr>
            <w:r>
              <w:t xml:space="preserve">La Información SA</w:t>
            </w:r>
          </w:p>
        </w:tc>
        <w:tc>
          <w:tcPr>
            <w:tcW w:w="1276" w:type="dxa"/>
            <w:tcBorders>
              <w:top w:val="single" w:sz="2" w:space="0" w:color="auto"/>
              <w:bottom w:val="single" w:sz="4" w:space="0" w:color="auto"/>
            </w:tcBorders>
            <w:shd w:val="clear" w:color="auto" w:fill="auto"/>
            <w:noWrap/>
            <w:vAlign w:val="center"/>
          </w:tcPr>
          <w:p w14:paraId="33068851" w14:textId="77777777" w:rsidR="00F87E58" w:rsidRPr="00BB5B2C" w:rsidRDefault="00F87E58" w:rsidP="00F87E58">
            <w:pPr>
              <w:pStyle w:val="cuatexto"/>
              <w:jc w:val="right"/>
            </w:pPr>
            <w:r>
              <w:t xml:space="preserve">5</w:t>
            </w:r>
          </w:p>
        </w:tc>
        <w:tc>
          <w:tcPr>
            <w:tcW w:w="1134" w:type="dxa"/>
            <w:tcBorders>
              <w:top w:val="single" w:sz="2" w:space="0" w:color="auto"/>
              <w:bottom w:val="single" w:sz="4" w:space="0" w:color="auto"/>
            </w:tcBorders>
            <w:vAlign w:val="center"/>
          </w:tcPr>
          <w:p w14:paraId="1CA8668B" w14:textId="77777777" w:rsidR="00F87E58" w:rsidRPr="00BB5B2C" w:rsidRDefault="00F87E58" w:rsidP="00F87E58">
            <w:pPr>
              <w:pStyle w:val="cuatexto"/>
              <w:jc w:val="right"/>
            </w:pPr>
            <w:r>
              <w:t xml:space="preserve">450.000</w:t>
            </w:r>
          </w:p>
        </w:tc>
      </w:tr>
      <w:tr w:rsidR="00F87E58" w:rsidRPr="00BB5B2C" w14:paraId="76A2165D" w14:textId="77777777" w:rsidTr="00F87E58">
        <w:trPr>
          <w:trHeight w:val="255"/>
          <w:jc w:val="center"/>
        </w:trPr>
        <w:tc>
          <w:tcPr>
            <w:tcW w:w="6095" w:type="dxa"/>
            <w:shd w:val="clear" w:color="auto" w:fill="9CC2E5"/>
            <w:noWrap/>
            <w:vAlign w:val="bottom"/>
            <w:hideMark/>
          </w:tcPr>
          <w:p w14:paraId="5D384B67" w14:textId="77777777" w:rsidR="00F87E58" w:rsidRPr="00BB5B2C" w:rsidRDefault="00F87E58" w:rsidP="00F87E58">
            <w:pPr>
              <w:pStyle w:val="cuadroCabe"/>
              <w:jc w:val="left"/>
            </w:pPr>
          </w:p>
        </w:tc>
        <w:tc>
          <w:tcPr>
            <w:tcW w:w="1276" w:type="dxa"/>
            <w:shd w:val="clear" w:color="auto" w:fill="9CC2E5"/>
            <w:noWrap/>
            <w:vAlign w:val="bottom"/>
            <w:hideMark/>
          </w:tcPr>
          <w:p w14:paraId="53B1A960" w14:textId="77777777" w:rsidR="00F87E58" w:rsidRPr="00BB5B2C" w:rsidRDefault="00F87E58" w:rsidP="00F87E58">
            <w:pPr>
              <w:pStyle w:val="cuadroCabe"/>
              <w:jc w:val="right"/>
            </w:pPr>
            <w:r>
              <w:t xml:space="preserve">100</w:t>
            </w:r>
          </w:p>
        </w:tc>
        <w:tc>
          <w:tcPr>
            <w:tcW w:w="1134" w:type="dxa"/>
            <w:shd w:val="clear" w:color="auto" w:fill="9CC2E5"/>
          </w:tcPr>
          <w:p w14:paraId="61BBA47C" w14:textId="77777777" w:rsidR="00F87E58" w:rsidRPr="00BB5B2C" w:rsidRDefault="00F87E58" w:rsidP="00F87E58">
            <w:pPr>
              <w:pStyle w:val="cuadroCabe"/>
              <w:jc w:val="right"/>
            </w:pPr>
            <w:r>
              <w:t xml:space="preserve">9.000.000</w:t>
            </w:r>
          </w:p>
        </w:tc>
      </w:tr>
    </w:tbl>
    <w:p w14:paraId="4340EE83" w14:textId="77777777" w:rsidR="004E7FEB" w:rsidRDefault="006A2ACC" w:rsidP="006A2ACC">
      <w:pPr>
        <w:pStyle w:val="texto"/>
        <w:spacing w:before="360" w:after="240"/>
      </w:pPr>
      <w:r>
        <w:t xml:space="preserve">Geroago akzioen banaketa aldatu egin zen taula honetan laburbilduta azaltzen den bezala:</w:t>
      </w:r>
    </w:p>
    <w:tbl>
      <w:tblPr>
        <w:tblW w:w="1034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276"/>
        <w:gridCol w:w="836"/>
        <w:gridCol w:w="922"/>
        <w:gridCol w:w="992"/>
        <w:gridCol w:w="851"/>
        <w:gridCol w:w="425"/>
        <w:gridCol w:w="993"/>
        <w:gridCol w:w="850"/>
        <w:gridCol w:w="652"/>
        <w:gridCol w:w="992"/>
        <w:gridCol w:w="766"/>
        <w:gridCol w:w="793"/>
      </w:tblGrid>
      <w:tr w:rsidR="00F87E58" w:rsidRPr="000E1539" w14:paraId="4A7C2422" w14:textId="77777777" w:rsidTr="009B18F4">
        <w:trPr>
          <w:trHeight w:val="255"/>
          <w:jc w:val="center"/>
        </w:trPr>
        <w:tc>
          <w:tcPr>
            <w:tcW w:w="1276" w:type="dxa"/>
            <w:tcBorders>
              <w:bottom w:val="nil"/>
            </w:tcBorders>
            <w:shd w:val="clear" w:color="auto" w:fill="9CC2E5"/>
            <w:noWrap/>
            <w:vAlign w:val="center"/>
            <w:hideMark/>
          </w:tcPr>
          <w:p w14:paraId="2D0AF3D4" w14:textId="77777777" w:rsidR="00F87E58" w:rsidRPr="000E1539" w:rsidRDefault="00F87E58" w:rsidP="00F87E58">
            <w:pPr>
              <w:pStyle w:val="cuadroCabe"/>
              <w:jc w:val="right"/>
              <w:rPr>
                <w:sz w:val="16"/>
                <w:szCs w:val="16"/>
              </w:rPr>
            </w:pPr>
          </w:p>
        </w:tc>
        <w:tc>
          <w:tcPr>
            <w:tcW w:w="1758" w:type="dxa"/>
            <w:gridSpan w:val="2"/>
            <w:tcBorders>
              <w:bottom w:val="nil"/>
              <w:right w:val="single" w:sz="4" w:space="0" w:color="auto"/>
            </w:tcBorders>
            <w:shd w:val="clear" w:color="auto" w:fill="9CC2E5"/>
            <w:noWrap/>
            <w:vAlign w:val="center"/>
            <w:hideMark/>
          </w:tcPr>
          <w:p w14:paraId="1838D67F" w14:textId="77777777" w:rsidR="00F87E58" w:rsidRPr="000E1539" w:rsidRDefault="00F87E58" w:rsidP="008C3C03">
            <w:pPr>
              <w:pStyle w:val="cuadroCabe"/>
              <w:ind w:left="-71"/>
              <w:jc w:val="center"/>
              <w:rPr>
                <w:sz w:val="16"/>
                <w:szCs w:val="16"/>
              </w:rPr>
            </w:pPr>
            <w:r>
              <w:rPr>
                <w:sz w:val="16"/>
              </w:rPr>
              <w:t xml:space="preserve">Eraketan akzioak harpidetzea</w:t>
            </w:r>
          </w:p>
        </w:tc>
        <w:tc>
          <w:tcPr>
            <w:tcW w:w="2268" w:type="dxa"/>
            <w:gridSpan w:val="3"/>
            <w:tcBorders>
              <w:left w:val="single" w:sz="4" w:space="0" w:color="auto"/>
              <w:bottom w:val="nil"/>
              <w:right w:val="single" w:sz="4" w:space="0" w:color="auto"/>
            </w:tcBorders>
            <w:shd w:val="clear" w:color="auto" w:fill="9CC2E5"/>
            <w:noWrap/>
            <w:vAlign w:val="center"/>
            <w:hideMark/>
          </w:tcPr>
          <w:p w14:paraId="57898EBE" w14:textId="77777777" w:rsidR="00F87E58" w:rsidRDefault="00F87E58" w:rsidP="008C3C03">
            <w:pPr>
              <w:pStyle w:val="cuadroCabe"/>
              <w:jc w:val="center"/>
              <w:rPr>
                <w:sz w:val="16"/>
                <w:szCs w:val="16"/>
              </w:rPr>
            </w:pPr>
            <w:r>
              <w:rPr>
                <w:sz w:val="16"/>
              </w:rPr>
              <w:t xml:space="preserve">Patalik</w:t>
            </w:r>
          </w:p>
          <w:p w14:paraId="5335E93C" w14:textId="77777777" w:rsidR="00F87E58" w:rsidRPr="000E1539" w:rsidRDefault="00F87E58" w:rsidP="008C3C03">
            <w:pPr>
              <w:pStyle w:val="cuadroCabe"/>
              <w:jc w:val="center"/>
              <w:rPr>
                <w:sz w:val="16"/>
                <w:szCs w:val="16"/>
              </w:rPr>
            </w:pPr>
            <w:r>
              <w:rPr>
                <w:sz w:val="16"/>
              </w:rPr>
              <w:t xml:space="preserve">GCANi saltzea</w:t>
            </w:r>
          </w:p>
        </w:tc>
        <w:tc>
          <w:tcPr>
            <w:tcW w:w="2495" w:type="dxa"/>
            <w:gridSpan w:val="3"/>
            <w:tcBorders>
              <w:left w:val="single" w:sz="4" w:space="0" w:color="auto"/>
              <w:bottom w:val="nil"/>
              <w:right w:val="single" w:sz="4" w:space="0" w:color="auto"/>
            </w:tcBorders>
            <w:shd w:val="clear" w:color="auto" w:fill="9CC2E5"/>
            <w:noWrap/>
            <w:vAlign w:val="center"/>
            <w:hideMark/>
          </w:tcPr>
          <w:p w14:paraId="5641974F" w14:textId="77777777" w:rsidR="008C3C03" w:rsidRDefault="008C3C03" w:rsidP="008C3C03">
            <w:pPr>
              <w:pStyle w:val="cuadroCabe"/>
              <w:jc w:val="left"/>
              <w:rPr>
                <w:sz w:val="16"/>
                <w:szCs w:val="16"/>
              </w:rPr>
            </w:pPr>
          </w:p>
          <w:p w14:paraId="2D569CD9" w14:textId="77777777" w:rsidR="00F87E58" w:rsidRPr="000E1539" w:rsidRDefault="00F87E58" w:rsidP="008C3C03">
            <w:pPr>
              <w:pStyle w:val="cuadroCabe"/>
              <w:jc w:val="right"/>
              <w:rPr>
                <w:sz w:val="16"/>
                <w:szCs w:val="16"/>
              </w:rPr>
            </w:pPr>
            <w:r>
              <w:rPr>
                <w:sz w:val="16"/>
              </w:rPr>
              <w:t xml:space="preserve">CANek saltzea 2023/12/16</w:t>
            </w:r>
          </w:p>
        </w:tc>
        <w:tc>
          <w:tcPr>
            <w:tcW w:w="2551" w:type="dxa"/>
            <w:gridSpan w:val="3"/>
            <w:tcBorders>
              <w:left w:val="single" w:sz="4" w:space="0" w:color="auto"/>
              <w:bottom w:val="nil"/>
            </w:tcBorders>
            <w:shd w:val="clear" w:color="auto" w:fill="9CC2E5"/>
            <w:noWrap/>
            <w:vAlign w:val="center"/>
            <w:hideMark/>
          </w:tcPr>
          <w:p w14:paraId="6ECC00EE" w14:textId="77777777" w:rsidR="008C3C03" w:rsidRDefault="008C3C03" w:rsidP="008C3C03">
            <w:pPr>
              <w:pStyle w:val="cuadroCabe"/>
              <w:jc w:val="right"/>
              <w:rPr>
                <w:sz w:val="16"/>
                <w:szCs w:val="16"/>
              </w:rPr>
            </w:pPr>
          </w:p>
          <w:p w14:paraId="234C8AF8" w14:textId="77777777" w:rsidR="00F87E58" w:rsidRPr="000E1539" w:rsidRDefault="00F87E58" w:rsidP="008C3C03">
            <w:pPr>
              <w:pStyle w:val="cuadroCabe"/>
              <w:jc w:val="right"/>
              <w:rPr>
                <w:sz w:val="16"/>
                <w:szCs w:val="16"/>
              </w:rPr>
            </w:pPr>
            <w:r>
              <w:rPr>
                <w:sz w:val="16"/>
              </w:rPr>
              <w:t xml:space="preserve">Patali irtetea 2007/06/18</w:t>
            </w:r>
          </w:p>
        </w:tc>
      </w:tr>
      <w:tr w:rsidR="00F87E58" w:rsidRPr="000E1539" w14:paraId="7000C8BF" w14:textId="77777777" w:rsidTr="009B18F4">
        <w:trPr>
          <w:trHeight w:val="255"/>
          <w:jc w:val="center"/>
        </w:trPr>
        <w:tc>
          <w:tcPr>
            <w:tcW w:w="1276" w:type="dxa"/>
            <w:tcBorders>
              <w:top w:val="nil"/>
            </w:tcBorders>
            <w:shd w:val="clear" w:color="auto" w:fill="9CC2E5"/>
            <w:noWrap/>
            <w:vAlign w:val="center"/>
            <w:hideMark/>
          </w:tcPr>
          <w:p w14:paraId="1783169A" w14:textId="77777777" w:rsidR="00F87E58" w:rsidRPr="000E1539" w:rsidRDefault="00F87E58" w:rsidP="00F87E58">
            <w:pPr>
              <w:pStyle w:val="cuadroCabe"/>
              <w:jc w:val="right"/>
              <w:rPr>
                <w:sz w:val="16"/>
                <w:szCs w:val="16"/>
              </w:rPr>
            </w:pPr>
          </w:p>
        </w:tc>
        <w:tc>
          <w:tcPr>
            <w:tcW w:w="1758" w:type="dxa"/>
            <w:gridSpan w:val="2"/>
            <w:tcBorders>
              <w:top w:val="nil"/>
              <w:right w:val="single" w:sz="4" w:space="0" w:color="auto"/>
            </w:tcBorders>
            <w:shd w:val="clear" w:color="auto" w:fill="9CC2E5"/>
            <w:noWrap/>
            <w:vAlign w:val="center"/>
            <w:hideMark/>
          </w:tcPr>
          <w:p w14:paraId="1B06DB27" w14:textId="77777777" w:rsidR="00F87E58" w:rsidRPr="000E1539" w:rsidRDefault="00F87E58" w:rsidP="008C3C03">
            <w:pPr>
              <w:pStyle w:val="cuadroCabe"/>
              <w:jc w:val="center"/>
              <w:rPr>
                <w:sz w:val="16"/>
                <w:szCs w:val="16"/>
              </w:rPr>
            </w:pPr>
            <w:r>
              <w:rPr>
                <w:sz w:val="16"/>
              </w:rPr>
              <w:t xml:space="preserve">2001/11/23</w:t>
            </w:r>
          </w:p>
        </w:tc>
        <w:tc>
          <w:tcPr>
            <w:tcW w:w="2268" w:type="dxa"/>
            <w:gridSpan w:val="3"/>
            <w:tcBorders>
              <w:top w:val="nil"/>
              <w:left w:val="single" w:sz="4" w:space="0" w:color="auto"/>
              <w:right w:val="single" w:sz="4" w:space="0" w:color="auto"/>
            </w:tcBorders>
            <w:shd w:val="clear" w:color="auto" w:fill="9CC2E5"/>
            <w:noWrap/>
            <w:vAlign w:val="center"/>
            <w:hideMark/>
          </w:tcPr>
          <w:p w14:paraId="71122C66" w14:textId="77777777" w:rsidR="00F87E58" w:rsidRPr="000E1539" w:rsidRDefault="00F87E58" w:rsidP="008C3C03">
            <w:pPr>
              <w:pStyle w:val="cuadroCabe"/>
              <w:jc w:val="center"/>
              <w:rPr>
                <w:sz w:val="16"/>
                <w:szCs w:val="16"/>
              </w:rPr>
            </w:pPr>
            <w:r>
              <w:rPr>
                <w:sz w:val="16"/>
              </w:rPr>
              <w:t xml:space="preserve">2002/04/29</w:t>
            </w:r>
          </w:p>
        </w:tc>
        <w:tc>
          <w:tcPr>
            <w:tcW w:w="2495" w:type="dxa"/>
            <w:gridSpan w:val="3"/>
            <w:tcBorders>
              <w:top w:val="nil"/>
              <w:left w:val="single" w:sz="4" w:space="0" w:color="auto"/>
              <w:right w:val="single" w:sz="4" w:space="0" w:color="auto"/>
            </w:tcBorders>
            <w:shd w:val="clear" w:color="auto" w:fill="9CC2E5"/>
            <w:noWrap/>
            <w:vAlign w:val="center"/>
            <w:hideMark/>
          </w:tcPr>
          <w:p w14:paraId="613E3EF6" w14:textId="77777777" w:rsidR="00F87E58" w:rsidRPr="000E1539" w:rsidRDefault="00F87E58" w:rsidP="008C3C03">
            <w:pPr>
              <w:pStyle w:val="cuadroCabe"/>
              <w:jc w:val="left"/>
              <w:rPr>
                <w:sz w:val="16"/>
                <w:szCs w:val="16"/>
              </w:rPr>
            </w:pPr>
          </w:p>
        </w:tc>
        <w:tc>
          <w:tcPr>
            <w:tcW w:w="2551" w:type="dxa"/>
            <w:gridSpan w:val="3"/>
            <w:tcBorders>
              <w:top w:val="nil"/>
              <w:left w:val="single" w:sz="4" w:space="0" w:color="auto"/>
            </w:tcBorders>
            <w:shd w:val="clear" w:color="auto" w:fill="9CC2E5"/>
            <w:noWrap/>
            <w:vAlign w:val="center"/>
            <w:hideMark/>
          </w:tcPr>
          <w:p w14:paraId="2C025197" w14:textId="77777777" w:rsidR="00F87E58" w:rsidRPr="000E1539" w:rsidRDefault="00F87E58" w:rsidP="008C3C03">
            <w:pPr>
              <w:pStyle w:val="cuadroCabe"/>
              <w:jc w:val="right"/>
              <w:rPr>
                <w:sz w:val="16"/>
                <w:szCs w:val="16"/>
              </w:rPr>
            </w:pPr>
          </w:p>
        </w:tc>
      </w:tr>
      <w:tr w:rsidR="00F87E58" w:rsidRPr="009C44C1" w14:paraId="2417B47A" w14:textId="77777777" w:rsidTr="009B18F4">
        <w:trPr>
          <w:trHeight w:val="198"/>
          <w:jc w:val="center"/>
        </w:trPr>
        <w:tc>
          <w:tcPr>
            <w:tcW w:w="1276" w:type="dxa"/>
            <w:shd w:val="clear" w:color="auto" w:fill="8DB3E2" w:themeFill="text2" w:themeFillTint="66"/>
            <w:noWrap/>
            <w:vAlign w:val="center"/>
            <w:hideMark/>
          </w:tcPr>
          <w:p w14:paraId="69223EBF" w14:textId="77777777" w:rsidR="00F87E58" w:rsidRPr="009C44C1" w:rsidRDefault="00F87E58" w:rsidP="00F87E58">
            <w:pPr>
              <w:pStyle w:val="cuatexto"/>
              <w:rPr>
                <w:sz w:val="16"/>
                <w:szCs w:val="16"/>
              </w:rPr>
            </w:pPr>
          </w:p>
        </w:tc>
        <w:tc>
          <w:tcPr>
            <w:tcW w:w="836" w:type="dxa"/>
            <w:shd w:val="clear" w:color="auto" w:fill="8DB3E2" w:themeFill="text2" w:themeFillTint="66"/>
            <w:noWrap/>
            <w:vAlign w:val="center"/>
            <w:hideMark/>
          </w:tcPr>
          <w:p w14:paraId="61CE0CDC" w14:textId="77777777" w:rsidR="00F87E58" w:rsidRPr="009C44C1" w:rsidRDefault="00F87E58" w:rsidP="00F87E58">
            <w:pPr>
              <w:pStyle w:val="cuatexto"/>
              <w:jc w:val="right"/>
              <w:rPr>
                <w:sz w:val="16"/>
                <w:szCs w:val="16"/>
              </w:rPr>
            </w:pPr>
            <w:r>
              <w:rPr>
                <w:sz w:val="16"/>
              </w:rPr>
              <w:t xml:space="preserve">Partaidetzak</w:t>
            </w:r>
          </w:p>
        </w:tc>
        <w:tc>
          <w:tcPr>
            <w:tcW w:w="922" w:type="dxa"/>
            <w:tcBorders>
              <w:right w:val="single" w:sz="4" w:space="0" w:color="auto"/>
            </w:tcBorders>
            <w:shd w:val="clear" w:color="auto" w:fill="8DB3E2" w:themeFill="text2" w:themeFillTint="66"/>
            <w:noWrap/>
            <w:vAlign w:val="center"/>
            <w:hideMark/>
          </w:tcPr>
          <w:p w14:paraId="38D04E35" w14:textId="77777777" w:rsidR="00F87E58" w:rsidRPr="009C44C1" w:rsidRDefault="00F87E58" w:rsidP="00F87E58">
            <w:pPr>
              <w:pStyle w:val="cuatexto"/>
              <w:jc w:val="right"/>
              <w:rPr>
                <w:sz w:val="16"/>
                <w:szCs w:val="16"/>
              </w:rPr>
            </w:pPr>
            <w:r>
              <w:rPr>
                <w:sz w:val="16"/>
              </w:rPr>
              <w:t xml:space="preserve">%</w:t>
            </w:r>
          </w:p>
        </w:tc>
        <w:tc>
          <w:tcPr>
            <w:tcW w:w="992" w:type="dxa"/>
            <w:tcBorders>
              <w:left w:val="single" w:sz="4" w:space="0" w:color="auto"/>
            </w:tcBorders>
            <w:shd w:val="clear" w:color="auto" w:fill="8DB3E2" w:themeFill="text2" w:themeFillTint="66"/>
            <w:noWrap/>
            <w:vAlign w:val="center"/>
            <w:hideMark/>
          </w:tcPr>
          <w:p w14:paraId="2A550B84" w14:textId="77777777" w:rsidR="00F87E58" w:rsidRPr="009C44C1" w:rsidRDefault="00F87E58" w:rsidP="00F87E58">
            <w:pPr>
              <w:pStyle w:val="cuatexto"/>
              <w:jc w:val="right"/>
              <w:rPr>
                <w:sz w:val="16"/>
                <w:szCs w:val="16"/>
              </w:rPr>
            </w:pPr>
            <w:r>
              <w:rPr>
                <w:sz w:val="16"/>
              </w:rPr>
              <w:t xml:space="preserve">Eskualdatuak</w:t>
            </w:r>
          </w:p>
        </w:tc>
        <w:tc>
          <w:tcPr>
            <w:tcW w:w="851" w:type="dxa"/>
            <w:shd w:val="clear" w:color="auto" w:fill="8DB3E2" w:themeFill="text2" w:themeFillTint="66"/>
            <w:noWrap/>
            <w:vAlign w:val="center"/>
            <w:hideMark/>
          </w:tcPr>
          <w:p w14:paraId="1BA78CA4" w14:textId="77777777" w:rsidR="00F87E58" w:rsidRPr="009C44C1" w:rsidRDefault="00886F83" w:rsidP="00886F83">
            <w:pPr>
              <w:pStyle w:val="cuatexto"/>
              <w:jc w:val="right"/>
              <w:rPr>
                <w:sz w:val="16"/>
                <w:szCs w:val="16"/>
              </w:rPr>
            </w:pPr>
            <w:r>
              <w:rPr>
                <w:sz w:val="16"/>
              </w:rPr>
              <w:t xml:space="preserve">Amaierakoak</w:t>
            </w:r>
          </w:p>
        </w:tc>
        <w:tc>
          <w:tcPr>
            <w:tcW w:w="425" w:type="dxa"/>
            <w:tcBorders>
              <w:right w:val="single" w:sz="4" w:space="0" w:color="auto"/>
            </w:tcBorders>
            <w:shd w:val="clear" w:color="auto" w:fill="8DB3E2" w:themeFill="text2" w:themeFillTint="66"/>
            <w:noWrap/>
            <w:vAlign w:val="center"/>
            <w:hideMark/>
          </w:tcPr>
          <w:p w14:paraId="05CB2036" w14:textId="77777777" w:rsidR="00F87E58" w:rsidRPr="009C44C1" w:rsidRDefault="00F87E58" w:rsidP="00F87E58">
            <w:pPr>
              <w:pStyle w:val="cuatexto"/>
              <w:jc w:val="right"/>
              <w:rPr>
                <w:sz w:val="16"/>
                <w:szCs w:val="16"/>
              </w:rPr>
            </w:pPr>
            <w:r>
              <w:rPr>
                <w:sz w:val="16"/>
              </w:rPr>
              <w:t xml:space="preserve">%</w:t>
            </w:r>
          </w:p>
        </w:tc>
        <w:tc>
          <w:tcPr>
            <w:tcW w:w="993" w:type="dxa"/>
            <w:tcBorders>
              <w:left w:val="single" w:sz="4" w:space="0" w:color="auto"/>
            </w:tcBorders>
            <w:shd w:val="clear" w:color="auto" w:fill="8DB3E2" w:themeFill="text2" w:themeFillTint="66"/>
            <w:noWrap/>
            <w:vAlign w:val="center"/>
            <w:hideMark/>
          </w:tcPr>
          <w:p w14:paraId="5C9F66AC" w14:textId="77777777" w:rsidR="00F87E58" w:rsidRPr="009C44C1" w:rsidRDefault="00F87E58" w:rsidP="00F87E58">
            <w:pPr>
              <w:pStyle w:val="cuatexto"/>
              <w:jc w:val="right"/>
              <w:rPr>
                <w:sz w:val="16"/>
                <w:szCs w:val="16"/>
              </w:rPr>
            </w:pPr>
            <w:r>
              <w:rPr>
                <w:sz w:val="16"/>
              </w:rPr>
              <w:t xml:space="preserve">Eskualdatuak</w:t>
            </w:r>
          </w:p>
        </w:tc>
        <w:tc>
          <w:tcPr>
            <w:tcW w:w="850" w:type="dxa"/>
            <w:shd w:val="clear" w:color="auto" w:fill="8DB3E2" w:themeFill="text2" w:themeFillTint="66"/>
            <w:noWrap/>
            <w:vAlign w:val="center"/>
            <w:hideMark/>
          </w:tcPr>
          <w:p w14:paraId="6A32B105" w14:textId="77777777" w:rsidR="00F87E58" w:rsidRPr="009C44C1" w:rsidRDefault="00886F83" w:rsidP="00886F83">
            <w:pPr>
              <w:pStyle w:val="cuatexto"/>
              <w:jc w:val="right"/>
              <w:rPr>
                <w:sz w:val="16"/>
                <w:szCs w:val="16"/>
              </w:rPr>
            </w:pPr>
            <w:r>
              <w:rPr>
                <w:sz w:val="16"/>
              </w:rPr>
              <w:t xml:space="preserve">Amaierakoak</w:t>
            </w:r>
          </w:p>
        </w:tc>
        <w:tc>
          <w:tcPr>
            <w:tcW w:w="652" w:type="dxa"/>
            <w:tcBorders>
              <w:right w:val="single" w:sz="4" w:space="0" w:color="auto"/>
            </w:tcBorders>
            <w:shd w:val="clear" w:color="auto" w:fill="8DB3E2" w:themeFill="text2" w:themeFillTint="66"/>
            <w:noWrap/>
            <w:vAlign w:val="center"/>
            <w:hideMark/>
          </w:tcPr>
          <w:p w14:paraId="35BDF32B" w14:textId="77777777" w:rsidR="00F87E58" w:rsidRPr="009C44C1" w:rsidRDefault="00F87E58" w:rsidP="00F87E58">
            <w:pPr>
              <w:pStyle w:val="cuatexto"/>
              <w:jc w:val="right"/>
              <w:rPr>
                <w:sz w:val="16"/>
                <w:szCs w:val="16"/>
              </w:rPr>
            </w:pPr>
            <w:r>
              <w:rPr>
                <w:sz w:val="16"/>
              </w:rPr>
              <w:t xml:space="preserve">%</w:t>
            </w:r>
          </w:p>
        </w:tc>
        <w:tc>
          <w:tcPr>
            <w:tcW w:w="992" w:type="dxa"/>
            <w:tcBorders>
              <w:left w:val="single" w:sz="4" w:space="0" w:color="auto"/>
            </w:tcBorders>
            <w:shd w:val="clear" w:color="auto" w:fill="8DB3E2" w:themeFill="text2" w:themeFillTint="66"/>
            <w:noWrap/>
            <w:vAlign w:val="center"/>
            <w:hideMark/>
          </w:tcPr>
          <w:p w14:paraId="5326971B" w14:textId="77777777" w:rsidR="00F87E58" w:rsidRPr="009C44C1" w:rsidRDefault="00F87E58" w:rsidP="00F87E58">
            <w:pPr>
              <w:pStyle w:val="cuatexto"/>
              <w:jc w:val="center"/>
              <w:rPr>
                <w:sz w:val="16"/>
                <w:szCs w:val="16"/>
              </w:rPr>
            </w:pPr>
            <w:r>
              <w:rPr>
                <w:sz w:val="16"/>
              </w:rPr>
              <w:t xml:space="preserve">Eskualdatuak</w:t>
            </w:r>
          </w:p>
        </w:tc>
        <w:tc>
          <w:tcPr>
            <w:tcW w:w="766" w:type="dxa"/>
            <w:shd w:val="clear" w:color="auto" w:fill="8DB3E2" w:themeFill="text2" w:themeFillTint="66"/>
            <w:noWrap/>
            <w:vAlign w:val="center"/>
            <w:hideMark/>
          </w:tcPr>
          <w:p w14:paraId="0A7FC286" w14:textId="77777777" w:rsidR="00F87E58" w:rsidRPr="009C44C1" w:rsidRDefault="00886F83" w:rsidP="00886F83">
            <w:pPr>
              <w:pStyle w:val="cuatexto"/>
              <w:jc w:val="right"/>
              <w:rPr>
                <w:sz w:val="16"/>
                <w:szCs w:val="16"/>
              </w:rPr>
            </w:pPr>
            <w:r>
              <w:rPr>
                <w:sz w:val="16"/>
              </w:rPr>
              <w:t xml:space="preserve">Amaierakoak</w:t>
            </w:r>
          </w:p>
        </w:tc>
        <w:tc>
          <w:tcPr>
            <w:tcW w:w="793" w:type="dxa"/>
            <w:shd w:val="clear" w:color="auto" w:fill="8DB3E2" w:themeFill="text2" w:themeFillTint="66"/>
            <w:noWrap/>
            <w:vAlign w:val="center"/>
            <w:hideMark/>
          </w:tcPr>
          <w:p w14:paraId="62564EBE" w14:textId="77777777" w:rsidR="00F87E58" w:rsidRPr="009C44C1" w:rsidRDefault="00F87E58" w:rsidP="00F87E58">
            <w:pPr>
              <w:pStyle w:val="cuatexto"/>
              <w:jc w:val="right"/>
              <w:rPr>
                <w:sz w:val="16"/>
                <w:szCs w:val="16"/>
              </w:rPr>
            </w:pPr>
            <w:r>
              <w:rPr>
                <w:sz w:val="16"/>
              </w:rPr>
              <w:t xml:space="preserve">%</w:t>
            </w:r>
          </w:p>
        </w:tc>
      </w:tr>
      <w:tr w:rsidR="00F87E58" w:rsidRPr="009C44C1" w14:paraId="7285B428" w14:textId="77777777" w:rsidTr="009B18F4">
        <w:trPr>
          <w:trHeight w:val="198"/>
          <w:jc w:val="center"/>
        </w:trPr>
        <w:tc>
          <w:tcPr>
            <w:tcW w:w="1276" w:type="dxa"/>
            <w:shd w:val="clear" w:color="auto" w:fill="auto"/>
            <w:noWrap/>
            <w:vAlign w:val="center"/>
            <w:hideMark/>
          </w:tcPr>
          <w:p w14:paraId="3C7383E9" w14:textId="77777777" w:rsidR="00F87E58" w:rsidRPr="009C44C1" w:rsidRDefault="00F87E58" w:rsidP="00F87E58">
            <w:pPr>
              <w:pStyle w:val="cuatexto"/>
              <w:rPr>
                <w:sz w:val="16"/>
                <w:szCs w:val="16"/>
              </w:rPr>
            </w:pPr>
            <w:r>
              <w:rPr>
                <w:sz w:val="16"/>
              </w:rPr>
              <w:t xml:space="preserve">Sodena SA/SL</w:t>
            </w:r>
          </w:p>
        </w:tc>
        <w:tc>
          <w:tcPr>
            <w:tcW w:w="836" w:type="dxa"/>
            <w:shd w:val="clear" w:color="auto" w:fill="auto"/>
            <w:noWrap/>
            <w:vAlign w:val="center"/>
            <w:hideMark/>
          </w:tcPr>
          <w:p w14:paraId="36986872" w14:textId="77777777" w:rsidR="00F87E58" w:rsidRPr="009C44C1" w:rsidRDefault="00F87E58" w:rsidP="00F87E58">
            <w:pPr>
              <w:pStyle w:val="cuatexto"/>
              <w:jc w:val="right"/>
              <w:rPr>
                <w:sz w:val="16"/>
                <w:szCs w:val="16"/>
              </w:rPr>
            </w:pPr>
            <w:r>
              <w:rPr>
                <w:sz w:val="16"/>
              </w:rPr>
              <w:t xml:space="preserve">405.000</w:t>
            </w:r>
          </w:p>
        </w:tc>
        <w:tc>
          <w:tcPr>
            <w:tcW w:w="922" w:type="dxa"/>
            <w:tcBorders>
              <w:right w:val="single" w:sz="4" w:space="0" w:color="auto"/>
            </w:tcBorders>
            <w:shd w:val="clear" w:color="auto" w:fill="auto"/>
            <w:noWrap/>
            <w:vAlign w:val="center"/>
            <w:hideMark/>
          </w:tcPr>
          <w:p w14:paraId="0FEBBF59" w14:textId="77777777" w:rsidR="00F87E58" w:rsidRPr="009C44C1" w:rsidRDefault="00F87E58" w:rsidP="00F87E58">
            <w:pPr>
              <w:pStyle w:val="cuatexto"/>
              <w:jc w:val="right"/>
              <w:rPr>
                <w:sz w:val="16"/>
                <w:szCs w:val="16"/>
              </w:rPr>
            </w:pPr>
            <w:r>
              <w:rPr>
                <w:sz w:val="16"/>
              </w:rPr>
              <w:t xml:space="preserve">45</w:t>
            </w:r>
          </w:p>
        </w:tc>
        <w:tc>
          <w:tcPr>
            <w:tcW w:w="992" w:type="dxa"/>
            <w:tcBorders>
              <w:left w:val="single" w:sz="4" w:space="0" w:color="auto"/>
            </w:tcBorders>
            <w:shd w:val="clear" w:color="auto" w:fill="auto"/>
            <w:noWrap/>
            <w:vAlign w:val="center"/>
            <w:hideMark/>
          </w:tcPr>
          <w:p w14:paraId="62187C51" w14:textId="77777777" w:rsidR="00F87E58" w:rsidRPr="009C44C1" w:rsidRDefault="00F87E58" w:rsidP="00F87E58">
            <w:pPr>
              <w:pStyle w:val="cuatexto"/>
              <w:jc w:val="right"/>
              <w:rPr>
                <w:sz w:val="16"/>
                <w:szCs w:val="16"/>
              </w:rPr>
            </w:pPr>
            <w:r>
              <w:rPr>
                <w:sz w:val="16"/>
              </w:rPr>
              <w:t xml:space="preserve">0</w:t>
            </w:r>
          </w:p>
        </w:tc>
        <w:tc>
          <w:tcPr>
            <w:tcW w:w="851" w:type="dxa"/>
            <w:shd w:val="clear" w:color="auto" w:fill="auto"/>
            <w:noWrap/>
            <w:vAlign w:val="center"/>
            <w:hideMark/>
          </w:tcPr>
          <w:p w14:paraId="60661819" w14:textId="77777777" w:rsidR="00F87E58" w:rsidRPr="009C44C1" w:rsidRDefault="00F87E58" w:rsidP="00F87E58">
            <w:pPr>
              <w:pStyle w:val="cuatexto"/>
              <w:jc w:val="right"/>
              <w:rPr>
                <w:sz w:val="16"/>
                <w:szCs w:val="16"/>
              </w:rPr>
            </w:pPr>
            <w:r>
              <w:rPr>
                <w:sz w:val="16"/>
              </w:rPr>
              <w:t xml:space="preserve">405.000</w:t>
            </w:r>
          </w:p>
        </w:tc>
        <w:tc>
          <w:tcPr>
            <w:tcW w:w="425" w:type="dxa"/>
            <w:tcBorders>
              <w:right w:val="single" w:sz="4" w:space="0" w:color="auto"/>
            </w:tcBorders>
            <w:shd w:val="clear" w:color="auto" w:fill="auto"/>
            <w:noWrap/>
            <w:vAlign w:val="center"/>
            <w:hideMark/>
          </w:tcPr>
          <w:p w14:paraId="47B76DC5" w14:textId="77777777" w:rsidR="00F87E58" w:rsidRPr="009C44C1" w:rsidRDefault="00F87E58" w:rsidP="00F87E58">
            <w:pPr>
              <w:pStyle w:val="cuatexto"/>
              <w:jc w:val="right"/>
              <w:rPr>
                <w:sz w:val="16"/>
                <w:szCs w:val="16"/>
              </w:rPr>
            </w:pPr>
            <w:r>
              <w:rPr>
                <w:sz w:val="16"/>
              </w:rPr>
              <w:t xml:space="preserve">45</w:t>
            </w:r>
          </w:p>
        </w:tc>
        <w:tc>
          <w:tcPr>
            <w:tcW w:w="993" w:type="dxa"/>
            <w:tcBorders>
              <w:left w:val="single" w:sz="4" w:space="0" w:color="auto"/>
            </w:tcBorders>
            <w:shd w:val="clear" w:color="auto" w:fill="auto"/>
            <w:noWrap/>
            <w:vAlign w:val="center"/>
            <w:hideMark/>
          </w:tcPr>
          <w:p w14:paraId="62FAED9D" w14:textId="77777777" w:rsidR="00F87E58" w:rsidRPr="009C44C1" w:rsidRDefault="00F87E58" w:rsidP="00F87E58">
            <w:pPr>
              <w:pStyle w:val="cuatexto"/>
              <w:jc w:val="right"/>
              <w:rPr>
                <w:sz w:val="16"/>
                <w:szCs w:val="16"/>
              </w:rPr>
            </w:pPr>
          </w:p>
        </w:tc>
        <w:tc>
          <w:tcPr>
            <w:tcW w:w="850" w:type="dxa"/>
            <w:shd w:val="clear" w:color="auto" w:fill="auto"/>
            <w:noWrap/>
            <w:vAlign w:val="center"/>
            <w:hideMark/>
          </w:tcPr>
          <w:p w14:paraId="4F7A9213" w14:textId="77777777" w:rsidR="00F87E58" w:rsidRPr="009C44C1" w:rsidRDefault="00F87E58" w:rsidP="00F87E58">
            <w:pPr>
              <w:pStyle w:val="cuatexto"/>
              <w:jc w:val="right"/>
              <w:rPr>
                <w:sz w:val="16"/>
                <w:szCs w:val="16"/>
              </w:rPr>
            </w:pPr>
            <w:r>
              <w:rPr>
                <w:sz w:val="16"/>
              </w:rPr>
              <w:t xml:space="preserve">405.000</w:t>
            </w:r>
          </w:p>
        </w:tc>
        <w:tc>
          <w:tcPr>
            <w:tcW w:w="652" w:type="dxa"/>
            <w:tcBorders>
              <w:right w:val="single" w:sz="4" w:space="0" w:color="auto"/>
            </w:tcBorders>
            <w:shd w:val="clear" w:color="auto" w:fill="auto"/>
            <w:noWrap/>
            <w:vAlign w:val="center"/>
            <w:hideMark/>
          </w:tcPr>
          <w:p w14:paraId="2C42CE47" w14:textId="77777777" w:rsidR="00F87E58" w:rsidRPr="009C44C1" w:rsidRDefault="00F87E58" w:rsidP="00F87E58">
            <w:pPr>
              <w:pStyle w:val="cuatexto"/>
              <w:jc w:val="right"/>
              <w:rPr>
                <w:sz w:val="16"/>
                <w:szCs w:val="16"/>
              </w:rPr>
            </w:pPr>
            <w:r>
              <w:rPr>
                <w:sz w:val="16"/>
              </w:rPr>
              <w:t xml:space="preserve">45</w:t>
            </w:r>
          </w:p>
        </w:tc>
        <w:tc>
          <w:tcPr>
            <w:tcW w:w="992" w:type="dxa"/>
            <w:tcBorders>
              <w:left w:val="single" w:sz="4" w:space="0" w:color="auto"/>
            </w:tcBorders>
            <w:shd w:val="clear" w:color="auto" w:fill="auto"/>
            <w:noWrap/>
            <w:vAlign w:val="center"/>
            <w:hideMark/>
          </w:tcPr>
          <w:p w14:paraId="19F03870" w14:textId="77777777" w:rsidR="00F87E58" w:rsidRPr="009C44C1" w:rsidRDefault="00F87E58" w:rsidP="00F87E58">
            <w:pPr>
              <w:pStyle w:val="cuatexto"/>
              <w:jc w:val="right"/>
              <w:rPr>
                <w:sz w:val="16"/>
                <w:szCs w:val="16"/>
              </w:rPr>
            </w:pPr>
            <w:r>
              <w:rPr>
                <w:sz w:val="16"/>
              </w:rPr>
              <w:t xml:space="preserve"> </w:t>
            </w:r>
          </w:p>
        </w:tc>
        <w:tc>
          <w:tcPr>
            <w:tcW w:w="766" w:type="dxa"/>
            <w:shd w:val="clear" w:color="auto" w:fill="auto"/>
            <w:noWrap/>
            <w:vAlign w:val="center"/>
            <w:hideMark/>
          </w:tcPr>
          <w:p w14:paraId="2FB1CE78" w14:textId="77777777" w:rsidR="00F87E58" w:rsidRPr="009C44C1" w:rsidRDefault="00F87E58" w:rsidP="00F87E58">
            <w:pPr>
              <w:pStyle w:val="cuatexto"/>
              <w:jc w:val="right"/>
              <w:rPr>
                <w:sz w:val="16"/>
                <w:szCs w:val="16"/>
              </w:rPr>
            </w:pPr>
            <w:r>
              <w:rPr>
                <w:sz w:val="16"/>
              </w:rPr>
              <w:t xml:space="preserve">405.000</w:t>
            </w:r>
          </w:p>
        </w:tc>
        <w:tc>
          <w:tcPr>
            <w:tcW w:w="793" w:type="dxa"/>
            <w:shd w:val="clear" w:color="auto" w:fill="auto"/>
            <w:noWrap/>
            <w:vAlign w:val="center"/>
            <w:hideMark/>
          </w:tcPr>
          <w:p w14:paraId="534AAAC2" w14:textId="77777777" w:rsidR="00F87E58" w:rsidRPr="009C44C1" w:rsidRDefault="00F87E58" w:rsidP="00F87E58">
            <w:pPr>
              <w:pStyle w:val="cuatexto"/>
              <w:jc w:val="right"/>
              <w:rPr>
                <w:sz w:val="16"/>
                <w:szCs w:val="16"/>
              </w:rPr>
            </w:pPr>
            <w:r>
              <w:rPr>
                <w:sz w:val="16"/>
              </w:rPr>
              <w:t xml:space="preserve">45</w:t>
            </w:r>
          </w:p>
        </w:tc>
      </w:tr>
      <w:tr w:rsidR="00F87E58" w:rsidRPr="009C44C1" w14:paraId="0F576F64" w14:textId="77777777" w:rsidTr="009B18F4">
        <w:trPr>
          <w:trHeight w:val="198"/>
          <w:jc w:val="center"/>
        </w:trPr>
        <w:tc>
          <w:tcPr>
            <w:tcW w:w="1276" w:type="dxa"/>
            <w:shd w:val="clear" w:color="auto" w:fill="auto"/>
            <w:noWrap/>
            <w:vAlign w:val="center"/>
            <w:hideMark/>
          </w:tcPr>
          <w:p w14:paraId="0E5D6103" w14:textId="77777777" w:rsidR="00F87E58" w:rsidRPr="009C44C1" w:rsidRDefault="00F87E58" w:rsidP="00F87E58">
            <w:pPr>
              <w:pStyle w:val="cuatexto"/>
              <w:rPr>
                <w:sz w:val="16"/>
                <w:szCs w:val="16"/>
              </w:rPr>
            </w:pPr>
            <w:r>
              <w:rPr>
                <w:sz w:val="16"/>
              </w:rPr>
              <w:t xml:space="preserve">GCAN/Hiscan</w:t>
            </w:r>
            <w:r>
              <w:rPr>
                <w:sz w:val="16"/>
              </w:rPr>
              <w:t xml:space="preserve"> </w:t>
            </w:r>
          </w:p>
        </w:tc>
        <w:tc>
          <w:tcPr>
            <w:tcW w:w="836" w:type="dxa"/>
            <w:shd w:val="clear" w:color="auto" w:fill="auto"/>
            <w:noWrap/>
            <w:vAlign w:val="center"/>
            <w:hideMark/>
          </w:tcPr>
          <w:p w14:paraId="2F5F7AF2" w14:textId="77777777" w:rsidR="00F87E58" w:rsidRPr="009C44C1" w:rsidRDefault="00F87E58" w:rsidP="00F87E58">
            <w:pPr>
              <w:pStyle w:val="cuatexto"/>
              <w:jc w:val="right"/>
              <w:rPr>
                <w:sz w:val="16"/>
                <w:szCs w:val="16"/>
              </w:rPr>
            </w:pPr>
            <w:r>
              <w:rPr>
                <w:sz w:val="16"/>
              </w:rPr>
              <w:t xml:space="preserve">135.000</w:t>
            </w:r>
          </w:p>
        </w:tc>
        <w:tc>
          <w:tcPr>
            <w:tcW w:w="922" w:type="dxa"/>
            <w:tcBorders>
              <w:right w:val="single" w:sz="4" w:space="0" w:color="auto"/>
            </w:tcBorders>
            <w:shd w:val="clear" w:color="auto" w:fill="auto"/>
            <w:noWrap/>
            <w:vAlign w:val="center"/>
            <w:hideMark/>
          </w:tcPr>
          <w:p w14:paraId="7CFC5AFF" w14:textId="77777777" w:rsidR="00F87E58" w:rsidRPr="009C44C1" w:rsidRDefault="00F87E58" w:rsidP="00F87E58">
            <w:pPr>
              <w:pStyle w:val="cuatexto"/>
              <w:jc w:val="right"/>
              <w:rPr>
                <w:sz w:val="16"/>
                <w:szCs w:val="16"/>
              </w:rPr>
            </w:pPr>
            <w:r>
              <w:rPr>
                <w:sz w:val="16"/>
              </w:rPr>
              <w:t xml:space="preserve">15</w:t>
            </w:r>
          </w:p>
        </w:tc>
        <w:tc>
          <w:tcPr>
            <w:tcW w:w="992" w:type="dxa"/>
            <w:tcBorders>
              <w:left w:val="single" w:sz="4" w:space="0" w:color="auto"/>
            </w:tcBorders>
            <w:shd w:val="clear" w:color="auto" w:fill="auto"/>
            <w:noWrap/>
            <w:vAlign w:val="center"/>
            <w:hideMark/>
          </w:tcPr>
          <w:p w14:paraId="783BD49B" w14:textId="77777777" w:rsidR="00F87E58" w:rsidRPr="009C44C1" w:rsidRDefault="00F87E58" w:rsidP="00F87E58">
            <w:pPr>
              <w:pStyle w:val="cuatexto"/>
              <w:jc w:val="right"/>
              <w:rPr>
                <w:sz w:val="16"/>
                <w:szCs w:val="16"/>
              </w:rPr>
            </w:pPr>
            <w:r>
              <w:rPr>
                <w:sz w:val="16"/>
              </w:rPr>
              <w:t xml:space="preserve">45.000</w:t>
            </w:r>
          </w:p>
        </w:tc>
        <w:tc>
          <w:tcPr>
            <w:tcW w:w="851" w:type="dxa"/>
            <w:shd w:val="clear" w:color="auto" w:fill="auto"/>
            <w:noWrap/>
            <w:vAlign w:val="center"/>
            <w:hideMark/>
          </w:tcPr>
          <w:p w14:paraId="2A5834C6" w14:textId="77777777" w:rsidR="00F87E58" w:rsidRPr="009C44C1" w:rsidRDefault="00F87E58" w:rsidP="00F87E58">
            <w:pPr>
              <w:pStyle w:val="cuatexto"/>
              <w:jc w:val="right"/>
              <w:rPr>
                <w:sz w:val="16"/>
                <w:szCs w:val="16"/>
              </w:rPr>
            </w:pPr>
            <w:r>
              <w:rPr>
                <w:sz w:val="16"/>
              </w:rPr>
              <w:t xml:space="preserve">180.000</w:t>
            </w:r>
          </w:p>
        </w:tc>
        <w:tc>
          <w:tcPr>
            <w:tcW w:w="425" w:type="dxa"/>
            <w:tcBorders>
              <w:right w:val="single" w:sz="4" w:space="0" w:color="auto"/>
            </w:tcBorders>
            <w:shd w:val="clear" w:color="auto" w:fill="auto"/>
            <w:noWrap/>
            <w:vAlign w:val="center"/>
            <w:hideMark/>
          </w:tcPr>
          <w:p w14:paraId="14ED4A27" w14:textId="77777777" w:rsidR="00F87E58" w:rsidRPr="009C44C1" w:rsidRDefault="00F87E58" w:rsidP="00F87E58">
            <w:pPr>
              <w:pStyle w:val="cuatexto"/>
              <w:jc w:val="right"/>
              <w:rPr>
                <w:sz w:val="16"/>
                <w:szCs w:val="16"/>
              </w:rPr>
            </w:pPr>
            <w:r>
              <w:rPr>
                <w:sz w:val="16"/>
              </w:rPr>
              <w:t xml:space="preserve">20</w:t>
            </w:r>
          </w:p>
        </w:tc>
        <w:tc>
          <w:tcPr>
            <w:tcW w:w="993" w:type="dxa"/>
            <w:tcBorders>
              <w:left w:val="single" w:sz="4" w:space="0" w:color="auto"/>
            </w:tcBorders>
            <w:shd w:val="clear" w:color="auto" w:fill="auto"/>
            <w:noWrap/>
            <w:vAlign w:val="center"/>
            <w:hideMark/>
          </w:tcPr>
          <w:p w14:paraId="6E4272D0" w14:textId="77777777" w:rsidR="00F87E58" w:rsidRPr="009C44C1" w:rsidRDefault="00F87E58" w:rsidP="00F87E58">
            <w:pPr>
              <w:pStyle w:val="cuatexto"/>
              <w:jc w:val="right"/>
              <w:rPr>
                <w:sz w:val="16"/>
                <w:szCs w:val="16"/>
              </w:rPr>
            </w:pPr>
            <w:r>
              <w:rPr>
                <w:sz w:val="16"/>
              </w:rPr>
              <w:t xml:space="preserve">-19.287</w:t>
            </w:r>
          </w:p>
        </w:tc>
        <w:tc>
          <w:tcPr>
            <w:tcW w:w="850" w:type="dxa"/>
            <w:shd w:val="clear" w:color="auto" w:fill="auto"/>
            <w:noWrap/>
            <w:vAlign w:val="center"/>
            <w:hideMark/>
          </w:tcPr>
          <w:p w14:paraId="063B7BB2" w14:textId="77777777" w:rsidR="00F87E58" w:rsidRPr="009C44C1" w:rsidRDefault="00F87E58" w:rsidP="00F87E58">
            <w:pPr>
              <w:pStyle w:val="cuatexto"/>
              <w:jc w:val="right"/>
              <w:rPr>
                <w:sz w:val="16"/>
                <w:szCs w:val="16"/>
              </w:rPr>
            </w:pPr>
            <w:r>
              <w:rPr>
                <w:sz w:val="16"/>
              </w:rPr>
              <w:t xml:space="preserve">160.713</w:t>
            </w:r>
          </w:p>
        </w:tc>
        <w:tc>
          <w:tcPr>
            <w:tcW w:w="652" w:type="dxa"/>
            <w:tcBorders>
              <w:right w:val="single" w:sz="4" w:space="0" w:color="auto"/>
            </w:tcBorders>
            <w:shd w:val="clear" w:color="auto" w:fill="auto"/>
            <w:noWrap/>
            <w:vAlign w:val="center"/>
            <w:hideMark/>
          </w:tcPr>
          <w:p w14:paraId="3304FEF5" w14:textId="77777777" w:rsidR="00F87E58" w:rsidRPr="009C44C1" w:rsidRDefault="00F87E58" w:rsidP="00F87E58">
            <w:pPr>
              <w:pStyle w:val="cuatexto"/>
              <w:jc w:val="right"/>
              <w:rPr>
                <w:sz w:val="16"/>
                <w:szCs w:val="16"/>
              </w:rPr>
            </w:pPr>
            <w:r>
              <w:rPr>
                <w:sz w:val="16"/>
              </w:rPr>
              <w:t xml:space="preserve">17,86</w:t>
            </w:r>
          </w:p>
        </w:tc>
        <w:tc>
          <w:tcPr>
            <w:tcW w:w="992" w:type="dxa"/>
            <w:tcBorders>
              <w:left w:val="single" w:sz="4" w:space="0" w:color="auto"/>
            </w:tcBorders>
            <w:shd w:val="clear" w:color="auto" w:fill="auto"/>
            <w:noWrap/>
            <w:vAlign w:val="center"/>
            <w:hideMark/>
          </w:tcPr>
          <w:p w14:paraId="61B5C5AF" w14:textId="77777777" w:rsidR="00F87E58" w:rsidRPr="009C44C1" w:rsidRDefault="00F87E58" w:rsidP="00F87E58">
            <w:pPr>
              <w:pStyle w:val="cuatexto"/>
              <w:jc w:val="right"/>
              <w:rPr>
                <w:sz w:val="16"/>
                <w:szCs w:val="16"/>
              </w:rPr>
            </w:pPr>
            <w:r>
              <w:rPr>
                <w:sz w:val="16"/>
              </w:rPr>
              <w:t xml:space="preserve"> </w:t>
            </w:r>
          </w:p>
        </w:tc>
        <w:tc>
          <w:tcPr>
            <w:tcW w:w="766" w:type="dxa"/>
            <w:shd w:val="clear" w:color="auto" w:fill="auto"/>
            <w:noWrap/>
            <w:vAlign w:val="center"/>
            <w:hideMark/>
          </w:tcPr>
          <w:p w14:paraId="156DABC2" w14:textId="77777777" w:rsidR="00F87E58" w:rsidRPr="009C44C1" w:rsidRDefault="00F87E58" w:rsidP="00F87E58">
            <w:pPr>
              <w:pStyle w:val="cuatexto"/>
              <w:jc w:val="right"/>
              <w:rPr>
                <w:sz w:val="16"/>
                <w:szCs w:val="16"/>
              </w:rPr>
            </w:pPr>
            <w:r>
              <w:rPr>
                <w:sz w:val="16"/>
              </w:rPr>
              <w:t xml:space="preserve">160.713</w:t>
            </w:r>
          </w:p>
        </w:tc>
        <w:tc>
          <w:tcPr>
            <w:tcW w:w="793" w:type="dxa"/>
            <w:shd w:val="clear" w:color="auto" w:fill="auto"/>
            <w:noWrap/>
            <w:vAlign w:val="center"/>
            <w:hideMark/>
          </w:tcPr>
          <w:p w14:paraId="2B62FB82" w14:textId="77777777" w:rsidR="00F87E58" w:rsidRPr="009C44C1" w:rsidRDefault="00F87E58" w:rsidP="00F87E58">
            <w:pPr>
              <w:pStyle w:val="cuatexto"/>
              <w:jc w:val="right"/>
              <w:rPr>
                <w:sz w:val="16"/>
                <w:szCs w:val="16"/>
              </w:rPr>
            </w:pPr>
            <w:r>
              <w:rPr>
                <w:sz w:val="16"/>
              </w:rPr>
              <w:t xml:space="preserve">17,86</w:t>
            </w:r>
          </w:p>
        </w:tc>
      </w:tr>
      <w:tr w:rsidR="00F87E58" w:rsidRPr="009C44C1" w14:paraId="5AB042EB" w14:textId="77777777" w:rsidTr="009B18F4">
        <w:trPr>
          <w:trHeight w:val="198"/>
          <w:jc w:val="center"/>
        </w:trPr>
        <w:tc>
          <w:tcPr>
            <w:tcW w:w="1276" w:type="dxa"/>
            <w:shd w:val="clear" w:color="auto" w:fill="auto"/>
            <w:noWrap/>
            <w:vAlign w:val="center"/>
            <w:hideMark/>
          </w:tcPr>
          <w:p w14:paraId="2858F58B" w14:textId="77777777" w:rsidR="00F87E58" w:rsidRPr="009C44C1" w:rsidRDefault="00F87E58" w:rsidP="00F87E58">
            <w:pPr>
              <w:pStyle w:val="cuatexto"/>
              <w:rPr>
                <w:sz w:val="16"/>
                <w:szCs w:val="16"/>
              </w:rPr>
            </w:pPr>
            <w:r>
              <w:rPr>
                <w:sz w:val="16"/>
              </w:rPr>
              <w:t xml:space="preserve">Patali</w:t>
            </w:r>
          </w:p>
        </w:tc>
        <w:tc>
          <w:tcPr>
            <w:tcW w:w="836" w:type="dxa"/>
            <w:shd w:val="clear" w:color="auto" w:fill="auto"/>
            <w:noWrap/>
            <w:vAlign w:val="center"/>
            <w:hideMark/>
          </w:tcPr>
          <w:p w14:paraId="77D0A165" w14:textId="77777777" w:rsidR="00F87E58" w:rsidRPr="009C44C1" w:rsidRDefault="00F87E58" w:rsidP="00F87E58">
            <w:pPr>
              <w:pStyle w:val="cuatexto"/>
              <w:jc w:val="right"/>
              <w:rPr>
                <w:sz w:val="16"/>
                <w:szCs w:val="16"/>
              </w:rPr>
            </w:pPr>
            <w:r>
              <w:rPr>
                <w:sz w:val="16"/>
              </w:rPr>
              <w:t xml:space="preserve">225.000</w:t>
            </w:r>
          </w:p>
        </w:tc>
        <w:tc>
          <w:tcPr>
            <w:tcW w:w="922" w:type="dxa"/>
            <w:tcBorders>
              <w:right w:val="single" w:sz="4" w:space="0" w:color="auto"/>
            </w:tcBorders>
            <w:shd w:val="clear" w:color="auto" w:fill="auto"/>
            <w:noWrap/>
            <w:vAlign w:val="center"/>
            <w:hideMark/>
          </w:tcPr>
          <w:p w14:paraId="19CC9FF9" w14:textId="77777777" w:rsidR="00F87E58" w:rsidRPr="009C44C1" w:rsidRDefault="00F87E58" w:rsidP="00F87E58">
            <w:pPr>
              <w:pStyle w:val="cuatexto"/>
              <w:jc w:val="right"/>
              <w:rPr>
                <w:sz w:val="16"/>
                <w:szCs w:val="16"/>
              </w:rPr>
            </w:pPr>
            <w:r>
              <w:rPr>
                <w:sz w:val="16"/>
              </w:rPr>
              <w:t xml:space="preserve">25</w:t>
            </w:r>
          </w:p>
        </w:tc>
        <w:tc>
          <w:tcPr>
            <w:tcW w:w="992" w:type="dxa"/>
            <w:tcBorders>
              <w:left w:val="single" w:sz="4" w:space="0" w:color="auto"/>
            </w:tcBorders>
            <w:shd w:val="clear" w:color="auto" w:fill="auto"/>
            <w:noWrap/>
            <w:vAlign w:val="center"/>
            <w:hideMark/>
          </w:tcPr>
          <w:p w14:paraId="5A21C5BC" w14:textId="77777777" w:rsidR="00F87E58" w:rsidRPr="009C44C1" w:rsidRDefault="00F87E58" w:rsidP="00F87E58">
            <w:pPr>
              <w:pStyle w:val="cuatexto"/>
              <w:jc w:val="right"/>
              <w:rPr>
                <w:sz w:val="16"/>
                <w:szCs w:val="16"/>
              </w:rPr>
            </w:pPr>
            <w:r>
              <w:rPr>
                <w:sz w:val="16"/>
              </w:rPr>
              <w:t xml:space="preserve">-45.000</w:t>
            </w:r>
          </w:p>
        </w:tc>
        <w:tc>
          <w:tcPr>
            <w:tcW w:w="851" w:type="dxa"/>
            <w:shd w:val="clear" w:color="auto" w:fill="auto"/>
            <w:noWrap/>
            <w:vAlign w:val="center"/>
            <w:hideMark/>
          </w:tcPr>
          <w:p w14:paraId="5CAB9290" w14:textId="77777777" w:rsidR="00F87E58" w:rsidRPr="009C44C1" w:rsidRDefault="00F87E58" w:rsidP="00F87E58">
            <w:pPr>
              <w:pStyle w:val="cuatexto"/>
              <w:jc w:val="right"/>
              <w:rPr>
                <w:sz w:val="16"/>
                <w:szCs w:val="16"/>
              </w:rPr>
            </w:pPr>
            <w:r>
              <w:rPr>
                <w:sz w:val="16"/>
              </w:rPr>
              <w:t xml:space="preserve">180.000</w:t>
            </w:r>
          </w:p>
        </w:tc>
        <w:tc>
          <w:tcPr>
            <w:tcW w:w="425" w:type="dxa"/>
            <w:tcBorders>
              <w:right w:val="single" w:sz="4" w:space="0" w:color="auto"/>
            </w:tcBorders>
            <w:shd w:val="clear" w:color="auto" w:fill="auto"/>
            <w:noWrap/>
            <w:vAlign w:val="center"/>
            <w:hideMark/>
          </w:tcPr>
          <w:p w14:paraId="3D229347" w14:textId="77777777" w:rsidR="00F87E58" w:rsidRPr="009C44C1" w:rsidRDefault="00F87E58" w:rsidP="00F87E58">
            <w:pPr>
              <w:pStyle w:val="cuatexto"/>
              <w:jc w:val="right"/>
              <w:rPr>
                <w:sz w:val="16"/>
                <w:szCs w:val="16"/>
              </w:rPr>
            </w:pPr>
            <w:r>
              <w:rPr>
                <w:sz w:val="16"/>
              </w:rPr>
              <w:t xml:space="preserve">20</w:t>
            </w:r>
          </w:p>
        </w:tc>
        <w:tc>
          <w:tcPr>
            <w:tcW w:w="993" w:type="dxa"/>
            <w:tcBorders>
              <w:left w:val="single" w:sz="4" w:space="0" w:color="auto"/>
            </w:tcBorders>
            <w:shd w:val="clear" w:color="auto" w:fill="auto"/>
            <w:noWrap/>
            <w:vAlign w:val="center"/>
            <w:hideMark/>
          </w:tcPr>
          <w:p w14:paraId="7278D305" w14:textId="77777777" w:rsidR="00F87E58" w:rsidRPr="009C44C1" w:rsidRDefault="00F87E58" w:rsidP="00F87E58">
            <w:pPr>
              <w:pStyle w:val="cuatexto"/>
              <w:jc w:val="right"/>
              <w:rPr>
                <w:sz w:val="16"/>
                <w:szCs w:val="16"/>
              </w:rPr>
            </w:pPr>
          </w:p>
        </w:tc>
        <w:tc>
          <w:tcPr>
            <w:tcW w:w="850" w:type="dxa"/>
            <w:shd w:val="clear" w:color="auto" w:fill="auto"/>
            <w:noWrap/>
            <w:vAlign w:val="center"/>
            <w:hideMark/>
          </w:tcPr>
          <w:p w14:paraId="20446AEB" w14:textId="77777777" w:rsidR="00F87E58" w:rsidRPr="009C44C1" w:rsidRDefault="00F87E58" w:rsidP="00F87E58">
            <w:pPr>
              <w:pStyle w:val="cuatexto"/>
              <w:jc w:val="right"/>
              <w:rPr>
                <w:sz w:val="16"/>
                <w:szCs w:val="16"/>
              </w:rPr>
            </w:pPr>
            <w:r>
              <w:rPr>
                <w:sz w:val="16"/>
              </w:rPr>
              <w:t xml:space="preserve">180.000</w:t>
            </w:r>
          </w:p>
        </w:tc>
        <w:tc>
          <w:tcPr>
            <w:tcW w:w="652" w:type="dxa"/>
            <w:tcBorders>
              <w:right w:val="single" w:sz="4" w:space="0" w:color="auto"/>
            </w:tcBorders>
            <w:shd w:val="clear" w:color="auto" w:fill="auto"/>
            <w:noWrap/>
            <w:vAlign w:val="center"/>
            <w:hideMark/>
          </w:tcPr>
          <w:p w14:paraId="7BC675D6" w14:textId="77777777" w:rsidR="00F87E58" w:rsidRPr="009C44C1" w:rsidRDefault="00F87E58" w:rsidP="00F87E58">
            <w:pPr>
              <w:pStyle w:val="cuatexto"/>
              <w:jc w:val="right"/>
              <w:rPr>
                <w:sz w:val="16"/>
                <w:szCs w:val="16"/>
              </w:rPr>
            </w:pPr>
            <w:r>
              <w:rPr>
                <w:sz w:val="16"/>
              </w:rPr>
              <w:t xml:space="preserve">20</w:t>
            </w:r>
          </w:p>
        </w:tc>
        <w:tc>
          <w:tcPr>
            <w:tcW w:w="992" w:type="dxa"/>
            <w:tcBorders>
              <w:left w:val="single" w:sz="4" w:space="0" w:color="auto"/>
            </w:tcBorders>
            <w:shd w:val="clear" w:color="auto" w:fill="auto"/>
            <w:noWrap/>
            <w:vAlign w:val="center"/>
            <w:hideMark/>
          </w:tcPr>
          <w:p w14:paraId="07A382FD" w14:textId="77777777" w:rsidR="00F87E58" w:rsidRPr="009C44C1" w:rsidRDefault="00F87E58" w:rsidP="00F87E58">
            <w:pPr>
              <w:pStyle w:val="cuatexto"/>
              <w:jc w:val="right"/>
              <w:rPr>
                <w:sz w:val="16"/>
                <w:szCs w:val="16"/>
              </w:rPr>
            </w:pPr>
            <w:r>
              <w:rPr>
                <w:sz w:val="16"/>
              </w:rPr>
              <w:t xml:space="preserve">-180.000</w:t>
            </w:r>
          </w:p>
        </w:tc>
        <w:tc>
          <w:tcPr>
            <w:tcW w:w="766" w:type="dxa"/>
            <w:shd w:val="clear" w:color="auto" w:fill="auto"/>
            <w:noWrap/>
            <w:vAlign w:val="center"/>
            <w:hideMark/>
          </w:tcPr>
          <w:p w14:paraId="26E4DB49" w14:textId="77777777" w:rsidR="00F87E58" w:rsidRPr="009C44C1" w:rsidRDefault="00F87E58" w:rsidP="00F87E58">
            <w:pPr>
              <w:pStyle w:val="cuatexto"/>
              <w:jc w:val="right"/>
              <w:rPr>
                <w:sz w:val="16"/>
                <w:szCs w:val="16"/>
              </w:rPr>
            </w:pPr>
            <w:r>
              <w:rPr>
                <w:sz w:val="16"/>
              </w:rPr>
              <w:t xml:space="preserve">0</w:t>
            </w:r>
          </w:p>
        </w:tc>
        <w:tc>
          <w:tcPr>
            <w:tcW w:w="793" w:type="dxa"/>
            <w:shd w:val="clear" w:color="auto" w:fill="auto"/>
            <w:noWrap/>
            <w:vAlign w:val="center"/>
            <w:hideMark/>
          </w:tcPr>
          <w:p w14:paraId="34BD3BEA" w14:textId="77777777" w:rsidR="00F87E58" w:rsidRPr="009C44C1" w:rsidRDefault="00F87E58" w:rsidP="00F87E58">
            <w:pPr>
              <w:pStyle w:val="cuatexto"/>
              <w:jc w:val="right"/>
              <w:rPr>
                <w:sz w:val="16"/>
                <w:szCs w:val="16"/>
              </w:rPr>
            </w:pPr>
            <w:r>
              <w:rPr>
                <w:sz w:val="16"/>
              </w:rPr>
              <w:t xml:space="preserve">0</w:t>
            </w:r>
          </w:p>
        </w:tc>
      </w:tr>
      <w:tr w:rsidR="00F87E58" w:rsidRPr="009C44C1" w14:paraId="0EACC991" w14:textId="77777777" w:rsidTr="009B18F4">
        <w:trPr>
          <w:trHeight w:val="198"/>
          <w:jc w:val="center"/>
        </w:trPr>
        <w:tc>
          <w:tcPr>
            <w:tcW w:w="1276" w:type="dxa"/>
            <w:shd w:val="clear" w:color="auto" w:fill="auto"/>
            <w:noWrap/>
            <w:vAlign w:val="center"/>
            <w:hideMark/>
          </w:tcPr>
          <w:p w14:paraId="37041314" w14:textId="77777777" w:rsidR="00F87E58" w:rsidRPr="009C44C1" w:rsidRDefault="00F87E58" w:rsidP="00F87E58">
            <w:pPr>
              <w:pStyle w:val="cuatexto"/>
              <w:rPr>
                <w:sz w:val="16"/>
                <w:szCs w:val="16"/>
              </w:rPr>
            </w:pPr>
            <w:r>
              <w:rPr>
                <w:sz w:val="16"/>
              </w:rPr>
              <w:t xml:space="preserve">Sanzol/Pronaocio</w:t>
            </w:r>
          </w:p>
        </w:tc>
        <w:tc>
          <w:tcPr>
            <w:tcW w:w="836" w:type="dxa"/>
            <w:shd w:val="clear" w:color="auto" w:fill="auto"/>
            <w:noWrap/>
            <w:vAlign w:val="center"/>
            <w:hideMark/>
          </w:tcPr>
          <w:p w14:paraId="325CBAB6" w14:textId="77777777" w:rsidR="00F87E58" w:rsidRPr="009C44C1" w:rsidRDefault="00F87E58" w:rsidP="00F87E58">
            <w:pPr>
              <w:pStyle w:val="cuatexto"/>
              <w:jc w:val="right"/>
              <w:rPr>
                <w:sz w:val="16"/>
                <w:szCs w:val="16"/>
              </w:rPr>
            </w:pPr>
            <w:r>
              <w:rPr>
                <w:sz w:val="16"/>
              </w:rPr>
              <w:t xml:space="preserve">90.000</w:t>
            </w:r>
          </w:p>
        </w:tc>
        <w:tc>
          <w:tcPr>
            <w:tcW w:w="922" w:type="dxa"/>
            <w:tcBorders>
              <w:right w:val="single" w:sz="4" w:space="0" w:color="auto"/>
            </w:tcBorders>
            <w:shd w:val="clear" w:color="auto" w:fill="auto"/>
            <w:noWrap/>
            <w:vAlign w:val="center"/>
            <w:hideMark/>
          </w:tcPr>
          <w:p w14:paraId="2A73A6CB" w14:textId="77777777" w:rsidR="00F87E58" w:rsidRPr="009C44C1" w:rsidRDefault="00F87E58" w:rsidP="00F87E58">
            <w:pPr>
              <w:pStyle w:val="cuatexto"/>
              <w:jc w:val="right"/>
              <w:rPr>
                <w:sz w:val="16"/>
                <w:szCs w:val="16"/>
              </w:rPr>
            </w:pPr>
            <w:r>
              <w:rPr>
                <w:sz w:val="16"/>
              </w:rPr>
              <w:t xml:space="preserve">10</w:t>
            </w:r>
          </w:p>
        </w:tc>
        <w:tc>
          <w:tcPr>
            <w:tcW w:w="992" w:type="dxa"/>
            <w:tcBorders>
              <w:left w:val="single" w:sz="4" w:space="0" w:color="auto"/>
            </w:tcBorders>
            <w:shd w:val="clear" w:color="auto" w:fill="auto"/>
            <w:noWrap/>
            <w:vAlign w:val="center"/>
            <w:hideMark/>
          </w:tcPr>
          <w:p w14:paraId="31D288F2" w14:textId="77777777" w:rsidR="00F87E58" w:rsidRPr="009C44C1" w:rsidRDefault="00F87E58" w:rsidP="00F87E58">
            <w:pPr>
              <w:pStyle w:val="cuatexto"/>
              <w:jc w:val="right"/>
              <w:rPr>
                <w:sz w:val="16"/>
                <w:szCs w:val="16"/>
              </w:rPr>
            </w:pPr>
            <w:r>
              <w:rPr>
                <w:sz w:val="16"/>
              </w:rPr>
              <w:t xml:space="preserve">0</w:t>
            </w:r>
          </w:p>
        </w:tc>
        <w:tc>
          <w:tcPr>
            <w:tcW w:w="851" w:type="dxa"/>
            <w:shd w:val="clear" w:color="auto" w:fill="auto"/>
            <w:noWrap/>
            <w:vAlign w:val="center"/>
            <w:hideMark/>
          </w:tcPr>
          <w:p w14:paraId="74DC8587" w14:textId="77777777" w:rsidR="00F87E58" w:rsidRPr="009C44C1" w:rsidRDefault="00F87E58" w:rsidP="00F87E58">
            <w:pPr>
              <w:pStyle w:val="cuatexto"/>
              <w:jc w:val="right"/>
              <w:rPr>
                <w:sz w:val="16"/>
                <w:szCs w:val="16"/>
              </w:rPr>
            </w:pPr>
            <w:r>
              <w:rPr>
                <w:sz w:val="16"/>
              </w:rPr>
              <w:t xml:space="preserve">90.000</w:t>
            </w:r>
          </w:p>
        </w:tc>
        <w:tc>
          <w:tcPr>
            <w:tcW w:w="425" w:type="dxa"/>
            <w:tcBorders>
              <w:right w:val="single" w:sz="4" w:space="0" w:color="auto"/>
            </w:tcBorders>
            <w:shd w:val="clear" w:color="auto" w:fill="auto"/>
            <w:noWrap/>
            <w:vAlign w:val="center"/>
            <w:hideMark/>
          </w:tcPr>
          <w:p w14:paraId="4AFB6F2C" w14:textId="77777777" w:rsidR="00F87E58" w:rsidRPr="009C44C1" w:rsidRDefault="00F87E58" w:rsidP="00F87E58">
            <w:pPr>
              <w:pStyle w:val="cuatexto"/>
              <w:jc w:val="right"/>
              <w:rPr>
                <w:sz w:val="16"/>
                <w:szCs w:val="16"/>
              </w:rPr>
            </w:pPr>
            <w:r>
              <w:rPr>
                <w:sz w:val="16"/>
              </w:rPr>
              <w:t xml:space="preserve">10</w:t>
            </w:r>
          </w:p>
        </w:tc>
        <w:tc>
          <w:tcPr>
            <w:tcW w:w="993" w:type="dxa"/>
            <w:tcBorders>
              <w:left w:val="single" w:sz="4" w:space="0" w:color="auto"/>
            </w:tcBorders>
            <w:shd w:val="clear" w:color="auto" w:fill="auto"/>
            <w:noWrap/>
            <w:vAlign w:val="center"/>
            <w:hideMark/>
          </w:tcPr>
          <w:p w14:paraId="2AE4D0D0" w14:textId="77777777" w:rsidR="00F87E58" w:rsidRPr="009C44C1" w:rsidRDefault="00F87E58" w:rsidP="00F87E58">
            <w:pPr>
              <w:pStyle w:val="cuatexto"/>
              <w:jc w:val="right"/>
              <w:rPr>
                <w:sz w:val="16"/>
                <w:szCs w:val="16"/>
              </w:rPr>
            </w:pPr>
            <w:r>
              <w:rPr>
                <w:sz w:val="16"/>
              </w:rPr>
              <w:t xml:space="preserve">12.857</w:t>
            </w:r>
          </w:p>
        </w:tc>
        <w:tc>
          <w:tcPr>
            <w:tcW w:w="850" w:type="dxa"/>
            <w:shd w:val="clear" w:color="auto" w:fill="auto"/>
            <w:noWrap/>
            <w:vAlign w:val="center"/>
            <w:hideMark/>
          </w:tcPr>
          <w:p w14:paraId="272B8FA2" w14:textId="77777777" w:rsidR="00F87E58" w:rsidRPr="009C44C1" w:rsidRDefault="00F87E58" w:rsidP="00F87E58">
            <w:pPr>
              <w:pStyle w:val="cuatexto"/>
              <w:jc w:val="right"/>
              <w:rPr>
                <w:sz w:val="16"/>
                <w:szCs w:val="16"/>
              </w:rPr>
            </w:pPr>
            <w:r>
              <w:rPr>
                <w:sz w:val="16"/>
              </w:rPr>
              <w:t xml:space="preserve">102.857</w:t>
            </w:r>
          </w:p>
        </w:tc>
        <w:tc>
          <w:tcPr>
            <w:tcW w:w="652" w:type="dxa"/>
            <w:tcBorders>
              <w:right w:val="single" w:sz="4" w:space="0" w:color="auto"/>
            </w:tcBorders>
            <w:shd w:val="clear" w:color="auto" w:fill="auto"/>
            <w:noWrap/>
            <w:vAlign w:val="center"/>
            <w:hideMark/>
          </w:tcPr>
          <w:p w14:paraId="4D320C0C" w14:textId="77777777" w:rsidR="00F87E58" w:rsidRPr="009C44C1" w:rsidRDefault="00F87E58" w:rsidP="00F87E58">
            <w:pPr>
              <w:pStyle w:val="cuatexto"/>
              <w:jc w:val="right"/>
              <w:rPr>
                <w:sz w:val="16"/>
                <w:szCs w:val="16"/>
              </w:rPr>
            </w:pPr>
            <w:r>
              <w:rPr>
                <w:sz w:val="16"/>
              </w:rPr>
              <w:t xml:space="preserve">11,43</w:t>
            </w:r>
          </w:p>
        </w:tc>
        <w:tc>
          <w:tcPr>
            <w:tcW w:w="992" w:type="dxa"/>
            <w:tcBorders>
              <w:left w:val="single" w:sz="4" w:space="0" w:color="auto"/>
            </w:tcBorders>
            <w:shd w:val="clear" w:color="auto" w:fill="auto"/>
            <w:noWrap/>
            <w:vAlign w:val="center"/>
            <w:hideMark/>
          </w:tcPr>
          <w:p w14:paraId="14050C2B" w14:textId="77777777" w:rsidR="00F87E58" w:rsidRPr="009C44C1" w:rsidRDefault="00F87E58" w:rsidP="00F87E58">
            <w:pPr>
              <w:pStyle w:val="cuatexto"/>
              <w:jc w:val="right"/>
              <w:rPr>
                <w:sz w:val="16"/>
                <w:szCs w:val="16"/>
              </w:rPr>
            </w:pPr>
            <w:r>
              <w:rPr>
                <w:sz w:val="16"/>
              </w:rPr>
              <w:t xml:space="preserve"> </w:t>
            </w:r>
          </w:p>
        </w:tc>
        <w:tc>
          <w:tcPr>
            <w:tcW w:w="766" w:type="dxa"/>
            <w:shd w:val="clear" w:color="auto" w:fill="auto"/>
            <w:noWrap/>
            <w:vAlign w:val="center"/>
            <w:hideMark/>
          </w:tcPr>
          <w:p w14:paraId="20B07F00" w14:textId="77777777" w:rsidR="00F87E58" w:rsidRPr="009C44C1" w:rsidRDefault="00F87E58" w:rsidP="00F87E58">
            <w:pPr>
              <w:pStyle w:val="cuatexto"/>
              <w:jc w:val="right"/>
              <w:rPr>
                <w:sz w:val="16"/>
                <w:szCs w:val="16"/>
              </w:rPr>
            </w:pPr>
            <w:r>
              <w:rPr>
                <w:sz w:val="16"/>
              </w:rPr>
              <w:t xml:space="preserve">102.857</w:t>
            </w:r>
          </w:p>
        </w:tc>
        <w:tc>
          <w:tcPr>
            <w:tcW w:w="793" w:type="dxa"/>
            <w:shd w:val="clear" w:color="auto" w:fill="auto"/>
            <w:noWrap/>
            <w:vAlign w:val="center"/>
            <w:hideMark/>
          </w:tcPr>
          <w:p w14:paraId="2E04F160" w14:textId="77777777" w:rsidR="00F87E58" w:rsidRPr="009C44C1" w:rsidRDefault="00F87E58" w:rsidP="00F87E58">
            <w:pPr>
              <w:pStyle w:val="cuatexto"/>
              <w:jc w:val="right"/>
              <w:rPr>
                <w:sz w:val="16"/>
                <w:szCs w:val="16"/>
              </w:rPr>
            </w:pPr>
            <w:r>
              <w:rPr>
                <w:sz w:val="16"/>
              </w:rPr>
              <w:t xml:space="preserve">11,43</w:t>
            </w:r>
          </w:p>
        </w:tc>
      </w:tr>
      <w:tr w:rsidR="00F87E58" w:rsidRPr="009C44C1" w14:paraId="2F861670" w14:textId="77777777" w:rsidTr="009B18F4">
        <w:trPr>
          <w:trHeight w:val="198"/>
          <w:jc w:val="center"/>
        </w:trPr>
        <w:tc>
          <w:tcPr>
            <w:tcW w:w="1276" w:type="dxa"/>
            <w:shd w:val="clear" w:color="auto" w:fill="auto"/>
            <w:noWrap/>
            <w:vAlign w:val="center"/>
            <w:hideMark/>
          </w:tcPr>
          <w:p w14:paraId="15BD836A" w14:textId="77777777" w:rsidR="00F87E58" w:rsidRPr="009C44C1" w:rsidRDefault="00F87E58" w:rsidP="00DF2666">
            <w:pPr>
              <w:pStyle w:val="cuatexto"/>
              <w:spacing w:line="240" w:lineRule="auto"/>
              <w:ind w:right="328"/>
              <w:rPr>
                <w:sz w:val="16"/>
                <w:szCs w:val="16"/>
              </w:rPr>
            </w:pPr>
            <w:r>
              <w:rPr>
                <w:sz w:val="16"/>
              </w:rPr>
              <w:t xml:space="preserve">La Información/Cofor</w:t>
            </w:r>
          </w:p>
        </w:tc>
        <w:tc>
          <w:tcPr>
            <w:tcW w:w="836" w:type="dxa"/>
            <w:shd w:val="clear" w:color="auto" w:fill="auto"/>
            <w:noWrap/>
            <w:vAlign w:val="center"/>
            <w:hideMark/>
          </w:tcPr>
          <w:p w14:paraId="226734C7" w14:textId="77777777" w:rsidR="00F87E58" w:rsidRPr="009C44C1" w:rsidRDefault="00F87E58" w:rsidP="00F87E58">
            <w:pPr>
              <w:pStyle w:val="cuatexto"/>
              <w:jc w:val="right"/>
              <w:rPr>
                <w:sz w:val="16"/>
                <w:szCs w:val="16"/>
              </w:rPr>
            </w:pPr>
            <w:r>
              <w:rPr>
                <w:sz w:val="16"/>
              </w:rPr>
              <w:t xml:space="preserve">45.000</w:t>
            </w:r>
          </w:p>
        </w:tc>
        <w:tc>
          <w:tcPr>
            <w:tcW w:w="922" w:type="dxa"/>
            <w:tcBorders>
              <w:right w:val="single" w:sz="4" w:space="0" w:color="auto"/>
            </w:tcBorders>
            <w:shd w:val="clear" w:color="auto" w:fill="auto"/>
            <w:noWrap/>
            <w:vAlign w:val="center"/>
            <w:hideMark/>
          </w:tcPr>
          <w:p w14:paraId="6C6083C4" w14:textId="77777777" w:rsidR="00F87E58" w:rsidRPr="009C44C1" w:rsidRDefault="00F87E58" w:rsidP="00F87E58">
            <w:pPr>
              <w:pStyle w:val="cuatexto"/>
              <w:jc w:val="right"/>
              <w:rPr>
                <w:sz w:val="16"/>
                <w:szCs w:val="16"/>
              </w:rPr>
            </w:pPr>
            <w:r>
              <w:rPr>
                <w:sz w:val="16"/>
              </w:rPr>
              <w:t xml:space="preserve">5</w:t>
            </w:r>
          </w:p>
        </w:tc>
        <w:tc>
          <w:tcPr>
            <w:tcW w:w="992" w:type="dxa"/>
            <w:tcBorders>
              <w:left w:val="single" w:sz="4" w:space="0" w:color="auto"/>
            </w:tcBorders>
            <w:shd w:val="clear" w:color="auto" w:fill="auto"/>
            <w:noWrap/>
            <w:vAlign w:val="center"/>
            <w:hideMark/>
          </w:tcPr>
          <w:p w14:paraId="4DABEF5D" w14:textId="77777777" w:rsidR="00F87E58" w:rsidRPr="009C44C1" w:rsidRDefault="00F87E58" w:rsidP="00F87E58">
            <w:pPr>
              <w:pStyle w:val="cuatexto"/>
              <w:jc w:val="right"/>
              <w:rPr>
                <w:sz w:val="16"/>
                <w:szCs w:val="16"/>
              </w:rPr>
            </w:pPr>
            <w:r>
              <w:rPr>
                <w:sz w:val="16"/>
              </w:rPr>
              <w:t xml:space="preserve">0</w:t>
            </w:r>
          </w:p>
        </w:tc>
        <w:tc>
          <w:tcPr>
            <w:tcW w:w="851" w:type="dxa"/>
            <w:shd w:val="clear" w:color="auto" w:fill="auto"/>
            <w:noWrap/>
            <w:vAlign w:val="center"/>
            <w:hideMark/>
          </w:tcPr>
          <w:p w14:paraId="580A91AF" w14:textId="77777777" w:rsidR="00F87E58" w:rsidRPr="009C44C1" w:rsidRDefault="00F87E58" w:rsidP="00F87E58">
            <w:pPr>
              <w:pStyle w:val="cuatexto"/>
              <w:jc w:val="right"/>
              <w:rPr>
                <w:sz w:val="16"/>
                <w:szCs w:val="16"/>
              </w:rPr>
            </w:pPr>
            <w:r>
              <w:rPr>
                <w:sz w:val="16"/>
              </w:rPr>
              <w:t xml:space="preserve">45.000</w:t>
            </w:r>
          </w:p>
        </w:tc>
        <w:tc>
          <w:tcPr>
            <w:tcW w:w="425" w:type="dxa"/>
            <w:tcBorders>
              <w:right w:val="single" w:sz="4" w:space="0" w:color="auto"/>
            </w:tcBorders>
            <w:shd w:val="clear" w:color="auto" w:fill="auto"/>
            <w:noWrap/>
            <w:vAlign w:val="center"/>
            <w:hideMark/>
          </w:tcPr>
          <w:p w14:paraId="2883CAAE" w14:textId="77777777" w:rsidR="00F87E58" w:rsidRPr="009C44C1" w:rsidRDefault="00F87E58" w:rsidP="00F87E58">
            <w:pPr>
              <w:pStyle w:val="cuatexto"/>
              <w:jc w:val="right"/>
              <w:rPr>
                <w:sz w:val="16"/>
                <w:szCs w:val="16"/>
              </w:rPr>
            </w:pPr>
            <w:r>
              <w:rPr>
                <w:sz w:val="16"/>
              </w:rPr>
              <w:t xml:space="preserve">5</w:t>
            </w:r>
          </w:p>
        </w:tc>
        <w:tc>
          <w:tcPr>
            <w:tcW w:w="993" w:type="dxa"/>
            <w:tcBorders>
              <w:left w:val="single" w:sz="4" w:space="0" w:color="auto"/>
            </w:tcBorders>
            <w:shd w:val="clear" w:color="auto" w:fill="auto"/>
            <w:noWrap/>
            <w:vAlign w:val="center"/>
            <w:hideMark/>
          </w:tcPr>
          <w:p w14:paraId="63034276" w14:textId="77777777" w:rsidR="00F87E58" w:rsidRPr="009C44C1" w:rsidRDefault="00F87E58" w:rsidP="00F87E58">
            <w:pPr>
              <w:pStyle w:val="cuatexto"/>
              <w:jc w:val="right"/>
              <w:rPr>
                <w:sz w:val="16"/>
                <w:szCs w:val="16"/>
              </w:rPr>
            </w:pPr>
            <w:r>
              <w:rPr>
                <w:sz w:val="16"/>
              </w:rPr>
              <w:t xml:space="preserve">6.430</w:t>
            </w:r>
          </w:p>
        </w:tc>
        <w:tc>
          <w:tcPr>
            <w:tcW w:w="850" w:type="dxa"/>
            <w:shd w:val="clear" w:color="auto" w:fill="auto"/>
            <w:noWrap/>
            <w:vAlign w:val="center"/>
            <w:hideMark/>
          </w:tcPr>
          <w:p w14:paraId="0F198D20" w14:textId="77777777" w:rsidR="00F87E58" w:rsidRPr="009C44C1" w:rsidRDefault="00F87E58" w:rsidP="00F87E58">
            <w:pPr>
              <w:pStyle w:val="cuatexto"/>
              <w:jc w:val="right"/>
              <w:rPr>
                <w:sz w:val="16"/>
                <w:szCs w:val="16"/>
              </w:rPr>
            </w:pPr>
            <w:r>
              <w:rPr>
                <w:sz w:val="16"/>
              </w:rPr>
              <w:t xml:space="preserve">51.430</w:t>
            </w:r>
          </w:p>
        </w:tc>
        <w:tc>
          <w:tcPr>
            <w:tcW w:w="652" w:type="dxa"/>
            <w:tcBorders>
              <w:right w:val="single" w:sz="4" w:space="0" w:color="auto"/>
            </w:tcBorders>
            <w:shd w:val="clear" w:color="auto" w:fill="auto"/>
            <w:noWrap/>
            <w:vAlign w:val="center"/>
            <w:hideMark/>
          </w:tcPr>
          <w:p w14:paraId="6247B973" w14:textId="77777777" w:rsidR="00F87E58" w:rsidRPr="009C44C1" w:rsidRDefault="00F87E58" w:rsidP="00F87E58">
            <w:pPr>
              <w:pStyle w:val="cuatexto"/>
              <w:jc w:val="right"/>
              <w:rPr>
                <w:sz w:val="16"/>
                <w:szCs w:val="16"/>
              </w:rPr>
            </w:pPr>
            <w:r>
              <w:rPr>
                <w:sz w:val="16"/>
              </w:rPr>
              <w:t xml:space="preserve">5,71</w:t>
            </w:r>
          </w:p>
        </w:tc>
        <w:tc>
          <w:tcPr>
            <w:tcW w:w="992" w:type="dxa"/>
            <w:tcBorders>
              <w:left w:val="single" w:sz="4" w:space="0" w:color="auto"/>
            </w:tcBorders>
            <w:shd w:val="clear" w:color="auto" w:fill="auto"/>
            <w:noWrap/>
            <w:vAlign w:val="center"/>
            <w:hideMark/>
          </w:tcPr>
          <w:p w14:paraId="74A24CC9" w14:textId="77777777" w:rsidR="00F87E58" w:rsidRPr="009C44C1" w:rsidRDefault="00F87E58" w:rsidP="00F87E58">
            <w:pPr>
              <w:pStyle w:val="cuatexto"/>
              <w:jc w:val="right"/>
              <w:rPr>
                <w:sz w:val="16"/>
                <w:szCs w:val="16"/>
              </w:rPr>
            </w:pPr>
            <w:r>
              <w:rPr>
                <w:sz w:val="16"/>
              </w:rPr>
              <w:t xml:space="preserve">180.000</w:t>
            </w:r>
          </w:p>
        </w:tc>
        <w:tc>
          <w:tcPr>
            <w:tcW w:w="766" w:type="dxa"/>
            <w:shd w:val="clear" w:color="auto" w:fill="auto"/>
            <w:noWrap/>
            <w:vAlign w:val="center"/>
            <w:hideMark/>
          </w:tcPr>
          <w:p w14:paraId="1168BD53" w14:textId="77777777" w:rsidR="00F87E58" w:rsidRPr="009C44C1" w:rsidRDefault="00F87E58" w:rsidP="00F87E58">
            <w:pPr>
              <w:pStyle w:val="cuatexto"/>
              <w:jc w:val="right"/>
              <w:rPr>
                <w:sz w:val="16"/>
                <w:szCs w:val="16"/>
              </w:rPr>
            </w:pPr>
            <w:r>
              <w:rPr>
                <w:sz w:val="16"/>
              </w:rPr>
              <w:t xml:space="preserve">231.430</w:t>
            </w:r>
          </w:p>
        </w:tc>
        <w:tc>
          <w:tcPr>
            <w:tcW w:w="793" w:type="dxa"/>
            <w:shd w:val="clear" w:color="auto" w:fill="auto"/>
            <w:noWrap/>
            <w:vAlign w:val="center"/>
            <w:hideMark/>
          </w:tcPr>
          <w:p w14:paraId="7A33C7D4" w14:textId="77777777" w:rsidR="00F87E58" w:rsidRPr="009C44C1" w:rsidRDefault="00F87E58" w:rsidP="00F87E58">
            <w:pPr>
              <w:pStyle w:val="cuatexto"/>
              <w:jc w:val="right"/>
              <w:rPr>
                <w:sz w:val="16"/>
                <w:szCs w:val="16"/>
              </w:rPr>
            </w:pPr>
            <w:r>
              <w:rPr>
                <w:sz w:val="16"/>
              </w:rPr>
              <w:t xml:space="preserve">25,71</w:t>
            </w:r>
          </w:p>
        </w:tc>
      </w:tr>
      <w:tr w:rsidR="00F87E58" w:rsidRPr="009C44C1" w14:paraId="46772606" w14:textId="77777777" w:rsidTr="009B18F4">
        <w:trPr>
          <w:trHeight w:val="198"/>
          <w:jc w:val="center"/>
        </w:trPr>
        <w:tc>
          <w:tcPr>
            <w:tcW w:w="1276" w:type="dxa"/>
            <w:shd w:val="clear" w:color="auto" w:fill="9CC2E5"/>
            <w:noWrap/>
            <w:vAlign w:val="center"/>
            <w:hideMark/>
          </w:tcPr>
          <w:p w14:paraId="46179B6E" w14:textId="77777777" w:rsidR="00F87E58" w:rsidRPr="009C44C1" w:rsidRDefault="00F87E58" w:rsidP="00F87E58">
            <w:pPr>
              <w:pStyle w:val="cuadroCabe"/>
              <w:rPr>
                <w:sz w:val="16"/>
                <w:szCs w:val="16"/>
              </w:rPr>
            </w:pPr>
            <w:r>
              <w:rPr>
                <w:sz w:val="16"/>
              </w:rPr>
              <w:t xml:space="preserve">Guztira</w:t>
            </w:r>
          </w:p>
        </w:tc>
        <w:tc>
          <w:tcPr>
            <w:tcW w:w="836" w:type="dxa"/>
            <w:shd w:val="clear" w:color="auto" w:fill="9CC2E5"/>
            <w:noWrap/>
            <w:vAlign w:val="center"/>
            <w:hideMark/>
          </w:tcPr>
          <w:p w14:paraId="12B2B583" w14:textId="77777777" w:rsidR="00F87E58" w:rsidRPr="009C44C1" w:rsidRDefault="00F87E58" w:rsidP="00F87E58">
            <w:pPr>
              <w:pStyle w:val="cuadroCabe"/>
              <w:jc w:val="right"/>
              <w:rPr>
                <w:sz w:val="16"/>
                <w:szCs w:val="16"/>
              </w:rPr>
            </w:pPr>
            <w:r>
              <w:rPr>
                <w:sz w:val="16"/>
              </w:rPr>
              <w:t xml:space="preserve">900.000</w:t>
            </w:r>
          </w:p>
        </w:tc>
        <w:tc>
          <w:tcPr>
            <w:tcW w:w="922" w:type="dxa"/>
            <w:tcBorders>
              <w:right w:val="single" w:sz="4" w:space="0" w:color="auto"/>
            </w:tcBorders>
            <w:shd w:val="clear" w:color="auto" w:fill="9CC2E5"/>
            <w:noWrap/>
            <w:vAlign w:val="center"/>
            <w:hideMark/>
          </w:tcPr>
          <w:p w14:paraId="6CEA214D" w14:textId="77777777" w:rsidR="00F87E58" w:rsidRPr="009C44C1" w:rsidRDefault="00F87E58" w:rsidP="00F87E58">
            <w:pPr>
              <w:pStyle w:val="cuadroCabe"/>
              <w:jc w:val="right"/>
              <w:rPr>
                <w:sz w:val="16"/>
                <w:szCs w:val="16"/>
              </w:rPr>
            </w:pPr>
            <w:r>
              <w:rPr>
                <w:sz w:val="16"/>
              </w:rPr>
              <w:t xml:space="preserve">100</w:t>
            </w:r>
          </w:p>
        </w:tc>
        <w:tc>
          <w:tcPr>
            <w:tcW w:w="992" w:type="dxa"/>
            <w:tcBorders>
              <w:left w:val="single" w:sz="4" w:space="0" w:color="auto"/>
            </w:tcBorders>
            <w:shd w:val="clear" w:color="auto" w:fill="9CC2E5"/>
            <w:noWrap/>
            <w:vAlign w:val="center"/>
            <w:hideMark/>
          </w:tcPr>
          <w:p w14:paraId="6D0C8872" w14:textId="77777777" w:rsidR="00F87E58" w:rsidRPr="009C44C1" w:rsidRDefault="00F87E58" w:rsidP="00F87E58">
            <w:pPr>
              <w:pStyle w:val="cuadroCabe"/>
              <w:jc w:val="right"/>
              <w:rPr>
                <w:sz w:val="16"/>
                <w:szCs w:val="16"/>
              </w:rPr>
            </w:pPr>
            <w:r>
              <w:rPr>
                <w:sz w:val="16"/>
              </w:rPr>
              <w:t xml:space="preserve">0</w:t>
            </w:r>
          </w:p>
        </w:tc>
        <w:tc>
          <w:tcPr>
            <w:tcW w:w="851" w:type="dxa"/>
            <w:shd w:val="clear" w:color="auto" w:fill="9CC2E5"/>
            <w:noWrap/>
            <w:vAlign w:val="center"/>
            <w:hideMark/>
          </w:tcPr>
          <w:p w14:paraId="14DB78D3" w14:textId="77777777" w:rsidR="00F87E58" w:rsidRPr="009C44C1" w:rsidRDefault="00F87E58" w:rsidP="00F87E58">
            <w:pPr>
              <w:pStyle w:val="cuadroCabe"/>
              <w:jc w:val="right"/>
              <w:rPr>
                <w:sz w:val="16"/>
                <w:szCs w:val="16"/>
              </w:rPr>
            </w:pPr>
            <w:r>
              <w:rPr>
                <w:sz w:val="16"/>
              </w:rPr>
              <w:t xml:space="preserve">900.000</w:t>
            </w:r>
          </w:p>
        </w:tc>
        <w:tc>
          <w:tcPr>
            <w:tcW w:w="425" w:type="dxa"/>
            <w:tcBorders>
              <w:right w:val="single" w:sz="4" w:space="0" w:color="auto"/>
            </w:tcBorders>
            <w:shd w:val="clear" w:color="auto" w:fill="9CC2E5"/>
            <w:noWrap/>
            <w:vAlign w:val="center"/>
            <w:hideMark/>
          </w:tcPr>
          <w:p w14:paraId="42B6F06C" w14:textId="77777777" w:rsidR="00F87E58" w:rsidRPr="009C44C1" w:rsidRDefault="00F87E58" w:rsidP="00F87E58">
            <w:pPr>
              <w:pStyle w:val="cuadroCabe"/>
              <w:jc w:val="right"/>
              <w:rPr>
                <w:sz w:val="16"/>
                <w:szCs w:val="16"/>
              </w:rPr>
            </w:pPr>
            <w:r>
              <w:rPr>
                <w:sz w:val="16"/>
              </w:rPr>
              <w:t xml:space="preserve">100</w:t>
            </w:r>
          </w:p>
        </w:tc>
        <w:tc>
          <w:tcPr>
            <w:tcW w:w="993" w:type="dxa"/>
            <w:tcBorders>
              <w:left w:val="single" w:sz="4" w:space="0" w:color="auto"/>
            </w:tcBorders>
            <w:shd w:val="clear" w:color="auto" w:fill="9CC2E5"/>
            <w:noWrap/>
            <w:vAlign w:val="center"/>
            <w:hideMark/>
          </w:tcPr>
          <w:p w14:paraId="7F323ACB" w14:textId="77777777" w:rsidR="00F87E58" w:rsidRPr="009C44C1" w:rsidRDefault="00F87E58" w:rsidP="00F87E58">
            <w:pPr>
              <w:pStyle w:val="cuadroCabe"/>
              <w:jc w:val="right"/>
              <w:rPr>
                <w:sz w:val="16"/>
                <w:szCs w:val="16"/>
              </w:rPr>
            </w:pPr>
            <w:r>
              <w:rPr>
                <w:sz w:val="16"/>
              </w:rPr>
              <w:t xml:space="preserve">0</w:t>
            </w:r>
          </w:p>
        </w:tc>
        <w:tc>
          <w:tcPr>
            <w:tcW w:w="850" w:type="dxa"/>
            <w:shd w:val="clear" w:color="auto" w:fill="9CC2E5"/>
            <w:noWrap/>
            <w:vAlign w:val="center"/>
            <w:hideMark/>
          </w:tcPr>
          <w:p w14:paraId="45067C9A" w14:textId="77777777" w:rsidR="00F87E58" w:rsidRPr="009C44C1" w:rsidRDefault="00F87E58" w:rsidP="00F87E58">
            <w:pPr>
              <w:pStyle w:val="cuadroCabe"/>
              <w:jc w:val="right"/>
              <w:rPr>
                <w:sz w:val="16"/>
                <w:szCs w:val="16"/>
              </w:rPr>
            </w:pPr>
            <w:r>
              <w:rPr>
                <w:sz w:val="16"/>
              </w:rPr>
              <w:t xml:space="preserve">900.000</w:t>
            </w:r>
          </w:p>
        </w:tc>
        <w:tc>
          <w:tcPr>
            <w:tcW w:w="652" w:type="dxa"/>
            <w:tcBorders>
              <w:right w:val="single" w:sz="4" w:space="0" w:color="auto"/>
            </w:tcBorders>
            <w:shd w:val="clear" w:color="auto" w:fill="9CC2E5"/>
            <w:noWrap/>
            <w:vAlign w:val="center"/>
            <w:hideMark/>
          </w:tcPr>
          <w:p w14:paraId="24E6E75B" w14:textId="77777777" w:rsidR="00F87E58" w:rsidRPr="009C44C1" w:rsidRDefault="00F87E58" w:rsidP="00F87E58">
            <w:pPr>
              <w:pStyle w:val="cuadroCabe"/>
              <w:jc w:val="right"/>
              <w:rPr>
                <w:sz w:val="16"/>
                <w:szCs w:val="16"/>
              </w:rPr>
            </w:pPr>
            <w:r>
              <w:rPr>
                <w:sz w:val="16"/>
              </w:rPr>
              <w:t xml:space="preserve">100</w:t>
            </w:r>
          </w:p>
        </w:tc>
        <w:tc>
          <w:tcPr>
            <w:tcW w:w="992" w:type="dxa"/>
            <w:tcBorders>
              <w:left w:val="single" w:sz="4" w:space="0" w:color="auto"/>
            </w:tcBorders>
            <w:shd w:val="clear" w:color="auto" w:fill="9CC2E5"/>
            <w:noWrap/>
            <w:vAlign w:val="center"/>
            <w:hideMark/>
          </w:tcPr>
          <w:p w14:paraId="49464581" w14:textId="77777777" w:rsidR="00F87E58" w:rsidRPr="009C44C1" w:rsidRDefault="00F87E58" w:rsidP="00F87E58">
            <w:pPr>
              <w:pStyle w:val="cuadroCabe"/>
              <w:jc w:val="right"/>
              <w:rPr>
                <w:sz w:val="16"/>
                <w:szCs w:val="16"/>
              </w:rPr>
            </w:pPr>
            <w:r>
              <w:rPr>
                <w:sz w:val="16"/>
              </w:rPr>
              <w:t xml:space="preserve"> </w:t>
            </w:r>
          </w:p>
        </w:tc>
        <w:tc>
          <w:tcPr>
            <w:tcW w:w="766" w:type="dxa"/>
            <w:shd w:val="clear" w:color="auto" w:fill="9CC2E5"/>
            <w:noWrap/>
            <w:vAlign w:val="center"/>
            <w:hideMark/>
          </w:tcPr>
          <w:p w14:paraId="27E54F97" w14:textId="77777777" w:rsidR="00F87E58" w:rsidRPr="009C44C1" w:rsidRDefault="00F87E58" w:rsidP="00F87E58">
            <w:pPr>
              <w:pStyle w:val="cuadroCabe"/>
              <w:jc w:val="right"/>
              <w:rPr>
                <w:sz w:val="16"/>
                <w:szCs w:val="16"/>
              </w:rPr>
            </w:pPr>
            <w:r>
              <w:rPr>
                <w:sz w:val="16"/>
              </w:rPr>
              <w:t xml:space="preserve">900.000</w:t>
            </w:r>
          </w:p>
        </w:tc>
        <w:tc>
          <w:tcPr>
            <w:tcW w:w="793" w:type="dxa"/>
            <w:shd w:val="clear" w:color="auto" w:fill="9CC2E5"/>
            <w:noWrap/>
            <w:vAlign w:val="center"/>
            <w:hideMark/>
          </w:tcPr>
          <w:p w14:paraId="232B12A6" w14:textId="77777777" w:rsidR="00F87E58" w:rsidRPr="009C44C1" w:rsidRDefault="00F87E58" w:rsidP="00F87E58">
            <w:pPr>
              <w:pStyle w:val="cuadroCabe"/>
              <w:jc w:val="right"/>
              <w:rPr>
                <w:sz w:val="16"/>
                <w:szCs w:val="16"/>
              </w:rPr>
            </w:pPr>
            <w:r>
              <w:rPr>
                <w:sz w:val="16"/>
              </w:rPr>
              <w:t xml:space="preserve">100</w:t>
            </w:r>
          </w:p>
        </w:tc>
      </w:tr>
    </w:tbl>
    <w:p w14:paraId="63FA851A" w14:textId="77777777" w:rsidR="00F87E58" w:rsidRPr="002952F1" w:rsidRDefault="00F87E58" w:rsidP="00F87E58">
      <w:pPr>
        <w:pStyle w:val="texto"/>
        <w:spacing w:before="240" w:after="240"/>
        <w:rPr>
          <w:color w:val="000000"/>
        </w:rPr>
      </w:pPr>
      <w:r>
        <w:t xml:space="preserve">Beraz, hau izan da sozietatearen osaera 2007ko ekainetik hasi eta 2023ko urtarrilean akzioak Navarra </w:t>
      </w:r>
      <w:r>
        <w:rPr>
          <w:color w:val="000000"/>
        </w:rPr>
        <w:t xml:space="preserve">Impulsa Cultura, Deporte y Ocio SLri (aurrerantzean, Nicdo) saldu arte</w:t>
      </w:r>
      <w:r>
        <w:t xml:space="preserve">:</w:t>
      </w:r>
      <w:r>
        <w:t xml:space="preserve"> </w:t>
      </w:r>
    </w:p>
    <w:tbl>
      <w:tblPr>
        <w:tblW w:w="8505" w:type="dxa"/>
        <w:jc w:val="center"/>
        <w:tblCellMar>
          <w:left w:w="70" w:type="dxa"/>
          <w:right w:w="70" w:type="dxa"/>
        </w:tblCellMar>
        <w:tblLook w:val="04A0" w:firstRow="1" w:lastRow="0" w:firstColumn="1" w:lastColumn="0" w:noHBand="0" w:noVBand="1"/>
      </w:tblPr>
      <w:tblGrid>
        <w:gridCol w:w="6166"/>
        <w:gridCol w:w="2339"/>
      </w:tblGrid>
      <w:tr w:rsidR="00F87E58" w:rsidRPr="00BB5B2C" w14:paraId="4AABA191" w14:textId="77777777" w:rsidTr="008C3C03">
        <w:trPr>
          <w:trHeight w:val="255"/>
          <w:jc w:val="center"/>
        </w:trPr>
        <w:tc>
          <w:tcPr>
            <w:tcW w:w="6166" w:type="dxa"/>
            <w:tcBorders>
              <w:top w:val="single" w:sz="4" w:space="0" w:color="auto"/>
              <w:left w:val="nil"/>
              <w:bottom w:val="single" w:sz="4" w:space="0" w:color="auto"/>
              <w:right w:val="nil"/>
            </w:tcBorders>
            <w:shd w:val="clear" w:color="auto" w:fill="9CC2E5"/>
            <w:noWrap/>
            <w:vAlign w:val="center"/>
            <w:hideMark/>
          </w:tcPr>
          <w:p w14:paraId="1CD116E1" w14:textId="77777777" w:rsidR="00F87E58" w:rsidRPr="00BB5B2C" w:rsidRDefault="00F87E58" w:rsidP="00F87E58">
            <w:pPr>
              <w:pStyle w:val="cuadroCabe"/>
              <w:jc w:val="left"/>
            </w:pPr>
            <w:r>
              <w:t xml:space="preserve">Akziodunak</w:t>
            </w:r>
            <w:r>
              <w:t xml:space="preserve"> </w:t>
            </w:r>
          </w:p>
        </w:tc>
        <w:tc>
          <w:tcPr>
            <w:tcW w:w="2339" w:type="dxa"/>
            <w:tcBorders>
              <w:top w:val="single" w:sz="4" w:space="0" w:color="auto"/>
              <w:left w:val="nil"/>
              <w:bottom w:val="single" w:sz="4" w:space="0" w:color="auto"/>
              <w:right w:val="nil"/>
            </w:tcBorders>
            <w:shd w:val="clear" w:color="auto" w:fill="9CC2E5"/>
            <w:noWrap/>
            <w:vAlign w:val="center"/>
            <w:hideMark/>
          </w:tcPr>
          <w:p w14:paraId="1C6786D0" w14:textId="77777777" w:rsidR="00F87E58" w:rsidRPr="00BB5B2C" w:rsidRDefault="00F87E58" w:rsidP="00F87E58">
            <w:pPr>
              <w:pStyle w:val="cuadroCabe"/>
              <w:jc w:val="right"/>
            </w:pPr>
            <w:r>
              <w:t xml:space="preserve">Partaidetzaren ehunekoa</w:t>
            </w:r>
          </w:p>
        </w:tc>
      </w:tr>
      <w:tr w:rsidR="00C372CC" w:rsidRPr="00C372CC" w14:paraId="10A2A45B" w14:textId="77777777" w:rsidTr="00F87E58">
        <w:trPr>
          <w:trHeight w:val="151"/>
          <w:jc w:val="center"/>
        </w:trPr>
        <w:tc>
          <w:tcPr>
            <w:tcW w:w="6166" w:type="dxa"/>
            <w:tcBorders>
              <w:top w:val="single" w:sz="4" w:space="0" w:color="auto"/>
              <w:left w:val="nil"/>
              <w:bottom w:val="single" w:sz="2" w:space="0" w:color="auto"/>
              <w:right w:val="nil"/>
            </w:tcBorders>
            <w:shd w:val="clear" w:color="auto" w:fill="auto"/>
            <w:noWrap/>
            <w:vAlign w:val="bottom"/>
            <w:hideMark/>
          </w:tcPr>
          <w:p w14:paraId="356226DF" w14:textId="77777777" w:rsidR="00F87E58" w:rsidRPr="00C372CC" w:rsidRDefault="00F87E58" w:rsidP="00F87E58">
            <w:pPr>
              <w:pStyle w:val="cuatexto"/>
              <w:jc w:val="left"/>
            </w:pPr>
            <w:r>
              <w:t xml:space="preserve">Nafarroaren Garapen Sozietatea SL</w:t>
            </w:r>
          </w:p>
        </w:tc>
        <w:tc>
          <w:tcPr>
            <w:tcW w:w="2339" w:type="dxa"/>
            <w:tcBorders>
              <w:top w:val="single" w:sz="4" w:space="0" w:color="auto"/>
              <w:left w:val="nil"/>
              <w:bottom w:val="single" w:sz="2" w:space="0" w:color="auto"/>
              <w:right w:val="nil"/>
            </w:tcBorders>
            <w:shd w:val="clear" w:color="auto" w:fill="auto"/>
            <w:noWrap/>
            <w:vAlign w:val="bottom"/>
            <w:hideMark/>
          </w:tcPr>
          <w:p w14:paraId="117A01C5" w14:textId="77777777" w:rsidR="00F87E58" w:rsidRPr="00C372CC" w:rsidRDefault="00F87E58" w:rsidP="00F87E58">
            <w:pPr>
              <w:pStyle w:val="cuatexto"/>
              <w:jc w:val="right"/>
            </w:pPr>
            <w:r>
              <w:t xml:space="preserve">45</w:t>
            </w:r>
          </w:p>
        </w:tc>
      </w:tr>
      <w:tr w:rsidR="00C372CC" w:rsidRPr="00C372CC" w14:paraId="5393988B" w14:textId="77777777" w:rsidTr="00F87E58">
        <w:trPr>
          <w:trHeight w:val="97"/>
          <w:jc w:val="center"/>
        </w:trPr>
        <w:tc>
          <w:tcPr>
            <w:tcW w:w="6166" w:type="dxa"/>
            <w:tcBorders>
              <w:top w:val="single" w:sz="2" w:space="0" w:color="auto"/>
              <w:left w:val="nil"/>
              <w:bottom w:val="single" w:sz="2" w:space="0" w:color="auto"/>
              <w:right w:val="nil"/>
            </w:tcBorders>
            <w:shd w:val="clear" w:color="auto" w:fill="auto"/>
            <w:noWrap/>
            <w:vAlign w:val="bottom"/>
            <w:hideMark/>
          </w:tcPr>
          <w:p w14:paraId="4A87FCF7" w14:textId="77777777" w:rsidR="00F87E58" w:rsidRPr="00C372CC" w:rsidRDefault="00F87E58" w:rsidP="00F87E58">
            <w:pPr>
              <w:pStyle w:val="cuatexto"/>
              <w:jc w:val="left"/>
            </w:pPr>
            <w:r>
              <w:t xml:space="preserve">Hiscan Patrimonio SAU</w:t>
            </w:r>
          </w:p>
        </w:tc>
        <w:tc>
          <w:tcPr>
            <w:tcW w:w="2339" w:type="dxa"/>
            <w:tcBorders>
              <w:top w:val="single" w:sz="2" w:space="0" w:color="auto"/>
              <w:left w:val="nil"/>
              <w:bottom w:val="single" w:sz="2" w:space="0" w:color="auto"/>
              <w:right w:val="nil"/>
            </w:tcBorders>
            <w:shd w:val="clear" w:color="auto" w:fill="auto"/>
            <w:noWrap/>
            <w:vAlign w:val="bottom"/>
            <w:hideMark/>
          </w:tcPr>
          <w:p w14:paraId="5E007BA0" w14:textId="77777777" w:rsidR="00F87E58" w:rsidRPr="00C372CC" w:rsidRDefault="00F87E58" w:rsidP="00F87E58">
            <w:pPr>
              <w:pStyle w:val="cuatexto"/>
              <w:jc w:val="right"/>
            </w:pPr>
            <w:r>
              <w:t xml:space="preserve">17,86</w:t>
            </w:r>
          </w:p>
        </w:tc>
      </w:tr>
      <w:tr w:rsidR="00C372CC" w:rsidRPr="00C372CC" w14:paraId="71CEFCD2" w14:textId="77777777" w:rsidTr="00F87E58">
        <w:trPr>
          <w:trHeight w:val="143"/>
          <w:jc w:val="center"/>
        </w:trPr>
        <w:tc>
          <w:tcPr>
            <w:tcW w:w="6166" w:type="dxa"/>
            <w:tcBorders>
              <w:top w:val="single" w:sz="2" w:space="0" w:color="auto"/>
              <w:left w:val="nil"/>
              <w:bottom w:val="single" w:sz="2" w:space="0" w:color="auto"/>
              <w:right w:val="nil"/>
            </w:tcBorders>
            <w:shd w:val="clear" w:color="auto" w:fill="auto"/>
            <w:noWrap/>
            <w:vAlign w:val="bottom"/>
            <w:hideMark/>
          </w:tcPr>
          <w:p w14:paraId="604FEA28" w14:textId="77777777" w:rsidR="00F87E58" w:rsidRPr="00C372CC" w:rsidRDefault="00F87E58" w:rsidP="00F87E58">
            <w:pPr>
              <w:pStyle w:val="cuatexto"/>
              <w:jc w:val="left"/>
            </w:pPr>
            <w:r>
              <w:t xml:space="preserve">Pronaocio SLU</w:t>
            </w:r>
          </w:p>
        </w:tc>
        <w:tc>
          <w:tcPr>
            <w:tcW w:w="2339" w:type="dxa"/>
            <w:tcBorders>
              <w:top w:val="single" w:sz="2" w:space="0" w:color="auto"/>
              <w:left w:val="nil"/>
              <w:bottom w:val="single" w:sz="2" w:space="0" w:color="auto"/>
              <w:right w:val="nil"/>
            </w:tcBorders>
            <w:shd w:val="clear" w:color="auto" w:fill="auto"/>
            <w:noWrap/>
            <w:vAlign w:val="bottom"/>
            <w:hideMark/>
          </w:tcPr>
          <w:p w14:paraId="74D6DC51" w14:textId="77777777" w:rsidR="00F87E58" w:rsidRPr="00C372CC" w:rsidRDefault="00F87E58" w:rsidP="00F87E58">
            <w:pPr>
              <w:pStyle w:val="cuatexto"/>
              <w:jc w:val="right"/>
            </w:pPr>
            <w:r>
              <w:t xml:space="preserve">11,43</w:t>
            </w:r>
          </w:p>
        </w:tc>
      </w:tr>
      <w:tr w:rsidR="00C372CC" w:rsidRPr="00C372CC" w14:paraId="05518EBA" w14:textId="77777777" w:rsidTr="00F87E58">
        <w:trPr>
          <w:trHeight w:val="89"/>
          <w:jc w:val="center"/>
        </w:trPr>
        <w:tc>
          <w:tcPr>
            <w:tcW w:w="6166" w:type="dxa"/>
            <w:tcBorders>
              <w:top w:val="single" w:sz="2" w:space="0" w:color="auto"/>
              <w:left w:val="nil"/>
              <w:bottom w:val="single" w:sz="4" w:space="0" w:color="auto"/>
              <w:right w:val="nil"/>
            </w:tcBorders>
            <w:shd w:val="clear" w:color="auto" w:fill="auto"/>
            <w:noWrap/>
            <w:vAlign w:val="bottom"/>
            <w:hideMark/>
          </w:tcPr>
          <w:p w14:paraId="2CC5E59F" w14:textId="77777777" w:rsidR="00F87E58" w:rsidRPr="00C372CC" w:rsidRDefault="00FA7622" w:rsidP="00FA7622">
            <w:pPr>
              <w:pStyle w:val="cuatexto"/>
              <w:jc w:val="left"/>
            </w:pPr>
            <w:r>
              <w:t xml:space="preserve">La Información SA</w:t>
            </w:r>
            <w:r w:rsidR="006F6FD3" w:rsidRPr="00C372CC">
              <w:rPr>
                <w:rStyle w:val="Refdenotaalpie"/>
              </w:rPr>
              <w:footnoteReference w:id="2"/>
            </w:r>
          </w:p>
        </w:tc>
        <w:tc>
          <w:tcPr>
            <w:tcW w:w="2339" w:type="dxa"/>
            <w:tcBorders>
              <w:top w:val="single" w:sz="2" w:space="0" w:color="auto"/>
              <w:left w:val="nil"/>
              <w:bottom w:val="single" w:sz="4" w:space="0" w:color="auto"/>
              <w:right w:val="nil"/>
            </w:tcBorders>
            <w:shd w:val="clear" w:color="auto" w:fill="auto"/>
            <w:noWrap/>
            <w:vAlign w:val="bottom"/>
            <w:hideMark/>
          </w:tcPr>
          <w:p w14:paraId="3F06DCCE" w14:textId="77777777" w:rsidR="00F87E58" w:rsidRPr="00C372CC" w:rsidRDefault="00F87E58" w:rsidP="00F87E58">
            <w:pPr>
              <w:pStyle w:val="cuatexto"/>
              <w:jc w:val="right"/>
            </w:pPr>
            <w:r>
              <w:t xml:space="preserve">25,71</w:t>
            </w:r>
          </w:p>
        </w:tc>
      </w:tr>
      <w:tr w:rsidR="00C372CC" w:rsidRPr="00C372CC" w14:paraId="49ABCF91" w14:textId="77777777" w:rsidTr="008C3C03">
        <w:trPr>
          <w:trHeight w:val="255"/>
          <w:jc w:val="center"/>
        </w:trPr>
        <w:tc>
          <w:tcPr>
            <w:tcW w:w="6166" w:type="dxa"/>
            <w:tcBorders>
              <w:top w:val="single" w:sz="4" w:space="0" w:color="auto"/>
              <w:left w:val="nil"/>
              <w:bottom w:val="single" w:sz="4" w:space="0" w:color="auto"/>
              <w:right w:val="nil"/>
            </w:tcBorders>
            <w:shd w:val="clear" w:color="auto" w:fill="9CC2E5"/>
            <w:noWrap/>
            <w:vAlign w:val="center"/>
            <w:hideMark/>
          </w:tcPr>
          <w:p w14:paraId="24DD186A" w14:textId="77777777" w:rsidR="00F87E58" w:rsidRPr="00C372CC" w:rsidRDefault="00F87E58" w:rsidP="00F87E58">
            <w:pPr>
              <w:pStyle w:val="cuadroCabe"/>
              <w:jc w:val="left"/>
            </w:pPr>
            <w:r>
              <w:t xml:space="preserve">Guztira</w:t>
            </w:r>
          </w:p>
        </w:tc>
        <w:tc>
          <w:tcPr>
            <w:tcW w:w="2339" w:type="dxa"/>
            <w:tcBorders>
              <w:top w:val="single" w:sz="4" w:space="0" w:color="auto"/>
              <w:left w:val="nil"/>
              <w:bottom w:val="single" w:sz="4" w:space="0" w:color="auto"/>
              <w:right w:val="nil"/>
            </w:tcBorders>
            <w:shd w:val="clear" w:color="auto" w:fill="9CC2E5"/>
            <w:noWrap/>
            <w:vAlign w:val="center"/>
            <w:hideMark/>
          </w:tcPr>
          <w:p w14:paraId="50FE5FBE" w14:textId="77777777" w:rsidR="00F87E58" w:rsidRPr="00C372CC" w:rsidRDefault="00F87E58" w:rsidP="00F87E58">
            <w:pPr>
              <w:pStyle w:val="cuadroCabe"/>
              <w:jc w:val="right"/>
            </w:pPr>
            <w:r>
              <w:t xml:space="preserve">100</w:t>
            </w:r>
          </w:p>
        </w:tc>
      </w:tr>
    </w:tbl>
    <w:p w14:paraId="5F46DBD2" w14:textId="77777777" w:rsidR="006F6FD3" w:rsidRPr="006F6FD3" w:rsidRDefault="006F6FD3" w:rsidP="006F6FD3">
      <w:pPr>
        <w:autoSpaceDE w:val="0"/>
        <w:autoSpaceDN w:val="0"/>
        <w:adjustRightInd w:val="0"/>
        <w:spacing w:after="0"/>
        <w:ind w:firstLine="0"/>
        <w:jc w:val="left"/>
        <w:rPr>
          <w:rFonts w:ascii="Calibri" w:hAnsi="Calibri" w:cs="Calibri"/>
          <w:color w:val="000000"/>
          <w:sz w:val="24"/>
          <w:szCs w:val="24"/>
          <w:lang w:val="es-ES" w:eastAsia="es-ES"/>
        </w:rPr>
      </w:pPr>
    </w:p>
    <w:p w14:paraId="3C6BE194" w14:textId="77777777" w:rsidR="006F6FD3" w:rsidRDefault="006F6FD3" w:rsidP="00F87E58">
      <w:pPr>
        <w:pStyle w:val="texto"/>
        <w:spacing w:before="240"/>
      </w:pPr>
    </w:p>
    <w:p w14:paraId="11B9BFE3" w14:textId="77777777" w:rsidR="006F6FD3" w:rsidRDefault="006F6FD3" w:rsidP="00F87E58">
      <w:pPr>
        <w:pStyle w:val="texto"/>
        <w:spacing w:before="240"/>
      </w:pPr>
    </w:p>
    <w:p w14:paraId="1E032821" w14:textId="77777777" w:rsidR="00F87E58" w:rsidRDefault="00F87E58" w:rsidP="00F87E58">
      <w:pPr>
        <w:pStyle w:val="texto"/>
        <w:spacing w:before="240"/>
      </w:pPr>
      <w:r>
        <w:t xml:space="preserve">Akzioetan eta kapital sozialean izandako aldaketei buruz, hiru kontu esanguratsu aipatu behar ditugu:</w:t>
      </w:r>
    </w:p>
    <w:p w14:paraId="7A274A75"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Akzioen eskualdaketak enpresa talde bereko enpresen artean egin dira, funtsean.</w:t>
      </w:r>
      <w:r>
        <w:t xml:space="preserve"> </w:t>
      </w:r>
      <w:r>
        <w:t xml:space="preserve">Ez dago besteen aldean bereziki pribilegiatutako akziorik.</w:t>
      </w:r>
    </w:p>
    <w:p w14:paraId="50606DDA"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Aldaketak izan dira bazkideetan edo haien partaidetzaren ehunekoetan, baina ez da akzio berririk jaulki, ez eta akziorik amortizatu ere sozietatea eratu zenez geroztik. Beraz, akzio kopurua eraketaren unekoa bera da:</w:t>
      </w:r>
      <w:r>
        <w:t xml:space="preserve"> </w:t>
      </w:r>
      <w:r>
        <w:t xml:space="preserve">900.000.</w:t>
      </w:r>
    </w:p>
    <w:p w14:paraId="1E632E12" w14:textId="77777777" w:rsidR="00F87E58" w:rsidRPr="00C372CC"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120" w:after="240"/>
        <w:ind w:left="0" w:firstLine="289"/>
        <w:rPr>
          <w:rFonts w:cs="Arial"/>
        </w:rPr>
      </w:pPr>
      <w:r>
        <w:t xml:space="preserve">Aldaketa bakarra akzioen nominalari dagokio, bi kapital-murrizketa egin baitira galerak konpentsatzeko. Hala, bederatzi milioiko hasierako kapitaletik 1,8 milioira pasatu da, beheko taulan ageri denez:</w:t>
      </w:r>
      <w:r>
        <w:t xml:space="preserve"> </w:t>
      </w:r>
    </w:p>
    <w:tbl>
      <w:tblPr>
        <w:tblW w:w="847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68"/>
        <w:gridCol w:w="1267"/>
        <w:gridCol w:w="1444"/>
        <w:gridCol w:w="1444"/>
        <w:gridCol w:w="1444"/>
        <w:gridCol w:w="1303"/>
      </w:tblGrid>
      <w:tr w:rsidR="00C372CC" w:rsidRPr="00C372CC" w14:paraId="30828B47" w14:textId="77777777" w:rsidTr="00F87E58">
        <w:trPr>
          <w:trHeight w:val="255"/>
          <w:jc w:val="center"/>
        </w:trPr>
        <w:tc>
          <w:tcPr>
            <w:tcW w:w="1568" w:type="dxa"/>
            <w:tcBorders>
              <w:bottom w:val="single" w:sz="4" w:space="0" w:color="auto"/>
            </w:tcBorders>
            <w:shd w:val="clear" w:color="auto" w:fill="9CC2E5"/>
            <w:noWrap/>
            <w:vAlign w:val="bottom"/>
            <w:hideMark/>
          </w:tcPr>
          <w:p w14:paraId="5DEB3544" w14:textId="77777777" w:rsidR="00F87E58" w:rsidRPr="00C372CC" w:rsidRDefault="00F87E58" w:rsidP="00F87E58">
            <w:pPr>
              <w:pStyle w:val="cuadroCabe"/>
              <w:jc w:val="left"/>
            </w:pPr>
            <w:r>
              <w:t xml:space="preserve"> </w:t>
            </w:r>
          </w:p>
        </w:tc>
        <w:tc>
          <w:tcPr>
            <w:tcW w:w="1267" w:type="dxa"/>
            <w:tcBorders>
              <w:bottom w:val="single" w:sz="4" w:space="0" w:color="auto"/>
            </w:tcBorders>
            <w:shd w:val="clear" w:color="auto" w:fill="9CC2E5"/>
            <w:noWrap/>
            <w:vAlign w:val="center"/>
            <w:hideMark/>
          </w:tcPr>
          <w:p w14:paraId="23674B8B" w14:textId="77777777" w:rsidR="00F87E58" w:rsidRPr="00C372CC" w:rsidRDefault="00F87E58" w:rsidP="00F87E58">
            <w:pPr>
              <w:pStyle w:val="cuadroCabe"/>
              <w:jc w:val="right"/>
            </w:pPr>
            <w:r>
              <w:t xml:space="preserve">Hasierakoa</w:t>
            </w:r>
          </w:p>
        </w:tc>
        <w:tc>
          <w:tcPr>
            <w:tcW w:w="1444" w:type="dxa"/>
            <w:tcBorders>
              <w:bottom w:val="single" w:sz="4" w:space="0" w:color="auto"/>
            </w:tcBorders>
            <w:shd w:val="clear" w:color="auto" w:fill="9CC2E5"/>
            <w:noWrap/>
            <w:vAlign w:val="center"/>
            <w:hideMark/>
          </w:tcPr>
          <w:p w14:paraId="4CC9E52B" w14:textId="77777777" w:rsidR="00F87E58" w:rsidRPr="00C372CC" w:rsidRDefault="00F87E58" w:rsidP="00F87E58">
            <w:pPr>
              <w:pStyle w:val="cuadroCabe"/>
              <w:jc w:val="right"/>
            </w:pPr>
            <w:r>
              <w:t xml:space="preserve">Murrizketa</w:t>
            </w:r>
          </w:p>
          <w:p w14:paraId="78697C02" w14:textId="77777777" w:rsidR="00F87E58" w:rsidRPr="00C372CC" w:rsidRDefault="00F87E58" w:rsidP="00FA7622">
            <w:pPr>
              <w:pStyle w:val="cuadroCabe"/>
              <w:jc w:val="right"/>
            </w:pPr>
            <w:r>
              <w:t xml:space="preserve"> </w:t>
            </w:r>
            <w:r>
              <w:t xml:space="preserve">2005eko ekaina</w:t>
            </w:r>
          </w:p>
        </w:tc>
        <w:tc>
          <w:tcPr>
            <w:tcW w:w="1444" w:type="dxa"/>
            <w:tcBorders>
              <w:bottom w:val="single" w:sz="4" w:space="0" w:color="auto"/>
            </w:tcBorders>
            <w:shd w:val="clear" w:color="auto" w:fill="9CC2E5"/>
            <w:vAlign w:val="center"/>
            <w:hideMark/>
          </w:tcPr>
          <w:p w14:paraId="01C74D52" w14:textId="77777777" w:rsidR="00F87E58" w:rsidRPr="00C372CC" w:rsidRDefault="00F87E58" w:rsidP="00F87E58">
            <w:pPr>
              <w:pStyle w:val="cuadroCabe"/>
              <w:jc w:val="right"/>
            </w:pPr>
            <w:r>
              <w:t xml:space="preserve">Kapitala</w:t>
            </w:r>
            <w:r>
              <w:t xml:space="preserve"> </w:t>
            </w:r>
          </w:p>
          <w:p w14:paraId="55EDE82D" w14:textId="77777777" w:rsidR="00F87E58" w:rsidRPr="00C372CC" w:rsidRDefault="00FA7622" w:rsidP="00F87E58">
            <w:pPr>
              <w:pStyle w:val="cuadroCabe"/>
              <w:jc w:val="right"/>
            </w:pPr>
            <w:r>
              <w:t xml:space="preserve">2005eko ekaina</w:t>
            </w:r>
          </w:p>
        </w:tc>
        <w:tc>
          <w:tcPr>
            <w:tcW w:w="1444" w:type="dxa"/>
            <w:tcBorders>
              <w:bottom w:val="single" w:sz="4" w:space="0" w:color="auto"/>
            </w:tcBorders>
            <w:shd w:val="clear" w:color="auto" w:fill="9CC2E5"/>
            <w:vAlign w:val="center"/>
            <w:hideMark/>
          </w:tcPr>
          <w:p w14:paraId="22F0F8B1" w14:textId="77777777" w:rsidR="00F87E58" w:rsidRPr="00C372CC" w:rsidRDefault="00F87E58" w:rsidP="00F87E58">
            <w:pPr>
              <w:pStyle w:val="cuadroCabe"/>
              <w:jc w:val="right"/>
            </w:pPr>
            <w:r>
              <w:t xml:space="preserve">Murrizketa</w:t>
            </w:r>
            <w:r>
              <w:t xml:space="preserve"> </w:t>
            </w:r>
          </w:p>
          <w:p w14:paraId="11816FD3" w14:textId="77777777" w:rsidR="00F87E58" w:rsidRPr="00C372CC" w:rsidRDefault="00F87E58" w:rsidP="00F87E58">
            <w:pPr>
              <w:pStyle w:val="cuadroCabe"/>
              <w:jc w:val="right"/>
            </w:pPr>
            <w:r>
              <w:t xml:space="preserve">2006ko ekaina</w:t>
            </w:r>
          </w:p>
        </w:tc>
        <w:tc>
          <w:tcPr>
            <w:tcW w:w="1303" w:type="dxa"/>
            <w:tcBorders>
              <w:bottom w:val="single" w:sz="4" w:space="0" w:color="auto"/>
            </w:tcBorders>
            <w:shd w:val="clear" w:color="auto" w:fill="9CC2E5"/>
            <w:vAlign w:val="center"/>
            <w:hideMark/>
          </w:tcPr>
          <w:p w14:paraId="2DABBD1B" w14:textId="77777777" w:rsidR="00F87E58" w:rsidRPr="00C372CC" w:rsidRDefault="00F87E58" w:rsidP="00F87E58">
            <w:pPr>
              <w:pStyle w:val="cuadroCabe"/>
              <w:jc w:val="right"/>
            </w:pPr>
            <w:r>
              <w:t xml:space="preserve">Amaierako kapitala</w:t>
            </w:r>
          </w:p>
        </w:tc>
      </w:tr>
      <w:tr w:rsidR="00C372CC" w:rsidRPr="00C372CC" w14:paraId="55E9B57B" w14:textId="77777777" w:rsidTr="00F87E58">
        <w:trPr>
          <w:trHeight w:val="198"/>
          <w:jc w:val="center"/>
        </w:trPr>
        <w:tc>
          <w:tcPr>
            <w:tcW w:w="1568" w:type="dxa"/>
            <w:tcBorders>
              <w:bottom w:val="single" w:sz="2" w:space="0" w:color="auto"/>
            </w:tcBorders>
            <w:shd w:val="clear" w:color="auto" w:fill="auto"/>
            <w:noWrap/>
            <w:vAlign w:val="center"/>
            <w:hideMark/>
          </w:tcPr>
          <w:p w14:paraId="1B25EDCC" w14:textId="77777777" w:rsidR="00F87E58" w:rsidRPr="00C372CC" w:rsidRDefault="00F87E58" w:rsidP="00F87E58">
            <w:pPr>
              <w:pStyle w:val="cuadroCabe"/>
              <w:jc w:val="left"/>
              <w:rPr>
                <w:sz w:val="20"/>
                <w:szCs w:val="20"/>
                <w:rFonts w:ascii="Arial Narrow" w:hAnsi="Arial Narrow"/>
              </w:rPr>
            </w:pPr>
            <w:r>
              <w:rPr>
                <w:sz w:val="20"/>
                <w:rFonts w:ascii="Arial Narrow" w:hAnsi="Arial Narrow"/>
              </w:rPr>
              <w:t xml:space="preserve">Akzio kop.</w:t>
            </w:r>
          </w:p>
        </w:tc>
        <w:tc>
          <w:tcPr>
            <w:tcW w:w="1267" w:type="dxa"/>
            <w:tcBorders>
              <w:bottom w:val="single" w:sz="2" w:space="0" w:color="auto"/>
            </w:tcBorders>
            <w:shd w:val="clear" w:color="auto" w:fill="auto"/>
            <w:noWrap/>
            <w:vAlign w:val="center"/>
            <w:hideMark/>
          </w:tcPr>
          <w:p w14:paraId="19207E22" w14:textId="77777777" w:rsidR="00F87E58" w:rsidRPr="00C372CC" w:rsidRDefault="00F87E58" w:rsidP="00F87E58">
            <w:pPr>
              <w:pStyle w:val="cuadroCabe"/>
              <w:jc w:val="right"/>
              <w:rPr>
                <w:sz w:val="20"/>
                <w:szCs w:val="20"/>
                <w:rFonts w:ascii="Arial Narrow" w:hAnsi="Arial Narrow"/>
              </w:rPr>
            </w:pPr>
            <w:r>
              <w:rPr>
                <w:sz w:val="20"/>
                <w:rFonts w:ascii="Arial Narrow" w:hAnsi="Arial Narrow"/>
              </w:rPr>
              <w:t xml:space="preserve">900.000</w:t>
            </w:r>
          </w:p>
        </w:tc>
        <w:tc>
          <w:tcPr>
            <w:tcW w:w="1444" w:type="dxa"/>
            <w:tcBorders>
              <w:bottom w:val="single" w:sz="2" w:space="0" w:color="auto"/>
            </w:tcBorders>
            <w:shd w:val="clear" w:color="auto" w:fill="auto"/>
            <w:noWrap/>
            <w:vAlign w:val="center"/>
            <w:hideMark/>
          </w:tcPr>
          <w:p w14:paraId="0E939BB9" w14:textId="77777777" w:rsidR="00F87E58" w:rsidRPr="00C372CC" w:rsidRDefault="00F87E58" w:rsidP="00F87E58">
            <w:pPr>
              <w:pStyle w:val="cuadroCabe"/>
              <w:jc w:val="right"/>
              <w:rPr>
                <w:sz w:val="20"/>
                <w:szCs w:val="20"/>
                <w:rFonts w:ascii="Arial Narrow" w:hAnsi="Arial Narrow"/>
              </w:rPr>
            </w:pPr>
            <w:r>
              <w:rPr>
                <w:sz w:val="20"/>
                <w:rFonts w:ascii="Arial Narrow" w:hAnsi="Arial Narrow"/>
              </w:rPr>
              <w:t xml:space="preserve">900.000</w:t>
            </w:r>
          </w:p>
        </w:tc>
        <w:tc>
          <w:tcPr>
            <w:tcW w:w="1444" w:type="dxa"/>
            <w:tcBorders>
              <w:bottom w:val="single" w:sz="2" w:space="0" w:color="auto"/>
            </w:tcBorders>
            <w:shd w:val="clear" w:color="auto" w:fill="auto"/>
            <w:noWrap/>
            <w:vAlign w:val="center"/>
            <w:hideMark/>
          </w:tcPr>
          <w:p w14:paraId="4FC9B29E" w14:textId="77777777" w:rsidR="00F87E58" w:rsidRPr="00C372CC" w:rsidRDefault="00F87E58" w:rsidP="00F87E58">
            <w:pPr>
              <w:pStyle w:val="cuadroCabe"/>
              <w:jc w:val="right"/>
              <w:rPr>
                <w:sz w:val="20"/>
                <w:szCs w:val="20"/>
                <w:rFonts w:ascii="Arial Narrow" w:hAnsi="Arial Narrow"/>
              </w:rPr>
            </w:pPr>
            <w:r>
              <w:rPr>
                <w:sz w:val="20"/>
                <w:rFonts w:ascii="Arial Narrow" w:hAnsi="Arial Narrow"/>
              </w:rPr>
              <w:t xml:space="preserve">900.000</w:t>
            </w:r>
          </w:p>
        </w:tc>
        <w:tc>
          <w:tcPr>
            <w:tcW w:w="1444" w:type="dxa"/>
            <w:tcBorders>
              <w:bottom w:val="single" w:sz="2" w:space="0" w:color="auto"/>
            </w:tcBorders>
            <w:shd w:val="clear" w:color="auto" w:fill="auto"/>
            <w:noWrap/>
            <w:vAlign w:val="center"/>
            <w:hideMark/>
          </w:tcPr>
          <w:p w14:paraId="07D629E6" w14:textId="77777777" w:rsidR="00F87E58" w:rsidRPr="00C372CC" w:rsidRDefault="00F87E58" w:rsidP="00F87E58">
            <w:pPr>
              <w:pStyle w:val="cuadroCabe"/>
              <w:jc w:val="right"/>
              <w:rPr>
                <w:sz w:val="20"/>
                <w:szCs w:val="20"/>
                <w:rFonts w:ascii="Arial Narrow" w:hAnsi="Arial Narrow"/>
              </w:rPr>
            </w:pPr>
            <w:r>
              <w:rPr>
                <w:sz w:val="20"/>
                <w:rFonts w:ascii="Arial Narrow" w:hAnsi="Arial Narrow"/>
              </w:rPr>
              <w:t xml:space="preserve">900.000</w:t>
            </w:r>
          </w:p>
        </w:tc>
        <w:tc>
          <w:tcPr>
            <w:tcW w:w="1303" w:type="dxa"/>
            <w:tcBorders>
              <w:bottom w:val="single" w:sz="2" w:space="0" w:color="auto"/>
            </w:tcBorders>
            <w:shd w:val="clear" w:color="auto" w:fill="auto"/>
            <w:noWrap/>
            <w:vAlign w:val="center"/>
            <w:hideMark/>
          </w:tcPr>
          <w:p w14:paraId="3E120F82" w14:textId="77777777" w:rsidR="00F87E58" w:rsidRPr="00C372CC" w:rsidRDefault="00F87E58" w:rsidP="00F87E58">
            <w:pPr>
              <w:pStyle w:val="cuadroCabe"/>
              <w:jc w:val="right"/>
              <w:rPr>
                <w:sz w:val="20"/>
                <w:szCs w:val="20"/>
                <w:rFonts w:ascii="Arial Narrow" w:hAnsi="Arial Narrow"/>
              </w:rPr>
            </w:pPr>
            <w:r>
              <w:rPr>
                <w:sz w:val="20"/>
                <w:rFonts w:ascii="Arial Narrow" w:hAnsi="Arial Narrow"/>
              </w:rPr>
              <w:t xml:space="preserve">900.000</w:t>
            </w:r>
          </w:p>
        </w:tc>
      </w:tr>
      <w:tr w:rsidR="00F87E58" w:rsidRPr="00BB5B2C" w14:paraId="09AF7F20" w14:textId="77777777" w:rsidTr="00F87E58">
        <w:trPr>
          <w:trHeight w:val="198"/>
          <w:jc w:val="center"/>
        </w:trPr>
        <w:tc>
          <w:tcPr>
            <w:tcW w:w="1568" w:type="dxa"/>
            <w:tcBorders>
              <w:top w:val="single" w:sz="2" w:space="0" w:color="auto"/>
              <w:bottom w:val="single" w:sz="2" w:space="0" w:color="auto"/>
            </w:tcBorders>
            <w:shd w:val="clear" w:color="auto" w:fill="auto"/>
            <w:noWrap/>
            <w:vAlign w:val="center"/>
            <w:hideMark/>
          </w:tcPr>
          <w:p w14:paraId="01E425ED" w14:textId="77777777" w:rsidR="00F87E58" w:rsidRPr="005E1A72" w:rsidRDefault="00F87E58" w:rsidP="00F87E58">
            <w:pPr>
              <w:pStyle w:val="cuadroCabe"/>
              <w:jc w:val="left"/>
              <w:rPr>
                <w:sz w:val="20"/>
                <w:szCs w:val="20"/>
                <w:rFonts w:ascii="Arial Narrow" w:hAnsi="Arial Narrow"/>
              </w:rPr>
            </w:pPr>
            <w:r>
              <w:rPr>
                <w:sz w:val="20"/>
                <w:rFonts w:ascii="Arial Narrow" w:hAnsi="Arial Narrow"/>
              </w:rPr>
              <w:t xml:space="preserve">Nominala</w:t>
            </w:r>
          </w:p>
        </w:tc>
        <w:tc>
          <w:tcPr>
            <w:tcW w:w="1267" w:type="dxa"/>
            <w:tcBorders>
              <w:top w:val="single" w:sz="2" w:space="0" w:color="auto"/>
              <w:bottom w:val="single" w:sz="2" w:space="0" w:color="auto"/>
            </w:tcBorders>
            <w:shd w:val="clear" w:color="auto" w:fill="auto"/>
            <w:noWrap/>
            <w:vAlign w:val="center"/>
            <w:hideMark/>
          </w:tcPr>
          <w:p w14:paraId="288F9A57"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10</w:t>
            </w:r>
          </w:p>
        </w:tc>
        <w:tc>
          <w:tcPr>
            <w:tcW w:w="1444" w:type="dxa"/>
            <w:tcBorders>
              <w:top w:val="single" w:sz="2" w:space="0" w:color="auto"/>
              <w:bottom w:val="single" w:sz="2" w:space="0" w:color="auto"/>
            </w:tcBorders>
            <w:shd w:val="clear" w:color="auto" w:fill="auto"/>
            <w:noWrap/>
            <w:vAlign w:val="center"/>
            <w:hideMark/>
          </w:tcPr>
          <w:p w14:paraId="2820B9A6"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3,33</w:t>
            </w:r>
          </w:p>
        </w:tc>
        <w:tc>
          <w:tcPr>
            <w:tcW w:w="1444" w:type="dxa"/>
            <w:tcBorders>
              <w:top w:val="single" w:sz="2" w:space="0" w:color="auto"/>
              <w:bottom w:val="single" w:sz="2" w:space="0" w:color="auto"/>
            </w:tcBorders>
            <w:shd w:val="clear" w:color="auto" w:fill="auto"/>
            <w:noWrap/>
            <w:vAlign w:val="center"/>
            <w:hideMark/>
          </w:tcPr>
          <w:p w14:paraId="0A7EEF13"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6,67</w:t>
            </w:r>
          </w:p>
        </w:tc>
        <w:tc>
          <w:tcPr>
            <w:tcW w:w="1444" w:type="dxa"/>
            <w:tcBorders>
              <w:top w:val="single" w:sz="2" w:space="0" w:color="auto"/>
              <w:bottom w:val="single" w:sz="2" w:space="0" w:color="auto"/>
            </w:tcBorders>
            <w:shd w:val="clear" w:color="auto" w:fill="auto"/>
            <w:noWrap/>
            <w:vAlign w:val="center"/>
            <w:hideMark/>
          </w:tcPr>
          <w:p w14:paraId="42A6503E"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4,67</w:t>
            </w:r>
          </w:p>
        </w:tc>
        <w:tc>
          <w:tcPr>
            <w:tcW w:w="1303" w:type="dxa"/>
            <w:tcBorders>
              <w:top w:val="single" w:sz="2" w:space="0" w:color="auto"/>
              <w:bottom w:val="single" w:sz="2" w:space="0" w:color="auto"/>
            </w:tcBorders>
            <w:shd w:val="clear" w:color="auto" w:fill="auto"/>
            <w:noWrap/>
            <w:vAlign w:val="center"/>
            <w:hideMark/>
          </w:tcPr>
          <w:p w14:paraId="0161380A"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2</w:t>
            </w:r>
          </w:p>
        </w:tc>
      </w:tr>
      <w:tr w:rsidR="00F87E58" w:rsidRPr="00BB5B2C" w14:paraId="1C6F6D40" w14:textId="77777777" w:rsidTr="00F87E58">
        <w:trPr>
          <w:trHeight w:val="198"/>
          <w:jc w:val="center"/>
        </w:trPr>
        <w:tc>
          <w:tcPr>
            <w:tcW w:w="1568" w:type="dxa"/>
            <w:tcBorders>
              <w:top w:val="single" w:sz="2" w:space="0" w:color="auto"/>
            </w:tcBorders>
            <w:shd w:val="clear" w:color="auto" w:fill="auto"/>
            <w:noWrap/>
            <w:vAlign w:val="center"/>
            <w:hideMark/>
          </w:tcPr>
          <w:p w14:paraId="2CAC978A" w14:textId="77777777" w:rsidR="00F87E58" w:rsidRPr="005E1A72" w:rsidRDefault="00F87E58" w:rsidP="00F87E58">
            <w:pPr>
              <w:pStyle w:val="cuadroCabe"/>
              <w:jc w:val="left"/>
              <w:rPr>
                <w:sz w:val="20"/>
                <w:szCs w:val="20"/>
                <w:rFonts w:ascii="Arial Narrow" w:hAnsi="Arial Narrow"/>
              </w:rPr>
            </w:pPr>
            <w:r>
              <w:rPr>
                <w:sz w:val="20"/>
                <w:rFonts w:ascii="Arial Narrow" w:hAnsi="Arial Narrow"/>
              </w:rPr>
              <w:t xml:space="preserve">Kapital soziala</w:t>
            </w:r>
          </w:p>
        </w:tc>
        <w:tc>
          <w:tcPr>
            <w:tcW w:w="1267" w:type="dxa"/>
            <w:tcBorders>
              <w:top w:val="single" w:sz="2" w:space="0" w:color="auto"/>
            </w:tcBorders>
            <w:shd w:val="clear" w:color="auto" w:fill="auto"/>
            <w:noWrap/>
            <w:vAlign w:val="center"/>
            <w:hideMark/>
          </w:tcPr>
          <w:p w14:paraId="743E4EDA"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9.000.000</w:t>
            </w:r>
          </w:p>
        </w:tc>
        <w:tc>
          <w:tcPr>
            <w:tcW w:w="1444" w:type="dxa"/>
            <w:tcBorders>
              <w:top w:val="single" w:sz="2" w:space="0" w:color="auto"/>
            </w:tcBorders>
            <w:shd w:val="clear" w:color="auto" w:fill="auto"/>
            <w:noWrap/>
            <w:vAlign w:val="center"/>
            <w:hideMark/>
          </w:tcPr>
          <w:p w14:paraId="1563EEDB"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2.997.000</w:t>
            </w:r>
          </w:p>
        </w:tc>
        <w:tc>
          <w:tcPr>
            <w:tcW w:w="1444" w:type="dxa"/>
            <w:tcBorders>
              <w:top w:val="single" w:sz="2" w:space="0" w:color="auto"/>
            </w:tcBorders>
            <w:shd w:val="clear" w:color="auto" w:fill="auto"/>
            <w:noWrap/>
            <w:vAlign w:val="center"/>
            <w:hideMark/>
          </w:tcPr>
          <w:p w14:paraId="35CF07C6"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6.003.000</w:t>
            </w:r>
          </w:p>
        </w:tc>
        <w:tc>
          <w:tcPr>
            <w:tcW w:w="1444" w:type="dxa"/>
            <w:tcBorders>
              <w:top w:val="single" w:sz="2" w:space="0" w:color="auto"/>
            </w:tcBorders>
            <w:shd w:val="clear" w:color="auto" w:fill="auto"/>
            <w:noWrap/>
            <w:vAlign w:val="center"/>
            <w:hideMark/>
          </w:tcPr>
          <w:p w14:paraId="626A03F4"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4.203.000</w:t>
            </w:r>
          </w:p>
        </w:tc>
        <w:tc>
          <w:tcPr>
            <w:tcW w:w="1303" w:type="dxa"/>
            <w:tcBorders>
              <w:top w:val="single" w:sz="2" w:space="0" w:color="auto"/>
            </w:tcBorders>
            <w:shd w:val="clear" w:color="auto" w:fill="auto"/>
            <w:noWrap/>
            <w:vAlign w:val="center"/>
            <w:hideMark/>
          </w:tcPr>
          <w:p w14:paraId="18269D5B" w14:textId="77777777" w:rsidR="00F87E58" w:rsidRPr="005E1A72" w:rsidRDefault="00F87E58" w:rsidP="00F87E58">
            <w:pPr>
              <w:pStyle w:val="cuadroCabe"/>
              <w:jc w:val="right"/>
              <w:rPr>
                <w:sz w:val="20"/>
                <w:szCs w:val="20"/>
                <w:rFonts w:ascii="Arial Narrow" w:hAnsi="Arial Narrow"/>
              </w:rPr>
            </w:pPr>
            <w:r>
              <w:rPr>
                <w:sz w:val="20"/>
                <w:rFonts w:ascii="Arial Narrow" w:hAnsi="Arial Narrow"/>
              </w:rPr>
              <w:t xml:space="preserve">1.800.000</w:t>
            </w:r>
          </w:p>
        </w:tc>
      </w:tr>
    </w:tbl>
    <w:p w14:paraId="79BEE4C6" w14:textId="77777777" w:rsidR="00F87E58" w:rsidRDefault="00F87E58" w:rsidP="00F87E58">
      <w:pPr>
        <w:pStyle w:val="texto"/>
      </w:pPr>
      <w:bookmarkStart w:id="25" w:name="TMB305776346"/>
      <w:bookmarkEnd w:id="25"/>
    </w:p>
    <w:p w14:paraId="2B5B666F" w14:textId="77777777" w:rsidR="00F87E58" w:rsidRPr="00E85E61" w:rsidRDefault="00F87E58" w:rsidP="00F87E58">
      <w:pPr>
        <w:pStyle w:val="atitulo3"/>
        <w:rPr>
          <w:sz w:val="26"/>
        </w:rPr>
      </w:pPr>
      <w:r>
        <w:rPr>
          <w:sz w:val="26"/>
        </w:rPr>
        <w:t xml:space="preserve">Gobernu organoak</w:t>
      </w:r>
    </w:p>
    <w:p w14:paraId="6C757661" w14:textId="77777777" w:rsidR="00F87E58" w:rsidRDefault="00F87E58" w:rsidP="00F87E58">
      <w:pPr>
        <w:pStyle w:val="texto"/>
      </w:pPr>
      <w:r>
        <w:t xml:space="preserve">Hasierako gobernu organoak Batzar Orokorra eta Administrazio Kontseilua ziren. Gutxienez lau kide zituzten eta gehienez hamar.</w:t>
      </w:r>
      <w:r>
        <w:t xml:space="preserve"> </w:t>
      </w:r>
      <w:r>
        <w:t xml:space="preserve">Kontseilukideak bost urterako izendatzen dira.</w:t>
      </w:r>
      <w:r>
        <w:t xml:space="preserve"> </w:t>
      </w:r>
      <w:r>
        <w:t xml:space="preserve">Gobernu organoen bilakaera dela-eta:</w:t>
      </w:r>
    </w:p>
    <w:p w14:paraId="714B6112"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2004an Sendaviva parkea jendearentzat ireki zen eta agerian gelditu ziren zenbait akats eta emaitza negatibo. Horrek garrantzizko galerak eragin zituen.</w:t>
      </w:r>
      <w:r>
        <w:t xml:space="preserve"> </w:t>
      </w:r>
    </w:p>
    <w:p w14:paraId="73D7D6DD" w14:textId="77777777" w:rsidR="00F87E58" w:rsidRPr="00E1571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Sozietatearen Administrazio Kontseiluak, 2004ko abenduaren 27ko bilkuran, eztabaidagai izan zituen diruzaintzako egoera kritikoa eta parkea eraikitzeko lortutako banku-finantzaketaz gain</w:t>
      </w:r>
      <w:r w:rsidRPr="00884174">
        <w:rPr>
          <w:rStyle w:val="Refdenotaalpie"/>
          <w:rFonts w:eastAsia="Calibri" w:cs="Arial"/>
        </w:rPr>
        <w:footnoteReference w:id="3"/>
      </w:r>
      <w:r>
        <w:t xml:space="preserve"> finantzabide gehiago lortzeko ezintasuna.</w:t>
      </w:r>
      <w:r>
        <w:t xml:space="preserve"> </w:t>
      </w:r>
      <w:r>
        <w:t xml:space="preserve">Egoera horren aurrean, eta gainerako bazkideek proiekturako laguntza finantzarioa emateari uko egin ziotenez, Nafarroako Gobernuak eta Sodenaren Administrazio Kontseiluak, inbertsioari estrategikoa iritzita, erabaki zuten Sodenak emanen zuela laguntza finantzario osoa eta halaber berak gainbegiratuko zuela kudeaketa.</w:t>
      </w:r>
      <w:r>
        <w:t xml:space="preserve"> </w:t>
      </w:r>
      <w:r>
        <w:t xml:space="preserve">Horretarako, merkataritzako esparru juridikoarekin bat etorriz, Administrazio Kontseilua kendu eta haren ordez administratzaile bakarraren figura jarriko zen.</w:t>
      </w:r>
      <w:r>
        <w:t xml:space="preserve"> </w:t>
      </w:r>
    </w:p>
    <w:p w14:paraId="3A5AC8B5" w14:textId="77777777" w:rsidR="00F87E58" w:rsidRPr="00220E40"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2005eko maiatzean Parquenasaren Administrazio Kontseiluak proposatu zuen Sodena izatea sozietatearen administrazio bakarra.</w:t>
      </w:r>
      <w:r>
        <w:t xml:space="preserve"> </w:t>
      </w:r>
      <w:r>
        <w:t xml:space="preserve">Parquenasaren Batzar Orokorrak proposamena onetsi zuen 2005eko ekainean.</w:t>
      </w:r>
      <w:r>
        <w:t xml:space="preserve"> </w:t>
      </w:r>
    </w:p>
    <w:p w14:paraId="47D29B4C" w14:textId="77777777" w:rsidR="00FA7622" w:rsidRPr="00C372CC" w:rsidRDefault="00FA7622" w:rsidP="00FA7622">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Sodenari bost urtean behin berrituz joan zitzaion administratzaile bakarra izateko izendapena, Parquenasaren Batzar Orokorrak horretarako erabakiak hartuta 2010eko ekainaren 21ean, 2015eko ekainaren 30ean eta 2020ko maiatzaren 26an egindako bilkuretan. Azkenik, 2023ko otsailaren 2an Sodenak uko egin zion izendapenari, Nicdok akzioak erosi ondoren.</w:t>
      </w:r>
      <w:r>
        <w:t xml:space="preserve"> </w:t>
      </w:r>
    </w:p>
    <w:p w14:paraId="759CA0C0" w14:textId="77777777" w:rsidR="00FA7622" w:rsidRPr="00C372CC" w:rsidRDefault="00FA7622" w:rsidP="00FA7622">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Akzio-partaidetzak Nicdori saltzeko eragiketa 2023ko urtarrilaren 26an formalizatu zen. Ondoren, 2023ko otsailaren 2ko bilkuran, Parquenasaren Batzar Orokorrak Sodenaren uko egitea onartu zuen eta Nicdo izendatu zuen administratzaile bakarraren kargua hartzeko, estatutuetan ezarritako 5 urteko eperako.</w:t>
      </w:r>
      <w:r>
        <w:t xml:space="preserve"> </w:t>
      </w:r>
      <w:r>
        <w:t xml:space="preserve">Kargu horrek indarrean jarraitzen du gaur egun.</w:t>
      </w:r>
      <w:r>
        <w:t xml:space="preserve"> </w:t>
      </w:r>
    </w:p>
    <w:p w14:paraId="14CFE668" w14:textId="77777777" w:rsidR="00F87E58" w:rsidRDefault="00F87E58" w:rsidP="00F87E58">
      <w:pPr>
        <w:pStyle w:val="atitulo3"/>
        <w:spacing w:before="240"/>
      </w:pPr>
      <w:r>
        <w:t xml:space="preserve">Akzioak Nicdori eskualdatzea</w:t>
      </w:r>
    </w:p>
    <w:p w14:paraId="06C6D29E" w14:textId="77777777" w:rsidR="00F87E58" w:rsidRDefault="00F87E58" w:rsidP="00F87E58">
      <w:pPr>
        <w:pStyle w:val="texto"/>
      </w:pPr>
      <w:r>
        <w:t xml:space="preserve">Eragiketa horri dagokionez, honako hau esan beharra dago:</w:t>
      </w:r>
      <w:r>
        <w:t xml:space="preserve"> </w:t>
      </w:r>
    </w:p>
    <w:p w14:paraId="148A98AB"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2014aren amaieran Sodenaren Administrazio Batzarrak Parquenasa hirugarren bati saltzeko aukera planteatu zuen, eta bilerak egin ziren sektoreko eragileekin, parkea saltzea edo haren kudeaketa kanporatzea helburu.</w:t>
      </w:r>
      <w:r>
        <w:t xml:space="preserve"> </w:t>
      </w:r>
      <w:r>
        <w:t xml:space="preserve">Ondorioztatu zen parkea oraindik ez zela behar bezain erakargarria hirugarrenentzat eta lanean jarraitu beharra zegoela, EBITDA</w:t>
      </w:r>
      <w:r>
        <w:rPr>
          <w:rStyle w:val="Refdenotaalpie"/>
          <w:rFonts w:eastAsia="Calibri"/>
        </w:rPr>
        <w:footnoteReference w:id="4"/>
      </w:r>
      <w:r>
        <w:t xml:space="preserve"> positiboa edo zerokoa lortze aldera.</w:t>
      </w:r>
      <w:r>
        <w:t xml:space="preserve"> </w:t>
      </w:r>
    </w:p>
    <w:p w14:paraId="240FA47A" w14:textId="77777777" w:rsidR="00F87E58" w:rsidRDefault="00F87E58" w:rsidP="00F87E58">
      <w:pPr>
        <w:pStyle w:val="texto"/>
      </w:pPr>
      <w:r>
        <w:t xml:space="preserve">Beste autonomia erkidego batzuetan azken hamarkadan parkeak salerosteko egindako beste eragiketa batzuekin konparazioak egin ziren, eta agerian jarri zen, EBITDAren joera positiboaren beharra ez ezik, Sendavivak higiezin atxikietan (hotel azpiegituretan) inbertitu beharra ere bazuela, erosleentzat erakargarria izateko.</w:t>
      </w:r>
      <w:r>
        <w:t xml:space="preserve"> </w:t>
      </w:r>
    </w:p>
    <w:p w14:paraId="07259352" w14:textId="77777777" w:rsidR="00F87E58" w:rsidRPr="00E15718" w:rsidRDefault="00F87E58" w:rsidP="00F87E58">
      <w:pPr>
        <w:pStyle w:val="texto"/>
      </w:pPr>
      <w:r>
        <w:t xml:space="preserve">Nolanahi ere, une hartan salduz gero, inbertsioaren kostuaren % 15 berreskuratuko zela kalkulatu zen.</w:t>
      </w:r>
      <w:r>
        <w:t xml:space="preserve"> </w:t>
      </w:r>
      <w:r>
        <w:t xml:space="preserve">Hori horrela, merkatuan saltzeko itxaropen gutxi zegoela-eta, Nicdo sozietate publikoari eskualdatzeko aukera baloratu zen.</w:t>
      </w:r>
    </w:p>
    <w:p w14:paraId="479170B4"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Baina erabaki hori ez zen gauzatu 2022ko urriaren 28ra arte. Sodenaren Administrazio Kontseiluak egun horretan eman zuen baimena Sodenaren titulartasuneko Parquenasako akzioak Nicdori eskualdatzeko.</w:t>
      </w:r>
    </w:p>
    <w:p w14:paraId="319D80E8"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rFonts w:cs="Arial"/>
        </w:rPr>
      </w:pPr>
      <w:r>
        <w:t xml:space="preserve">2023ko urtarrilaren 26an notarioaren aurrean eskritura publikoan formalizatu zen akzioen salerosketa. Euro bateko prezio sinbolikoa ezarri zen.</w:t>
      </w:r>
      <w:r>
        <w:t xml:space="preserve"> </w:t>
      </w:r>
      <w:r>
        <w:t xml:space="preserve">Sozietatea honela osatuta gelditu zen:</w:t>
      </w:r>
      <w:r>
        <w:t xml:space="preserve"> </w:t>
      </w:r>
    </w:p>
    <w:tbl>
      <w:tblPr>
        <w:tblW w:w="8505" w:type="dxa"/>
        <w:jc w:val="center"/>
        <w:tblCellMar>
          <w:left w:w="70" w:type="dxa"/>
          <w:right w:w="70" w:type="dxa"/>
        </w:tblCellMar>
        <w:tblLook w:val="04A0" w:firstRow="1" w:lastRow="0" w:firstColumn="1" w:lastColumn="0" w:noHBand="0" w:noVBand="1"/>
      </w:tblPr>
      <w:tblGrid>
        <w:gridCol w:w="5882"/>
        <w:gridCol w:w="2623"/>
      </w:tblGrid>
      <w:tr w:rsidR="00F87E58" w:rsidRPr="00BB5B2C" w14:paraId="642A2D78" w14:textId="77777777" w:rsidTr="008C3C03">
        <w:trPr>
          <w:trHeight w:val="255"/>
          <w:jc w:val="center"/>
        </w:trPr>
        <w:tc>
          <w:tcPr>
            <w:tcW w:w="5882" w:type="dxa"/>
            <w:tcBorders>
              <w:top w:val="single" w:sz="4" w:space="0" w:color="auto"/>
              <w:left w:val="nil"/>
              <w:bottom w:val="single" w:sz="4" w:space="0" w:color="auto"/>
              <w:right w:val="nil"/>
            </w:tcBorders>
            <w:shd w:val="clear" w:color="auto" w:fill="9CC2E5"/>
            <w:noWrap/>
            <w:vAlign w:val="center"/>
            <w:hideMark/>
          </w:tcPr>
          <w:p w14:paraId="0267241E" w14:textId="77777777" w:rsidR="00F87E58" w:rsidRPr="00BB5B2C" w:rsidRDefault="00F87E58" w:rsidP="00F87E58">
            <w:pPr>
              <w:pStyle w:val="cuadroCabe"/>
              <w:jc w:val="left"/>
            </w:pPr>
            <w:r>
              <w:t xml:space="preserve">Akziodunak 2023an</w:t>
            </w:r>
          </w:p>
        </w:tc>
        <w:tc>
          <w:tcPr>
            <w:tcW w:w="2623" w:type="dxa"/>
            <w:tcBorders>
              <w:top w:val="single" w:sz="4" w:space="0" w:color="auto"/>
              <w:left w:val="nil"/>
              <w:bottom w:val="single" w:sz="4" w:space="0" w:color="auto"/>
              <w:right w:val="nil"/>
            </w:tcBorders>
            <w:shd w:val="clear" w:color="auto" w:fill="9CC2E5"/>
            <w:noWrap/>
            <w:vAlign w:val="center"/>
            <w:hideMark/>
          </w:tcPr>
          <w:p w14:paraId="49E15296" w14:textId="77777777" w:rsidR="00F87E58" w:rsidRPr="00BB5B2C" w:rsidRDefault="00F87E58" w:rsidP="00F87E58">
            <w:pPr>
              <w:pStyle w:val="cuadroCabe"/>
              <w:jc w:val="right"/>
            </w:pPr>
            <w:r>
              <w:t xml:space="preserve">Partaidetzaren ehunekoa</w:t>
            </w:r>
          </w:p>
        </w:tc>
      </w:tr>
      <w:tr w:rsidR="00C372CC" w:rsidRPr="00C372CC" w14:paraId="076980A8" w14:textId="77777777" w:rsidTr="00F87E58">
        <w:trPr>
          <w:trHeight w:val="151"/>
          <w:jc w:val="center"/>
        </w:trPr>
        <w:tc>
          <w:tcPr>
            <w:tcW w:w="5882" w:type="dxa"/>
            <w:tcBorders>
              <w:top w:val="single" w:sz="4" w:space="0" w:color="auto"/>
              <w:left w:val="nil"/>
              <w:bottom w:val="single" w:sz="2" w:space="0" w:color="auto"/>
              <w:right w:val="nil"/>
            </w:tcBorders>
            <w:shd w:val="clear" w:color="auto" w:fill="auto"/>
            <w:noWrap/>
            <w:vAlign w:val="bottom"/>
            <w:hideMark/>
          </w:tcPr>
          <w:p w14:paraId="411F316E" w14:textId="77777777" w:rsidR="00F87E58" w:rsidRPr="00C372CC" w:rsidRDefault="00F87E58" w:rsidP="00F87E58">
            <w:pPr>
              <w:pStyle w:val="cuatexto"/>
              <w:jc w:val="left"/>
            </w:pPr>
            <w:r>
              <w:t xml:space="preserve">Nicdo</w:t>
            </w:r>
          </w:p>
        </w:tc>
        <w:tc>
          <w:tcPr>
            <w:tcW w:w="2623" w:type="dxa"/>
            <w:tcBorders>
              <w:top w:val="single" w:sz="4" w:space="0" w:color="auto"/>
              <w:left w:val="nil"/>
              <w:bottom w:val="single" w:sz="2" w:space="0" w:color="auto"/>
              <w:right w:val="nil"/>
            </w:tcBorders>
            <w:shd w:val="clear" w:color="auto" w:fill="auto"/>
            <w:noWrap/>
            <w:vAlign w:val="bottom"/>
            <w:hideMark/>
          </w:tcPr>
          <w:p w14:paraId="64B824D2" w14:textId="77777777" w:rsidR="00F87E58" w:rsidRPr="00C372CC" w:rsidRDefault="00F87E58" w:rsidP="00F87E58">
            <w:pPr>
              <w:pStyle w:val="cuatexto"/>
              <w:jc w:val="right"/>
            </w:pPr>
            <w:r>
              <w:t xml:space="preserve">45</w:t>
            </w:r>
          </w:p>
        </w:tc>
      </w:tr>
      <w:tr w:rsidR="00C372CC" w:rsidRPr="00C372CC" w14:paraId="1BBFEA1A" w14:textId="77777777" w:rsidTr="00F87E58">
        <w:trPr>
          <w:trHeight w:val="97"/>
          <w:jc w:val="center"/>
        </w:trPr>
        <w:tc>
          <w:tcPr>
            <w:tcW w:w="5882" w:type="dxa"/>
            <w:tcBorders>
              <w:top w:val="single" w:sz="2" w:space="0" w:color="auto"/>
              <w:left w:val="nil"/>
              <w:bottom w:val="single" w:sz="2" w:space="0" w:color="auto"/>
              <w:right w:val="nil"/>
            </w:tcBorders>
            <w:shd w:val="clear" w:color="auto" w:fill="auto"/>
            <w:noWrap/>
            <w:vAlign w:val="bottom"/>
            <w:hideMark/>
          </w:tcPr>
          <w:p w14:paraId="757963E0" w14:textId="77777777" w:rsidR="00F87E58" w:rsidRPr="00C372CC" w:rsidRDefault="00F87E58" w:rsidP="00F87E58">
            <w:pPr>
              <w:pStyle w:val="cuatexto"/>
              <w:jc w:val="left"/>
            </w:pPr>
            <w:r>
              <w:t xml:space="preserve">Hiscan Patrimonio SAU</w:t>
            </w:r>
          </w:p>
        </w:tc>
        <w:tc>
          <w:tcPr>
            <w:tcW w:w="2623" w:type="dxa"/>
            <w:tcBorders>
              <w:top w:val="single" w:sz="2" w:space="0" w:color="auto"/>
              <w:left w:val="nil"/>
              <w:bottom w:val="single" w:sz="2" w:space="0" w:color="auto"/>
              <w:right w:val="nil"/>
            </w:tcBorders>
            <w:shd w:val="clear" w:color="auto" w:fill="auto"/>
            <w:noWrap/>
            <w:vAlign w:val="bottom"/>
            <w:hideMark/>
          </w:tcPr>
          <w:p w14:paraId="4CF98714" w14:textId="77777777" w:rsidR="00F87E58" w:rsidRPr="00C372CC" w:rsidRDefault="00F87E58" w:rsidP="00F87E58">
            <w:pPr>
              <w:pStyle w:val="cuatexto"/>
              <w:jc w:val="right"/>
            </w:pPr>
            <w:r>
              <w:t xml:space="preserve">17,86</w:t>
            </w:r>
          </w:p>
        </w:tc>
      </w:tr>
      <w:tr w:rsidR="00C372CC" w:rsidRPr="00C372CC" w14:paraId="193BD85A" w14:textId="77777777" w:rsidTr="00F87E58">
        <w:trPr>
          <w:trHeight w:val="143"/>
          <w:jc w:val="center"/>
        </w:trPr>
        <w:tc>
          <w:tcPr>
            <w:tcW w:w="5882" w:type="dxa"/>
            <w:tcBorders>
              <w:top w:val="single" w:sz="2" w:space="0" w:color="auto"/>
              <w:left w:val="nil"/>
              <w:bottom w:val="single" w:sz="2" w:space="0" w:color="auto"/>
              <w:right w:val="nil"/>
            </w:tcBorders>
            <w:shd w:val="clear" w:color="auto" w:fill="auto"/>
            <w:noWrap/>
            <w:vAlign w:val="bottom"/>
            <w:hideMark/>
          </w:tcPr>
          <w:p w14:paraId="2C84A723" w14:textId="77777777" w:rsidR="00F87E58" w:rsidRPr="00C372CC" w:rsidRDefault="00F87E58" w:rsidP="00F87E58">
            <w:pPr>
              <w:pStyle w:val="cuatexto"/>
              <w:jc w:val="left"/>
            </w:pPr>
            <w:r>
              <w:t xml:space="preserve">Pronaocio SLU</w:t>
            </w:r>
          </w:p>
        </w:tc>
        <w:tc>
          <w:tcPr>
            <w:tcW w:w="2623" w:type="dxa"/>
            <w:tcBorders>
              <w:top w:val="single" w:sz="2" w:space="0" w:color="auto"/>
              <w:left w:val="nil"/>
              <w:bottom w:val="single" w:sz="2" w:space="0" w:color="auto"/>
              <w:right w:val="nil"/>
            </w:tcBorders>
            <w:shd w:val="clear" w:color="auto" w:fill="auto"/>
            <w:noWrap/>
            <w:vAlign w:val="bottom"/>
            <w:hideMark/>
          </w:tcPr>
          <w:p w14:paraId="780CAC53" w14:textId="77777777" w:rsidR="00F87E58" w:rsidRPr="00C372CC" w:rsidRDefault="00F87E58" w:rsidP="00F87E58">
            <w:pPr>
              <w:pStyle w:val="cuatexto"/>
              <w:jc w:val="right"/>
            </w:pPr>
            <w:r>
              <w:t xml:space="preserve">11,43</w:t>
            </w:r>
          </w:p>
        </w:tc>
      </w:tr>
      <w:tr w:rsidR="00C372CC" w:rsidRPr="00C372CC" w14:paraId="47694B3D" w14:textId="77777777" w:rsidTr="00F87E58">
        <w:trPr>
          <w:trHeight w:val="89"/>
          <w:jc w:val="center"/>
        </w:trPr>
        <w:tc>
          <w:tcPr>
            <w:tcW w:w="5882" w:type="dxa"/>
            <w:tcBorders>
              <w:top w:val="single" w:sz="2" w:space="0" w:color="auto"/>
              <w:left w:val="nil"/>
              <w:bottom w:val="single" w:sz="4" w:space="0" w:color="auto"/>
              <w:right w:val="nil"/>
            </w:tcBorders>
            <w:shd w:val="clear" w:color="auto" w:fill="auto"/>
            <w:noWrap/>
            <w:vAlign w:val="bottom"/>
            <w:hideMark/>
          </w:tcPr>
          <w:p w14:paraId="27E7B343" w14:textId="77777777" w:rsidR="00F87E58" w:rsidRPr="00C372CC" w:rsidRDefault="00FA7622" w:rsidP="00F87E58">
            <w:pPr>
              <w:pStyle w:val="cuatexto"/>
              <w:jc w:val="left"/>
            </w:pPr>
            <w:r>
              <w:t xml:space="preserve">La Información SA</w:t>
            </w:r>
          </w:p>
        </w:tc>
        <w:tc>
          <w:tcPr>
            <w:tcW w:w="2623" w:type="dxa"/>
            <w:tcBorders>
              <w:top w:val="single" w:sz="2" w:space="0" w:color="auto"/>
              <w:left w:val="nil"/>
              <w:bottom w:val="single" w:sz="4" w:space="0" w:color="auto"/>
              <w:right w:val="nil"/>
            </w:tcBorders>
            <w:shd w:val="clear" w:color="auto" w:fill="auto"/>
            <w:noWrap/>
            <w:vAlign w:val="bottom"/>
            <w:hideMark/>
          </w:tcPr>
          <w:p w14:paraId="7ED4DE83" w14:textId="77777777" w:rsidR="00F87E58" w:rsidRPr="00C372CC" w:rsidRDefault="00F87E58" w:rsidP="00F87E58">
            <w:pPr>
              <w:pStyle w:val="cuatexto"/>
              <w:jc w:val="right"/>
            </w:pPr>
            <w:r>
              <w:t xml:space="preserve">25,71</w:t>
            </w:r>
          </w:p>
        </w:tc>
      </w:tr>
      <w:tr w:rsidR="00F87E58" w:rsidRPr="00BB5B2C" w14:paraId="31A00DC9" w14:textId="77777777" w:rsidTr="008C3C03">
        <w:trPr>
          <w:trHeight w:val="255"/>
          <w:jc w:val="center"/>
        </w:trPr>
        <w:tc>
          <w:tcPr>
            <w:tcW w:w="5882" w:type="dxa"/>
            <w:tcBorders>
              <w:top w:val="single" w:sz="4" w:space="0" w:color="auto"/>
              <w:left w:val="nil"/>
              <w:bottom w:val="single" w:sz="4" w:space="0" w:color="auto"/>
              <w:right w:val="nil"/>
            </w:tcBorders>
            <w:shd w:val="clear" w:color="auto" w:fill="9CC2E5"/>
            <w:noWrap/>
            <w:vAlign w:val="center"/>
            <w:hideMark/>
          </w:tcPr>
          <w:p w14:paraId="2D78428C" w14:textId="77777777" w:rsidR="00F87E58" w:rsidRPr="00BB5B2C" w:rsidRDefault="00F87E58" w:rsidP="00F87E58">
            <w:pPr>
              <w:pStyle w:val="cuadroCabe"/>
              <w:jc w:val="left"/>
            </w:pPr>
            <w:r>
              <w:t xml:space="preserve">Guztira</w:t>
            </w:r>
          </w:p>
        </w:tc>
        <w:tc>
          <w:tcPr>
            <w:tcW w:w="2623" w:type="dxa"/>
            <w:tcBorders>
              <w:top w:val="single" w:sz="4" w:space="0" w:color="auto"/>
              <w:left w:val="nil"/>
              <w:bottom w:val="single" w:sz="4" w:space="0" w:color="auto"/>
              <w:right w:val="nil"/>
            </w:tcBorders>
            <w:shd w:val="clear" w:color="auto" w:fill="9CC2E5"/>
            <w:noWrap/>
            <w:vAlign w:val="center"/>
            <w:hideMark/>
          </w:tcPr>
          <w:p w14:paraId="799DB119" w14:textId="77777777" w:rsidR="00F87E58" w:rsidRPr="00BB5B2C" w:rsidRDefault="00F87E58" w:rsidP="00F87E58">
            <w:pPr>
              <w:pStyle w:val="cuadroCabe"/>
              <w:jc w:val="right"/>
            </w:pPr>
            <w:r>
              <w:t xml:space="preserve">100</w:t>
            </w:r>
          </w:p>
        </w:tc>
      </w:tr>
    </w:tbl>
    <w:p w14:paraId="643D9BA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rFonts w:cs="Arial"/>
        </w:rPr>
      </w:pPr>
    </w:p>
    <w:p w14:paraId="2A8A3CE0" w14:textId="77777777" w:rsidR="00F87E58" w:rsidRPr="005579B3"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rFonts w:cs="Arial"/>
        </w:rPr>
      </w:pPr>
      <w:r>
        <w:t xml:space="preserve">Eragiketa horrek aldatu egin du sozietate-jokalekua. Orain Nicdo da Parquenasako bazkide publikoa, eta Sodenak hala izateari utzi dio.</w:t>
      </w:r>
      <w:r>
        <w:t xml:space="preserve"> </w:t>
      </w:r>
      <w:r>
        <w:t xml:space="preserve">Bakarrik sozietatearen mailegu-emailea izaten jarraitzen du.</w:t>
      </w:r>
      <w:r>
        <w:t xml:space="preserve"> </w:t>
      </w:r>
      <w:r>
        <w:t xml:space="preserve">Emandako maileguak Sodenan ageri dira lehen bezala.</w:t>
      </w:r>
    </w:p>
    <w:p w14:paraId="144E2EFA"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2023ko otsailaren 2an, Parquenasa sozietateko akziodunen Batzar Orokor berezi eta unibertsalak Sodenaren uko egitea eta Nicdo administratzaile bakar berriaren izendapena onetsi zituen.</w:t>
      </w:r>
    </w:p>
    <w:p w14:paraId="166CD8E2"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t xml:space="preserve">2023an aldatu egin da finantzaketa publikoaren eredua: maileguen bitartez laguntza finantzarioa eman ordez, itzuli behar ez diren dirulaguntzen figuraren bitartez finantzatzen da sozietatea, eta dirulaguntza zuzenean ematen da.</w:t>
      </w:r>
      <w:r>
        <w:t xml:space="preserve"> </w:t>
      </w:r>
      <w:r>
        <w:t xml:space="preserve">Horretarako, Nafarroako aurrekontu orokorretan partida izendun bat onetsi da, bat etorriz Dirulaguntzei buruzko azaroaren 9ko 11/2005 Foru Legearen 17.2.a) artikuluarekin.</w:t>
      </w:r>
    </w:p>
    <w:p w14:paraId="68C90215" w14:textId="77777777" w:rsidR="00F87E58" w:rsidRDefault="00F87E58" w:rsidP="00F87E58">
      <w:pPr>
        <w:pStyle w:val="texto"/>
      </w:pPr>
      <w:r>
        <w:t xml:space="preserve">Hala bada, 2023rako Nafarroako Aurrekontu Orokorrei buruzko abenduaren 28ko 35/2022 Foru Legearen 59. artikuluan hau xedatzen da:</w:t>
      </w:r>
      <w:r>
        <w:t xml:space="preserve"> </w:t>
      </w:r>
    </w:p>
    <w:p w14:paraId="0261D160" w14:textId="77777777" w:rsidR="00F87E58" w:rsidRPr="00C43F77" w:rsidRDefault="00F87E58" w:rsidP="00F87E58">
      <w:pPr>
        <w:pStyle w:val="texto"/>
        <w:rPr>
          <w:i/>
        </w:rPr>
      </w:pPr>
      <w:r>
        <w:rPr>
          <w:i/>
        </w:rPr>
        <w:t xml:space="preserve">“Dirulaguntza Parquenasa – Sendavivari” izeneko A50001-A5400-4709-458300 partidaren bidez, Sendaviva Parkearen jarduera garatzeko beharrezkoak diren edozein motatako gastuak finantzatzen ahalko dira.</w:t>
      </w:r>
    </w:p>
    <w:p w14:paraId="7DA9F902" w14:textId="77777777" w:rsidR="00B40CE4" w:rsidRPr="00AA16A6" w:rsidRDefault="00F87E58" w:rsidP="00F87E58">
      <w:pPr>
        <w:pStyle w:val="texto"/>
      </w:pPr>
      <w:r>
        <w:t xml:space="preserve">Adierazten da 5,8 milioikoa dela partida horretan esleitutako zenbatekoa Kultura eta Kirol Departamentuaren aurrekontuan.</w:t>
      </w:r>
      <w:r>
        <w:t xml:space="preserve"> </w:t>
      </w:r>
      <w:r>
        <w:t xml:space="preserve">Txosten hau jada idatzita zegoela, Nafarroako Kirolaren Institutuko zuzendari kudeatzailearen abuztuaren 18ko 361E/2023 Ebazpenaren bidez, 5,8 milioiko gastua baimendu da.</w:t>
      </w:r>
      <w:r>
        <w:t xml:space="preserve"> </w:t>
      </w:r>
      <w:r>
        <w:t xml:space="preserve">Parquenasari dirulaguntza emateko oinarri arautzaileak ere onetsi dira, 2023an jardueraren gastuak finantzatze aldera.</w:t>
      </w:r>
      <w:r>
        <w:t xml:space="preserve"> </w:t>
      </w:r>
    </w:p>
    <w:p w14:paraId="7CC2B737" w14:textId="77777777" w:rsidR="00F87E58" w:rsidRDefault="00F87E58" w:rsidP="00F87E58">
      <w:pPr>
        <w:pStyle w:val="texto"/>
      </w:pPr>
      <w:r>
        <w:t xml:space="preserve">Finantzaketa ereduaren aldaketa dela-eta, nabarmendu behar dugu Nafarroako Gobernuko Kontu-hartzailetza Nagusia, 2020az geroztik, behin eta berriz agertu dela mailegu horiek laguntza publikotzat jotzearen alde, eta egokitzat jo duela kreditu bidezko finantzaketatik dirulaguntzetara pasatzea</w:t>
      </w:r>
      <w:r>
        <w:rPr>
          <w:rStyle w:val="Refdenotaalpie"/>
          <w:rFonts w:eastAsia="Calibri"/>
          <w:color w:val="000000"/>
          <w:szCs w:val="26"/>
        </w:rPr>
        <w:footnoteReference w:id="5"/>
      </w:r>
      <w:bookmarkEnd w:id="22"/>
      <w:r>
        <w:t xml:space="preserve">.</w:t>
      </w:r>
      <w:r>
        <w:t xml:space="preserve"> </w:t>
      </w:r>
    </w:p>
    <w:p w14:paraId="54FBA2B4" w14:textId="77777777" w:rsidR="00F87E58" w:rsidRPr="00566778" w:rsidRDefault="00F87E58" w:rsidP="00F87E58">
      <w:pPr>
        <w:pStyle w:val="atitulo3"/>
      </w:pPr>
      <w:r>
        <w:t xml:space="preserve">2.2.2. Sendaviva parkearen jardueraren datuak eta bilakaera</w:t>
      </w:r>
      <w:r>
        <w:rPr>
          <w:rStyle w:val="Refdenotaalpie"/>
          <w:rFonts w:eastAsia="Calibri"/>
          <w:color w:val="auto"/>
        </w:rPr>
        <w:footnoteReference w:id="6"/>
      </w:r>
    </w:p>
    <w:p w14:paraId="549DB89E" w14:textId="77777777" w:rsidR="00F87E58" w:rsidRDefault="00F87E58" w:rsidP="00F87E58">
      <w:pPr>
        <w:pStyle w:val="texto"/>
        <w:spacing w:after="240"/>
      </w:pPr>
      <w:r>
        <w:t xml:space="preserve">Beheko taulan eta grafikoan parkearen bilakaera agertzen da, jarduerari eta emaitza ekonomikoei buruzko datuen arabera:</w:t>
      </w:r>
    </w:p>
    <w:tbl>
      <w:tblPr>
        <w:tblW w:w="11057" w:type="dxa"/>
        <w:jc w:val="center"/>
        <w:tblLayout w:type="fixed"/>
        <w:tblCellMar>
          <w:left w:w="70" w:type="dxa"/>
          <w:right w:w="70" w:type="dxa"/>
        </w:tblCellMar>
        <w:tblLook w:val="04A0" w:firstRow="1" w:lastRow="0" w:firstColumn="1" w:lastColumn="0" w:noHBand="0" w:noVBand="1"/>
      </w:tblPr>
      <w:tblGrid>
        <w:gridCol w:w="851"/>
        <w:gridCol w:w="512"/>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4"/>
      </w:tblGrid>
      <w:tr w:rsidR="00F87E58" w:rsidRPr="00B86740" w14:paraId="320EA941" w14:textId="77777777" w:rsidTr="00027F0D">
        <w:trPr>
          <w:trHeight w:val="255"/>
          <w:jc w:val="center"/>
        </w:trPr>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14:paraId="41C06E73" w14:textId="77777777" w:rsidR="00F87E58" w:rsidRPr="004110E8" w:rsidRDefault="00F87E58" w:rsidP="00027F0D">
            <w:pPr>
              <w:pStyle w:val="cuadroCabe"/>
              <w:spacing w:line="240" w:lineRule="auto"/>
              <w:jc w:val="left"/>
              <w:rPr>
                <w:sz w:val="16"/>
                <w:szCs w:val="16"/>
              </w:rPr>
            </w:pPr>
          </w:p>
        </w:tc>
        <w:tc>
          <w:tcPr>
            <w:tcW w:w="512" w:type="dxa"/>
            <w:tcBorders>
              <w:top w:val="single" w:sz="4" w:space="0" w:color="auto"/>
              <w:left w:val="nil"/>
              <w:bottom w:val="single" w:sz="4" w:space="0" w:color="auto"/>
              <w:right w:val="nil"/>
            </w:tcBorders>
            <w:shd w:val="clear" w:color="auto" w:fill="8DB3E2" w:themeFill="text2" w:themeFillTint="66"/>
            <w:noWrap/>
            <w:vAlign w:val="center"/>
            <w:hideMark/>
          </w:tcPr>
          <w:p w14:paraId="0E59FE95" w14:textId="77777777" w:rsidR="00F87E58" w:rsidRPr="00B86740" w:rsidRDefault="00F87E58" w:rsidP="00027F0D">
            <w:pPr>
              <w:pStyle w:val="cuadroCabe"/>
              <w:spacing w:line="240" w:lineRule="auto"/>
              <w:ind w:left="-73"/>
              <w:jc w:val="right"/>
              <w:rPr>
                <w:sz w:val="12"/>
                <w:szCs w:val="12"/>
              </w:rPr>
            </w:pPr>
            <w:r>
              <w:rPr>
                <w:sz w:val="12"/>
              </w:rPr>
              <w:t xml:space="preserve">2003</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D885493" w14:textId="77777777" w:rsidR="00F87E58" w:rsidRPr="00B86740" w:rsidRDefault="00F87E58" w:rsidP="00027F0D">
            <w:pPr>
              <w:pStyle w:val="cuadroCabe"/>
              <w:spacing w:line="240" w:lineRule="auto"/>
              <w:ind w:left="-68"/>
              <w:jc w:val="right"/>
              <w:rPr>
                <w:sz w:val="12"/>
                <w:szCs w:val="12"/>
              </w:rPr>
            </w:pPr>
            <w:r>
              <w:rPr>
                <w:sz w:val="12"/>
              </w:rPr>
              <w:t xml:space="preserve">2004</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22158F4" w14:textId="77777777" w:rsidR="00F87E58" w:rsidRPr="00B86740" w:rsidRDefault="00F87E58" w:rsidP="00027F0D">
            <w:pPr>
              <w:pStyle w:val="cuadroCabe"/>
              <w:spacing w:line="240" w:lineRule="auto"/>
              <w:ind w:left="-73"/>
              <w:jc w:val="right"/>
              <w:rPr>
                <w:sz w:val="12"/>
                <w:szCs w:val="12"/>
              </w:rPr>
            </w:pPr>
            <w:r>
              <w:rPr>
                <w:sz w:val="12"/>
              </w:rPr>
              <w:t xml:space="preserve">2005</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345E6268" w14:textId="77777777" w:rsidR="00F87E58" w:rsidRPr="00B86740" w:rsidRDefault="00F87E58" w:rsidP="00027F0D">
            <w:pPr>
              <w:pStyle w:val="cuadroCabe"/>
              <w:spacing w:line="240" w:lineRule="auto"/>
              <w:ind w:left="-69"/>
              <w:jc w:val="right"/>
              <w:rPr>
                <w:sz w:val="12"/>
                <w:szCs w:val="12"/>
              </w:rPr>
            </w:pPr>
            <w:r>
              <w:rPr>
                <w:sz w:val="12"/>
              </w:rPr>
              <w:t xml:space="preserve">2006</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3F1FA7D" w14:textId="77777777" w:rsidR="00F87E58" w:rsidRPr="00B86740" w:rsidRDefault="00F87E58" w:rsidP="00027F0D">
            <w:pPr>
              <w:pStyle w:val="cuadroCabe"/>
              <w:spacing w:line="240" w:lineRule="auto"/>
              <w:ind w:left="-66"/>
              <w:jc w:val="right"/>
              <w:rPr>
                <w:sz w:val="12"/>
                <w:szCs w:val="12"/>
              </w:rPr>
            </w:pPr>
            <w:r>
              <w:rPr>
                <w:sz w:val="12"/>
              </w:rPr>
              <w:t xml:space="preserve">2007</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1523448F" w14:textId="77777777" w:rsidR="00F87E58" w:rsidRPr="00B86740" w:rsidRDefault="00F87E58" w:rsidP="00027F0D">
            <w:pPr>
              <w:pStyle w:val="cuadroCabe"/>
              <w:spacing w:line="240" w:lineRule="auto"/>
              <w:ind w:left="-72"/>
              <w:jc w:val="right"/>
              <w:rPr>
                <w:sz w:val="12"/>
                <w:szCs w:val="12"/>
              </w:rPr>
            </w:pPr>
            <w:r>
              <w:rPr>
                <w:sz w:val="12"/>
              </w:rPr>
              <w:t xml:space="preserve">2008</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509EFCE" w14:textId="77777777" w:rsidR="00F87E58" w:rsidRPr="00B86740" w:rsidRDefault="00F87E58" w:rsidP="00027F0D">
            <w:pPr>
              <w:pStyle w:val="cuadroCabe"/>
              <w:spacing w:line="240" w:lineRule="auto"/>
              <w:ind w:left="-73"/>
              <w:jc w:val="right"/>
              <w:rPr>
                <w:sz w:val="12"/>
                <w:szCs w:val="12"/>
              </w:rPr>
            </w:pPr>
            <w:r>
              <w:rPr>
                <w:sz w:val="12"/>
              </w:rPr>
              <w:t xml:space="preserve">2009</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9415ABF" w14:textId="77777777" w:rsidR="00F87E58" w:rsidRPr="00B86740" w:rsidRDefault="00F87E58" w:rsidP="00027F0D">
            <w:pPr>
              <w:pStyle w:val="cuadroCabe"/>
              <w:spacing w:line="240" w:lineRule="auto"/>
              <w:ind w:left="-70"/>
              <w:jc w:val="right"/>
              <w:rPr>
                <w:sz w:val="12"/>
                <w:szCs w:val="12"/>
              </w:rPr>
            </w:pPr>
            <w:r>
              <w:rPr>
                <w:sz w:val="12"/>
              </w:rPr>
              <w:t xml:space="preserve">2010</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B4331F9" w14:textId="77777777" w:rsidR="00F87E58" w:rsidRPr="00B86740" w:rsidRDefault="00F87E58" w:rsidP="00027F0D">
            <w:pPr>
              <w:pStyle w:val="cuadroCabe"/>
              <w:spacing w:line="240" w:lineRule="auto"/>
              <w:ind w:left="-70"/>
              <w:jc w:val="right"/>
              <w:rPr>
                <w:sz w:val="12"/>
                <w:szCs w:val="12"/>
              </w:rPr>
            </w:pPr>
            <w:r>
              <w:rPr>
                <w:sz w:val="12"/>
              </w:rPr>
              <w:t xml:space="preserve">2011</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BE0D61B" w14:textId="77777777" w:rsidR="00F87E58" w:rsidRPr="00B86740" w:rsidRDefault="00F87E58" w:rsidP="00027F0D">
            <w:pPr>
              <w:pStyle w:val="cuadroCabe"/>
              <w:spacing w:line="240" w:lineRule="auto"/>
              <w:ind w:left="-74"/>
              <w:jc w:val="right"/>
              <w:rPr>
                <w:sz w:val="12"/>
                <w:szCs w:val="12"/>
              </w:rPr>
            </w:pPr>
            <w:r>
              <w:rPr>
                <w:sz w:val="12"/>
              </w:rPr>
              <w:t xml:space="preserve">2012</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B828992" w14:textId="77777777" w:rsidR="00F87E58" w:rsidRPr="00B86740" w:rsidRDefault="00F87E58" w:rsidP="00027F0D">
            <w:pPr>
              <w:pStyle w:val="cuadroCabe"/>
              <w:spacing w:line="240" w:lineRule="auto"/>
              <w:ind w:left="-71"/>
              <w:jc w:val="right"/>
              <w:rPr>
                <w:sz w:val="12"/>
                <w:szCs w:val="12"/>
              </w:rPr>
            </w:pPr>
            <w:r>
              <w:rPr>
                <w:sz w:val="12"/>
              </w:rPr>
              <w:t xml:space="preserve">2013</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9E495FC" w14:textId="77777777" w:rsidR="00F87E58" w:rsidRPr="00B86740" w:rsidRDefault="00F87E58" w:rsidP="00027F0D">
            <w:pPr>
              <w:pStyle w:val="cuadroCabe"/>
              <w:spacing w:line="240" w:lineRule="auto"/>
              <w:ind w:left="-68"/>
              <w:jc w:val="right"/>
              <w:rPr>
                <w:sz w:val="12"/>
                <w:szCs w:val="12"/>
              </w:rPr>
            </w:pPr>
            <w:r>
              <w:rPr>
                <w:sz w:val="12"/>
              </w:rPr>
              <w:t xml:space="preserve">2014</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15AA669" w14:textId="77777777" w:rsidR="00F87E58" w:rsidRPr="00B86740" w:rsidRDefault="00F87E58" w:rsidP="00027F0D">
            <w:pPr>
              <w:pStyle w:val="cuadroCabe"/>
              <w:spacing w:line="240" w:lineRule="auto"/>
              <w:ind w:left="-68"/>
              <w:jc w:val="right"/>
              <w:rPr>
                <w:sz w:val="12"/>
                <w:szCs w:val="12"/>
              </w:rPr>
            </w:pPr>
            <w:r>
              <w:rPr>
                <w:sz w:val="12"/>
              </w:rPr>
              <w:t xml:space="preserve">2015</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DAED706" w14:textId="77777777" w:rsidR="00F87E58" w:rsidRPr="00B86740" w:rsidRDefault="00F87E58" w:rsidP="00027F0D">
            <w:pPr>
              <w:pStyle w:val="cuadroCabe"/>
              <w:spacing w:line="240" w:lineRule="auto"/>
              <w:ind w:left="-68"/>
              <w:jc w:val="right"/>
              <w:rPr>
                <w:sz w:val="12"/>
                <w:szCs w:val="12"/>
              </w:rPr>
            </w:pPr>
            <w:r>
              <w:rPr>
                <w:sz w:val="12"/>
              </w:rPr>
              <w:t xml:space="preserve">2016</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77BC298" w14:textId="77777777" w:rsidR="00F87E58" w:rsidRPr="00B86740" w:rsidRDefault="00F87E58" w:rsidP="00027F0D">
            <w:pPr>
              <w:pStyle w:val="cuadroCabe"/>
              <w:spacing w:line="240" w:lineRule="auto"/>
              <w:ind w:left="-68"/>
              <w:jc w:val="right"/>
              <w:rPr>
                <w:sz w:val="12"/>
                <w:szCs w:val="12"/>
              </w:rPr>
            </w:pPr>
            <w:r>
              <w:rPr>
                <w:sz w:val="12"/>
              </w:rPr>
              <w:t xml:space="preserve">2017</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51E50AA6" w14:textId="77777777" w:rsidR="00F87E58" w:rsidRPr="00B86740" w:rsidRDefault="00F87E58" w:rsidP="00027F0D">
            <w:pPr>
              <w:pStyle w:val="cuadroCabe"/>
              <w:spacing w:line="240" w:lineRule="auto"/>
              <w:ind w:left="-68"/>
              <w:jc w:val="right"/>
              <w:rPr>
                <w:sz w:val="12"/>
                <w:szCs w:val="12"/>
              </w:rPr>
            </w:pPr>
            <w:r>
              <w:rPr>
                <w:sz w:val="12"/>
              </w:rPr>
              <w:t xml:space="preserve">2018</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5AD65C71" w14:textId="77777777" w:rsidR="00F87E58" w:rsidRPr="00B86740" w:rsidRDefault="00F87E58" w:rsidP="00027F0D">
            <w:pPr>
              <w:pStyle w:val="cuadroCabe"/>
              <w:spacing w:line="240" w:lineRule="auto"/>
              <w:ind w:left="-68"/>
              <w:jc w:val="right"/>
              <w:rPr>
                <w:sz w:val="12"/>
                <w:szCs w:val="12"/>
              </w:rPr>
            </w:pPr>
            <w:r>
              <w:rPr>
                <w:sz w:val="12"/>
              </w:rPr>
              <w:t xml:space="preserve">2019</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CA54898" w14:textId="77777777" w:rsidR="00F87E58" w:rsidRPr="00B86740" w:rsidRDefault="00F87E58" w:rsidP="00027F0D">
            <w:pPr>
              <w:pStyle w:val="cuadroCabe"/>
              <w:spacing w:line="240" w:lineRule="auto"/>
              <w:ind w:left="-68"/>
              <w:jc w:val="right"/>
              <w:rPr>
                <w:sz w:val="12"/>
                <w:szCs w:val="12"/>
              </w:rPr>
            </w:pPr>
            <w:r>
              <w:rPr>
                <w:sz w:val="12"/>
              </w:rPr>
              <w:t xml:space="preserve">2020</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1BDEDE7D" w14:textId="77777777" w:rsidR="00F87E58" w:rsidRPr="00B86740" w:rsidRDefault="00F87E58" w:rsidP="00027F0D">
            <w:pPr>
              <w:pStyle w:val="cuadroCabe"/>
              <w:spacing w:line="240" w:lineRule="auto"/>
              <w:ind w:left="-68"/>
              <w:jc w:val="right"/>
              <w:rPr>
                <w:sz w:val="12"/>
                <w:szCs w:val="12"/>
              </w:rPr>
            </w:pPr>
            <w:r>
              <w:rPr>
                <w:sz w:val="12"/>
              </w:rPr>
              <w:t xml:space="preserve">2021</w:t>
            </w:r>
          </w:p>
        </w:tc>
        <w:tc>
          <w:tcPr>
            <w:tcW w:w="514" w:type="dxa"/>
            <w:tcBorders>
              <w:top w:val="single" w:sz="4" w:space="0" w:color="auto"/>
              <w:left w:val="nil"/>
              <w:bottom w:val="single" w:sz="4" w:space="0" w:color="auto"/>
              <w:right w:val="nil"/>
            </w:tcBorders>
            <w:shd w:val="clear" w:color="auto" w:fill="8DB3E2" w:themeFill="text2" w:themeFillTint="66"/>
            <w:noWrap/>
            <w:vAlign w:val="center"/>
            <w:hideMark/>
          </w:tcPr>
          <w:p w14:paraId="500A3135" w14:textId="77777777" w:rsidR="00F87E58" w:rsidRPr="00B86740" w:rsidRDefault="00F87E58" w:rsidP="00027F0D">
            <w:pPr>
              <w:pStyle w:val="cuadroCabe"/>
              <w:spacing w:line="240" w:lineRule="auto"/>
              <w:ind w:left="-68"/>
              <w:jc w:val="right"/>
              <w:rPr>
                <w:sz w:val="12"/>
                <w:szCs w:val="12"/>
              </w:rPr>
            </w:pPr>
            <w:r>
              <w:rPr>
                <w:sz w:val="12"/>
              </w:rPr>
              <w:t xml:space="preserve">2022</w:t>
            </w:r>
          </w:p>
        </w:tc>
      </w:tr>
      <w:tr w:rsidR="00F87E58" w:rsidRPr="006A60A5" w14:paraId="26D21325" w14:textId="77777777" w:rsidTr="00027F0D">
        <w:trPr>
          <w:trHeight w:val="198"/>
          <w:jc w:val="center"/>
        </w:trPr>
        <w:tc>
          <w:tcPr>
            <w:tcW w:w="851" w:type="dxa"/>
            <w:tcBorders>
              <w:top w:val="single" w:sz="4" w:space="0" w:color="auto"/>
              <w:left w:val="nil"/>
              <w:bottom w:val="single" w:sz="4" w:space="0" w:color="auto"/>
              <w:right w:val="nil"/>
            </w:tcBorders>
            <w:shd w:val="clear" w:color="auto" w:fill="auto"/>
            <w:noWrap/>
            <w:vAlign w:val="center"/>
            <w:hideMark/>
          </w:tcPr>
          <w:p w14:paraId="777FE4C6" w14:textId="77777777" w:rsidR="00F87E58" w:rsidRPr="004110E8" w:rsidRDefault="00F87E58" w:rsidP="00027F0D">
            <w:pPr>
              <w:pStyle w:val="cuatexto"/>
              <w:spacing w:line="240" w:lineRule="auto"/>
              <w:jc w:val="left"/>
              <w:rPr>
                <w:sz w:val="12"/>
                <w:szCs w:val="12"/>
              </w:rPr>
            </w:pPr>
            <w:r>
              <w:rPr>
                <w:sz w:val="12"/>
              </w:rPr>
              <w:t xml:space="preserve">Bisitari kop.</w:t>
            </w:r>
          </w:p>
        </w:tc>
        <w:tc>
          <w:tcPr>
            <w:tcW w:w="512" w:type="dxa"/>
            <w:tcBorders>
              <w:top w:val="single" w:sz="4" w:space="0" w:color="auto"/>
              <w:left w:val="nil"/>
              <w:bottom w:val="single" w:sz="4" w:space="0" w:color="auto"/>
              <w:right w:val="nil"/>
            </w:tcBorders>
            <w:shd w:val="clear" w:color="auto" w:fill="auto"/>
            <w:noWrap/>
            <w:vAlign w:val="center"/>
            <w:hideMark/>
          </w:tcPr>
          <w:p w14:paraId="007868AF" w14:textId="77777777" w:rsidR="00F87E58" w:rsidRPr="004110E8" w:rsidRDefault="00F87E58" w:rsidP="00027F0D">
            <w:pPr>
              <w:pStyle w:val="cuatexto"/>
              <w:spacing w:line="240" w:lineRule="auto"/>
              <w:jc w:val="right"/>
              <w:rPr>
                <w:sz w:val="12"/>
                <w:szCs w:val="12"/>
              </w:rPr>
            </w:pPr>
            <w:r>
              <w:rPr>
                <w:sz w:val="12"/>
              </w:rPr>
              <w:t xml:space="preserve">-</w:t>
            </w:r>
          </w:p>
        </w:tc>
        <w:tc>
          <w:tcPr>
            <w:tcW w:w="510" w:type="dxa"/>
            <w:tcBorders>
              <w:top w:val="single" w:sz="4" w:space="0" w:color="auto"/>
              <w:left w:val="nil"/>
              <w:bottom w:val="single" w:sz="4" w:space="0" w:color="auto"/>
              <w:right w:val="nil"/>
            </w:tcBorders>
            <w:shd w:val="clear" w:color="auto" w:fill="auto"/>
            <w:noWrap/>
            <w:vAlign w:val="center"/>
            <w:hideMark/>
          </w:tcPr>
          <w:p w14:paraId="2654B2A7" w14:textId="77777777" w:rsidR="00F87E58" w:rsidRPr="004110E8" w:rsidRDefault="00F87E58" w:rsidP="00027F0D">
            <w:pPr>
              <w:pStyle w:val="cuatexto"/>
              <w:spacing w:line="240" w:lineRule="auto"/>
              <w:ind w:left="-68"/>
              <w:jc w:val="right"/>
              <w:rPr>
                <w:sz w:val="12"/>
                <w:szCs w:val="12"/>
              </w:rPr>
            </w:pPr>
            <w:r>
              <w:rPr>
                <w:sz w:val="12"/>
              </w:rPr>
              <w:t xml:space="preserve">68.086</w:t>
            </w:r>
          </w:p>
        </w:tc>
        <w:tc>
          <w:tcPr>
            <w:tcW w:w="510" w:type="dxa"/>
            <w:tcBorders>
              <w:top w:val="single" w:sz="4" w:space="0" w:color="auto"/>
              <w:left w:val="nil"/>
              <w:bottom w:val="single" w:sz="4" w:space="0" w:color="auto"/>
              <w:right w:val="nil"/>
            </w:tcBorders>
            <w:shd w:val="clear" w:color="auto" w:fill="auto"/>
            <w:noWrap/>
            <w:vAlign w:val="center"/>
            <w:hideMark/>
          </w:tcPr>
          <w:p w14:paraId="1A568989" w14:textId="77777777" w:rsidR="00F87E58" w:rsidRPr="004110E8" w:rsidRDefault="00F87E58" w:rsidP="00027F0D">
            <w:pPr>
              <w:pStyle w:val="cuatexto"/>
              <w:spacing w:line="240" w:lineRule="auto"/>
              <w:ind w:left="-73"/>
              <w:jc w:val="right"/>
              <w:rPr>
                <w:sz w:val="12"/>
                <w:szCs w:val="12"/>
              </w:rPr>
            </w:pPr>
            <w:r>
              <w:rPr>
                <w:sz w:val="12"/>
              </w:rPr>
              <w:t xml:space="preserve">41.600</w:t>
            </w:r>
          </w:p>
        </w:tc>
        <w:tc>
          <w:tcPr>
            <w:tcW w:w="510" w:type="dxa"/>
            <w:tcBorders>
              <w:top w:val="single" w:sz="4" w:space="0" w:color="auto"/>
              <w:left w:val="nil"/>
              <w:bottom w:val="single" w:sz="4" w:space="0" w:color="auto"/>
              <w:right w:val="nil"/>
            </w:tcBorders>
            <w:shd w:val="clear" w:color="auto" w:fill="auto"/>
            <w:noWrap/>
            <w:vAlign w:val="center"/>
            <w:hideMark/>
          </w:tcPr>
          <w:p w14:paraId="04E71C16" w14:textId="77777777" w:rsidR="00F87E58" w:rsidRPr="004110E8" w:rsidRDefault="00F87E58" w:rsidP="00027F0D">
            <w:pPr>
              <w:pStyle w:val="cuatexto"/>
              <w:spacing w:line="240" w:lineRule="auto"/>
              <w:ind w:left="-69"/>
              <w:jc w:val="right"/>
              <w:rPr>
                <w:sz w:val="12"/>
                <w:szCs w:val="12"/>
              </w:rPr>
            </w:pPr>
            <w:r>
              <w:rPr>
                <w:sz w:val="12"/>
              </w:rPr>
              <w:t xml:space="preserve">112.426</w:t>
            </w:r>
          </w:p>
        </w:tc>
        <w:tc>
          <w:tcPr>
            <w:tcW w:w="510" w:type="dxa"/>
            <w:tcBorders>
              <w:top w:val="single" w:sz="4" w:space="0" w:color="auto"/>
              <w:left w:val="nil"/>
              <w:bottom w:val="single" w:sz="4" w:space="0" w:color="auto"/>
              <w:right w:val="nil"/>
            </w:tcBorders>
            <w:shd w:val="clear" w:color="auto" w:fill="auto"/>
            <w:noWrap/>
            <w:vAlign w:val="center"/>
            <w:hideMark/>
          </w:tcPr>
          <w:p w14:paraId="312D2284" w14:textId="77777777" w:rsidR="00F87E58" w:rsidRPr="004110E8" w:rsidRDefault="00F87E58" w:rsidP="00027F0D">
            <w:pPr>
              <w:pStyle w:val="cuatexto"/>
              <w:spacing w:line="240" w:lineRule="auto"/>
              <w:ind w:left="-66"/>
              <w:jc w:val="right"/>
              <w:rPr>
                <w:sz w:val="12"/>
                <w:szCs w:val="12"/>
              </w:rPr>
            </w:pPr>
            <w:r>
              <w:rPr>
                <w:sz w:val="12"/>
              </w:rPr>
              <w:t xml:space="preserve">165.848</w:t>
            </w:r>
          </w:p>
        </w:tc>
        <w:tc>
          <w:tcPr>
            <w:tcW w:w="510" w:type="dxa"/>
            <w:tcBorders>
              <w:top w:val="single" w:sz="4" w:space="0" w:color="auto"/>
              <w:left w:val="nil"/>
              <w:bottom w:val="single" w:sz="4" w:space="0" w:color="auto"/>
              <w:right w:val="nil"/>
            </w:tcBorders>
            <w:shd w:val="clear" w:color="auto" w:fill="auto"/>
            <w:noWrap/>
            <w:vAlign w:val="center"/>
            <w:hideMark/>
          </w:tcPr>
          <w:p w14:paraId="2B91EBB9" w14:textId="77777777" w:rsidR="00F87E58" w:rsidRPr="004110E8" w:rsidRDefault="00F87E58" w:rsidP="00027F0D">
            <w:pPr>
              <w:pStyle w:val="cuatexto"/>
              <w:spacing w:line="240" w:lineRule="auto"/>
              <w:ind w:left="-72"/>
              <w:jc w:val="right"/>
              <w:rPr>
                <w:sz w:val="12"/>
                <w:szCs w:val="12"/>
              </w:rPr>
            </w:pPr>
            <w:r>
              <w:rPr>
                <w:sz w:val="12"/>
              </w:rPr>
              <w:t xml:space="preserve">175.135</w:t>
            </w:r>
          </w:p>
        </w:tc>
        <w:tc>
          <w:tcPr>
            <w:tcW w:w="510" w:type="dxa"/>
            <w:tcBorders>
              <w:top w:val="single" w:sz="4" w:space="0" w:color="auto"/>
              <w:left w:val="nil"/>
              <w:bottom w:val="single" w:sz="4" w:space="0" w:color="auto"/>
              <w:right w:val="nil"/>
            </w:tcBorders>
            <w:shd w:val="clear" w:color="auto" w:fill="auto"/>
            <w:noWrap/>
            <w:vAlign w:val="center"/>
            <w:hideMark/>
          </w:tcPr>
          <w:p w14:paraId="180CD829" w14:textId="77777777" w:rsidR="00F87E58" w:rsidRPr="004110E8" w:rsidRDefault="00F87E58" w:rsidP="00027F0D">
            <w:pPr>
              <w:pStyle w:val="cuatexto"/>
              <w:spacing w:line="240" w:lineRule="auto"/>
              <w:ind w:left="-68"/>
              <w:jc w:val="right"/>
              <w:rPr>
                <w:sz w:val="12"/>
                <w:szCs w:val="12"/>
              </w:rPr>
            </w:pPr>
            <w:r>
              <w:rPr>
                <w:sz w:val="12"/>
              </w:rPr>
              <w:t xml:space="preserve">184.576</w:t>
            </w:r>
          </w:p>
        </w:tc>
        <w:tc>
          <w:tcPr>
            <w:tcW w:w="510" w:type="dxa"/>
            <w:tcBorders>
              <w:top w:val="single" w:sz="4" w:space="0" w:color="auto"/>
              <w:left w:val="nil"/>
              <w:bottom w:val="single" w:sz="4" w:space="0" w:color="auto"/>
              <w:right w:val="nil"/>
            </w:tcBorders>
            <w:shd w:val="clear" w:color="auto" w:fill="auto"/>
            <w:noWrap/>
            <w:vAlign w:val="center"/>
            <w:hideMark/>
          </w:tcPr>
          <w:p w14:paraId="3FCD64B7" w14:textId="77777777" w:rsidR="00F87E58" w:rsidRPr="004110E8" w:rsidRDefault="00F87E58" w:rsidP="00027F0D">
            <w:pPr>
              <w:pStyle w:val="cuatexto"/>
              <w:spacing w:line="240" w:lineRule="auto"/>
              <w:ind w:left="-70"/>
              <w:jc w:val="right"/>
              <w:rPr>
                <w:sz w:val="12"/>
                <w:szCs w:val="12"/>
              </w:rPr>
            </w:pPr>
            <w:r>
              <w:rPr>
                <w:sz w:val="12"/>
              </w:rPr>
              <w:t xml:space="preserve">179.029</w:t>
            </w:r>
          </w:p>
        </w:tc>
        <w:tc>
          <w:tcPr>
            <w:tcW w:w="510" w:type="dxa"/>
            <w:tcBorders>
              <w:top w:val="single" w:sz="4" w:space="0" w:color="auto"/>
              <w:left w:val="nil"/>
              <w:bottom w:val="single" w:sz="4" w:space="0" w:color="auto"/>
              <w:right w:val="nil"/>
            </w:tcBorders>
            <w:shd w:val="clear" w:color="auto" w:fill="auto"/>
            <w:noWrap/>
            <w:vAlign w:val="center"/>
            <w:hideMark/>
          </w:tcPr>
          <w:p w14:paraId="459D8B12" w14:textId="77777777" w:rsidR="00F87E58" w:rsidRPr="004110E8" w:rsidRDefault="00F87E58" w:rsidP="00027F0D">
            <w:pPr>
              <w:pStyle w:val="cuatexto"/>
              <w:spacing w:line="240" w:lineRule="auto"/>
              <w:ind w:left="-70"/>
              <w:jc w:val="right"/>
              <w:rPr>
                <w:sz w:val="12"/>
                <w:szCs w:val="12"/>
              </w:rPr>
            </w:pPr>
            <w:r>
              <w:rPr>
                <w:sz w:val="12"/>
              </w:rPr>
              <w:t xml:space="preserve">194.478</w:t>
            </w:r>
          </w:p>
        </w:tc>
        <w:tc>
          <w:tcPr>
            <w:tcW w:w="510" w:type="dxa"/>
            <w:tcBorders>
              <w:top w:val="single" w:sz="4" w:space="0" w:color="auto"/>
              <w:left w:val="nil"/>
              <w:bottom w:val="single" w:sz="4" w:space="0" w:color="auto"/>
              <w:right w:val="nil"/>
            </w:tcBorders>
            <w:shd w:val="clear" w:color="auto" w:fill="auto"/>
            <w:noWrap/>
            <w:vAlign w:val="center"/>
            <w:hideMark/>
          </w:tcPr>
          <w:p w14:paraId="47ED17BE" w14:textId="77777777" w:rsidR="00F87E58" w:rsidRPr="004110E8" w:rsidRDefault="00F87E58" w:rsidP="00027F0D">
            <w:pPr>
              <w:pStyle w:val="cuatexto"/>
              <w:spacing w:line="240" w:lineRule="auto"/>
              <w:ind w:left="-74"/>
              <w:jc w:val="right"/>
              <w:rPr>
                <w:sz w:val="12"/>
                <w:szCs w:val="12"/>
              </w:rPr>
            </w:pPr>
            <w:r>
              <w:rPr>
                <w:sz w:val="12"/>
              </w:rPr>
              <w:t xml:space="preserve">157.777</w:t>
            </w:r>
          </w:p>
        </w:tc>
        <w:tc>
          <w:tcPr>
            <w:tcW w:w="510" w:type="dxa"/>
            <w:tcBorders>
              <w:top w:val="single" w:sz="4" w:space="0" w:color="auto"/>
              <w:left w:val="nil"/>
              <w:bottom w:val="single" w:sz="4" w:space="0" w:color="auto"/>
              <w:right w:val="nil"/>
            </w:tcBorders>
            <w:shd w:val="clear" w:color="auto" w:fill="auto"/>
            <w:noWrap/>
            <w:vAlign w:val="center"/>
            <w:hideMark/>
          </w:tcPr>
          <w:p w14:paraId="6DB4A492" w14:textId="77777777" w:rsidR="00F87E58" w:rsidRPr="004110E8" w:rsidRDefault="00F87E58" w:rsidP="00027F0D">
            <w:pPr>
              <w:pStyle w:val="cuatexto"/>
              <w:spacing w:line="240" w:lineRule="auto"/>
              <w:ind w:left="-71"/>
              <w:jc w:val="right"/>
              <w:rPr>
                <w:sz w:val="12"/>
                <w:szCs w:val="12"/>
              </w:rPr>
            </w:pPr>
            <w:r>
              <w:rPr>
                <w:sz w:val="12"/>
              </w:rPr>
              <w:t xml:space="preserve">156.040</w:t>
            </w:r>
          </w:p>
        </w:tc>
        <w:tc>
          <w:tcPr>
            <w:tcW w:w="510" w:type="dxa"/>
            <w:tcBorders>
              <w:top w:val="single" w:sz="4" w:space="0" w:color="auto"/>
              <w:left w:val="nil"/>
              <w:bottom w:val="single" w:sz="4" w:space="0" w:color="auto"/>
              <w:right w:val="nil"/>
            </w:tcBorders>
            <w:shd w:val="clear" w:color="auto" w:fill="auto"/>
            <w:noWrap/>
            <w:vAlign w:val="center"/>
            <w:hideMark/>
          </w:tcPr>
          <w:p w14:paraId="461A58FE" w14:textId="77777777" w:rsidR="00F87E58" w:rsidRPr="004110E8" w:rsidRDefault="00F87E58" w:rsidP="00027F0D">
            <w:pPr>
              <w:pStyle w:val="cuatexto"/>
              <w:spacing w:line="240" w:lineRule="auto"/>
              <w:ind w:left="-68"/>
              <w:jc w:val="right"/>
              <w:rPr>
                <w:sz w:val="12"/>
                <w:szCs w:val="12"/>
              </w:rPr>
            </w:pPr>
            <w:r>
              <w:rPr>
                <w:sz w:val="12"/>
              </w:rPr>
              <w:t xml:space="preserve">187.035</w:t>
            </w:r>
          </w:p>
        </w:tc>
        <w:tc>
          <w:tcPr>
            <w:tcW w:w="510" w:type="dxa"/>
            <w:tcBorders>
              <w:top w:val="single" w:sz="4" w:space="0" w:color="auto"/>
              <w:left w:val="nil"/>
              <w:bottom w:val="single" w:sz="4" w:space="0" w:color="auto"/>
              <w:right w:val="nil"/>
            </w:tcBorders>
            <w:shd w:val="clear" w:color="auto" w:fill="auto"/>
            <w:noWrap/>
            <w:vAlign w:val="center"/>
            <w:hideMark/>
          </w:tcPr>
          <w:p w14:paraId="7BD4EE19" w14:textId="77777777" w:rsidR="00F87E58" w:rsidRPr="004110E8" w:rsidRDefault="00F87E58" w:rsidP="00027F0D">
            <w:pPr>
              <w:pStyle w:val="cuatexto"/>
              <w:spacing w:line="240" w:lineRule="auto"/>
              <w:ind w:left="-68"/>
              <w:jc w:val="right"/>
              <w:rPr>
                <w:sz w:val="12"/>
                <w:szCs w:val="12"/>
              </w:rPr>
            </w:pPr>
            <w:r>
              <w:rPr>
                <w:sz w:val="12"/>
              </w:rPr>
              <w:t xml:space="preserve">181.500</w:t>
            </w:r>
          </w:p>
        </w:tc>
        <w:tc>
          <w:tcPr>
            <w:tcW w:w="510" w:type="dxa"/>
            <w:tcBorders>
              <w:top w:val="single" w:sz="4" w:space="0" w:color="auto"/>
              <w:left w:val="nil"/>
              <w:bottom w:val="single" w:sz="4" w:space="0" w:color="auto"/>
              <w:right w:val="nil"/>
            </w:tcBorders>
            <w:shd w:val="clear" w:color="auto" w:fill="auto"/>
            <w:noWrap/>
            <w:vAlign w:val="center"/>
            <w:hideMark/>
          </w:tcPr>
          <w:p w14:paraId="32BF2F84" w14:textId="77777777" w:rsidR="00F87E58" w:rsidRPr="004110E8" w:rsidRDefault="00F87E58" w:rsidP="00027F0D">
            <w:pPr>
              <w:pStyle w:val="cuatexto"/>
              <w:spacing w:line="240" w:lineRule="auto"/>
              <w:ind w:left="-68"/>
              <w:jc w:val="right"/>
              <w:rPr>
                <w:sz w:val="12"/>
                <w:szCs w:val="12"/>
              </w:rPr>
            </w:pPr>
            <w:r>
              <w:rPr>
                <w:sz w:val="12"/>
              </w:rPr>
              <w:t xml:space="preserve">179.235</w:t>
            </w:r>
          </w:p>
        </w:tc>
        <w:tc>
          <w:tcPr>
            <w:tcW w:w="510" w:type="dxa"/>
            <w:tcBorders>
              <w:top w:val="single" w:sz="4" w:space="0" w:color="auto"/>
              <w:left w:val="nil"/>
              <w:bottom w:val="single" w:sz="4" w:space="0" w:color="auto"/>
              <w:right w:val="nil"/>
            </w:tcBorders>
            <w:shd w:val="clear" w:color="auto" w:fill="auto"/>
            <w:noWrap/>
            <w:vAlign w:val="center"/>
            <w:hideMark/>
          </w:tcPr>
          <w:p w14:paraId="6B8EAD4C" w14:textId="77777777" w:rsidR="00F87E58" w:rsidRPr="004110E8" w:rsidRDefault="00F87E58" w:rsidP="00027F0D">
            <w:pPr>
              <w:pStyle w:val="cuatexto"/>
              <w:spacing w:line="240" w:lineRule="auto"/>
              <w:ind w:left="-68"/>
              <w:jc w:val="right"/>
              <w:rPr>
                <w:sz w:val="12"/>
                <w:szCs w:val="12"/>
              </w:rPr>
            </w:pPr>
            <w:r>
              <w:rPr>
                <w:sz w:val="12"/>
              </w:rPr>
              <w:t xml:space="preserve">183.719</w:t>
            </w:r>
          </w:p>
        </w:tc>
        <w:tc>
          <w:tcPr>
            <w:tcW w:w="510" w:type="dxa"/>
            <w:tcBorders>
              <w:top w:val="single" w:sz="4" w:space="0" w:color="auto"/>
              <w:left w:val="nil"/>
              <w:bottom w:val="single" w:sz="4" w:space="0" w:color="auto"/>
              <w:right w:val="nil"/>
            </w:tcBorders>
            <w:shd w:val="clear" w:color="auto" w:fill="auto"/>
            <w:noWrap/>
            <w:vAlign w:val="center"/>
            <w:hideMark/>
          </w:tcPr>
          <w:p w14:paraId="5B9B2E59" w14:textId="77777777" w:rsidR="00F87E58" w:rsidRPr="004110E8" w:rsidRDefault="00F87E58" w:rsidP="00027F0D">
            <w:pPr>
              <w:pStyle w:val="cuatexto"/>
              <w:spacing w:line="240" w:lineRule="auto"/>
              <w:ind w:left="-68"/>
              <w:jc w:val="right"/>
              <w:rPr>
                <w:sz w:val="12"/>
                <w:szCs w:val="12"/>
              </w:rPr>
            </w:pPr>
            <w:r>
              <w:rPr>
                <w:sz w:val="12"/>
              </w:rPr>
              <w:t xml:space="preserve">196.566</w:t>
            </w:r>
          </w:p>
        </w:tc>
        <w:tc>
          <w:tcPr>
            <w:tcW w:w="510" w:type="dxa"/>
            <w:tcBorders>
              <w:top w:val="single" w:sz="4" w:space="0" w:color="auto"/>
              <w:left w:val="nil"/>
              <w:bottom w:val="single" w:sz="4" w:space="0" w:color="auto"/>
              <w:right w:val="nil"/>
            </w:tcBorders>
            <w:shd w:val="clear" w:color="auto" w:fill="auto"/>
            <w:noWrap/>
            <w:vAlign w:val="center"/>
            <w:hideMark/>
          </w:tcPr>
          <w:p w14:paraId="6B4E0257" w14:textId="77777777" w:rsidR="00F87E58" w:rsidRPr="004110E8" w:rsidRDefault="00F87E58" w:rsidP="00027F0D">
            <w:pPr>
              <w:pStyle w:val="cuatexto"/>
              <w:spacing w:line="240" w:lineRule="auto"/>
              <w:ind w:left="-68"/>
              <w:jc w:val="right"/>
              <w:rPr>
                <w:sz w:val="12"/>
                <w:szCs w:val="12"/>
              </w:rPr>
            </w:pPr>
            <w:r>
              <w:rPr>
                <w:sz w:val="12"/>
              </w:rPr>
              <w:t xml:space="preserve">174.008</w:t>
            </w:r>
          </w:p>
        </w:tc>
        <w:tc>
          <w:tcPr>
            <w:tcW w:w="510" w:type="dxa"/>
            <w:tcBorders>
              <w:top w:val="single" w:sz="4" w:space="0" w:color="auto"/>
              <w:left w:val="nil"/>
              <w:bottom w:val="single" w:sz="4" w:space="0" w:color="auto"/>
              <w:right w:val="nil"/>
            </w:tcBorders>
            <w:shd w:val="clear" w:color="auto" w:fill="auto"/>
            <w:noWrap/>
            <w:vAlign w:val="center"/>
            <w:hideMark/>
          </w:tcPr>
          <w:p w14:paraId="2ABCC708" w14:textId="77777777" w:rsidR="00F87E58" w:rsidRPr="004110E8" w:rsidRDefault="00F87E58" w:rsidP="00027F0D">
            <w:pPr>
              <w:pStyle w:val="cuatexto"/>
              <w:spacing w:line="240" w:lineRule="auto"/>
              <w:ind w:left="-68"/>
              <w:jc w:val="right"/>
              <w:rPr>
                <w:sz w:val="12"/>
                <w:szCs w:val="12"/>
              </w:rPr>
            </w:pPr>
            <w:r>
              <w:rPr>
                <w:sz w:val="12"/>
              </w:rPr>
              <w:t xml:space="preserve">66.731</w:t>
            </w:r>
          </w:p>
        </w:tc>
        <w:tc>
          <w:tcPr>
            <w:tcW w:w="510" w:type="dxa"/>
            <w:tcBorders>
              <w:top w:val="single" w:sz="4" w:space="0" w:color="auto"/>
              <w:left w:val="nil"/>
              <w:bottom w:val="single" w:sz="4" w:space="0" w:color="auto"/>
              <w:right w:val="nil"/>
            </w:tcBorders>
            <w:shd w:val="clear" w:color="auto" w:fill="auto"/>
            <w:noWrap/>
            <w:vAlign w:val="center"/>
            <w:hideMark/>
          </w:tcPr>
          <w:p w14:paraId="272C4876" w14:textId="77777777" w:rsidR="00F87E58" w:rsidRPr="004110E8" w:rsidRDefault="00F87E58" w:rsidP="00027F0D">
            <w:pPr>
              <w:pStyle w:val="cuatexto"/>
              <w:spacing w:line="240" w:lineRule="auto"/>
              <w:ind w:left="-68"/>
              <w:jc w:val="right"/>
              <w:rPr>
                <w:sz w:val="12"/>
                <w:szCs w:val="12"/>
              </w:rPr>
            </w:pPr>
            <w:r>
              <w:rPr>
                <w:sz w:val="12"/>
              </w:rPr>
              <w:t xml:space="preserve">194.806</w:t>
            </w:r>
          </w:p>
        </w:tc>
        <w:tc>
          <w:tcPr>
            <w:tcW w:w="514" w:type="dxa"/>
            <w:tcBorders>
              <w:top w:val="single" w:sz="4" w:space="0" w:color="auto"/>
              <w:left w:val="nil"/>
              <w:bottom w:val="single" w:sz="4" w:space="0" w:color="auto"/>
              <w:right w:val="nil"/>
            </w:tcBorders>
            <w:shd w:val="clear" w:color="auto" w:fill="auto"/>
            <w:noWrap/>
            <w:vAlign w:val="center"/>
            <w:hideMark/>
          </w:tcPr>
          <w:p w14:paraId="68E4A670" w14:textId="77777777" w:rsidR="00F87E58" w:rsidRPr="004110E8" w:rsidRDefault="00F87E58" w:rsidP="00027F0D">
            <w:pPr>
              <w:pStyle w:val="cuatexto"/>
              <w:spacing w:line="240" w:lineRule="auto"/>
              <w:ind w:left="-68"/>
              <w:jc w:val="right"/>
              <w:rPr>
                <w:sz w:val="12"/>
                <w:szCs w:val="12"/>
              </w:rPr>
            </w:pPr>
            <w:r>
              <w:rPr>
                <w:sz w:val="12"/>
              </w:rPr>
              <w:t xml:space="preserve">142.022</w:t>
            </w:r>
          </w:p>
        </w:tc>
      </w:tr>
      <w:tr w:rsidR="00F87E58" w:rsidRPr="006A60A5" w14:paraId="7D7D0545" w14:textId="77777777" w:rsidTr="00027F0D">
        <w:trPr>
          <w:trHeight w:val="20"/>
          <w:jc w:val="center"/>
        </w:trPr>
        <w:tc>
          <w:tcPr>
            <w:tcW w:w="851" w:type="dxa"/>
            <w:tcBorders>
              <w:top w:val="nil"/>
              <w:left w:val="nil"/>
              <w:bottom w:val="single" w:sz="4" w:space="0" w:color="auto"/>
              <w:right w:val="nil"/>
            </w:tcBorders>
            <w:shd w:val="clear" w:color="auto" w:fill="auto"/>
            <w:noWrap/>
            <w:vAlign w:val="bottom"/>
            <w:hideMark/>
          </w:tcPr>
          <w:p w14:paraId="643540F7" w14:textId="77777777" w:rsidR="00F87E58" w:rsidRPr="004110E8" w:rsidRDefault="00F87E58" w:rsidP="00027F0D">
            <w:pPr>
              <w:pStyle w:val="cuatexto"/>
              <w:spacing w:line="240" w:lineRule="auto"/>
              <w:jc w:val="left"/>
              <w:rPr>
                <w:sz w:val="12"/>
                <w:szCs w:val="12"/>
              </w:rPr>
            </w:pPr>
            <w:r>
              <w:rPr>
                <w:sz w:val="12"/>
              </w:rPr>
              <w:t xml:space="preserve">Emaitza*</w:t>
            </w:r>
            <w:r>
              <w:rPr>
                <w:sz w:val="12"/>
              </w:rPr>
              <w:t xml:space="preserve"> </w:t>
            </w:r>
          </w:p>
          <w:p w14:paraId="6A0A2B5B" w14:textId="77777777" w:rsidR="00F87E58" w:rsidRPr="004110E8" w:rsidRDefault="00F87E58" w:rsidP="00027F0D">
            <w:pPr>
              <w:pStyle w:val="cuatexto"/>
              <w:spacing w:line="240" w:lineRule="auto"/>
              <w:jc w:val="left"/>
              <w:rPr>
                <w:sz w:val="12"/>
                <w:szCs w:val="12"/>
              </w:rPr>
            </w:pPr>
            <w:r>
              <w:rPr>
                <w:sz w:val="12"/>
              </w:rPr>
              <w:t xml:space="preserve">ekitaldian</w:t>
            </w:r>
          </w:p>
        </w:tc>
        <w:tc>
          <w:tcPr>
            <w:tcW w:w="512" w:type="dxa"/>
            <w:tcBorders>
              <w:top w:val="nil"/>
              <w:left w:val="nil"/>
              <w:bottom w:val="single" w:sz="4" w:space="0" w:color="auto"/>
              <w:right w:val="nil"/>
            </w:tcBorders>
            <w:shd w:val="clear" w:color="auto" w:fill="auto"/>
            <w:noWrap/>
            <w:vAlign w:val="bottom"/>
            <w:hideMark/>
          </w:tcPr>
          <w:p w14:paraId="232E23EB" w14:textId="77777777" w:rsidR="00F87E58" w:rsidRPr="004110E8" w:rsidRDefault="00F87E58" w:rsidP="00027F0D">
            <w:pPr>
              <w:pStyle w:val="cuatexto"/>
              <w:spacing w:line="240" w:lineRule="auto"/>
              <w:jc w:val="right"/>
              <w:rPr>
                <w:sz w:val="12"/>
                <w:szCs w:val="12"/>
              </w:rPr>
            </w:pPr>
            <w:r>
              <w:rPr>
                <w:sz w:val="12"/>
              </w:rPr>
              <w:t xml:space="preserve">-0,44</w:t>
            </w:r>
          </w:p>
        </w:tc>
        <w:tc>
          <w:tcPr>
            <w:tcW w:w="510" w:type="dxa"/>
            <w:tcBorders>
              <w:top w:val="nil"/>
              <w:left w:val="nil"/>
              <w:bottom w:val="single" w:sz="4" w:space="0" w:color="auto"/>
              <w:right w:val="nil"/>
            </w:tcBorders>
            <w:shd w:val="clear" w:color="auto" w:fill="auto"/>
            <w:noWrap/>
            <w:vAlign w:val="bottom"/>
            <w:hideMark/>
          </w:tcPr>
          <w:p w14:paraId="3C24AA64" w14:textId="77777777" w:rsidR="00F87E58" w:rsidRPr="004110E8" w:rsidRDefault="00F87E58" w:rsidP="00027F0D">
            <w:pPr>
              <w:pStyle w:val="cuatexto"/>
              <w:spacing w:line="240" w:lineRule="auto"/>
              <w:ind w:left="-68"/>
              <w:jc w:val="right"/>
              <w:rPr>
                <w:sz w:val="12"/>
                <w:szCs w:val="12"/>
              </w:rPr>
            </w:pPr>
            <w:r>
              <w:rPr>
                <w:sz w:val="12"/>
              </w:rPr>
              <w:t xml:space="preserve">-2,58</w:t>
            </w:r>
          </w:p>
        </w:tc>
        <w:tc>
          <w:tcPr>
            <w:tcW w:w="510" w:type="dxa"/>
            <w:tcBorders>
              <w:top w:val="nil"/>
              <w:left w:val="nil"/>
              <w:bottom w:val="single" w:sz="4" w:space="0" w:color="auto"/>
              <w:right w:val="nil"/>
            </w:tcBorders>
            <w:shd w:val="clear" w:color="auto" w:fill="auto"/>
            <w:noWrap/>
            <w:vAlign w:val="bottom"/>
            <w:hideMark/>
          </w:tcPr>
          <w:p w14:paraId="65A984C2" w14:textId="77777777" w:rsidR="00F87E58" w:rsidRPr="004110E8" w:rsidRDefault="00F87E58" w:rsidP="00027F0D">
            <w:pPr>
              <w:pStyle w:val="cuatexto"/>
              <w:spacing w:line="240" w:lineRule="auto"/>
              <w:ind w:left="-73"/>
              <w:jc w:val="right"/>
              <w:rPr>
                <w:sz w:val="12"/>
                <w:szCs w:val="12"/>
              </w:rPr>
            </w:pPr>
            <w:r>
              <w:rPr>
                <w:sz w:val="12"/>
              </w:rPr>
              <w:t xml:space="preserve">-4,00</w:t>
            </w:r>
          </w:p>
        </w:tc>
        <w:tc>
          <w:tcPr>
            <w:tcW w:w="510" w:type="dxa"/>
            <w:tcBorders>
              <w:top w:val="nil"/>
              <w:left w:val="nil"/>
              <w:bottom w:val="single" w:sz="4" w:space="0" w:color="auto"/>
              <w:right w:val="nil"/>
            </w:tcBorders>
            <w:shd w:val="clear" w:color="auto" w:fill="auto"/>
            <w:noWrap/>
            <w:vAlign w:val="bottom"/>
            <w:hideMark/>
          </w:tcPr>
          <w:p w14:paraId="3356FCCA" w14:textId="77777777" w:rsidR="00F87E58" w:rsidRPr="004110E8" w:rsidRDefault="00F87E58" w:rsidP="00027F0D">
            <w:pPr>
              <w:pStyle w:val="cuatexto"/>
              <w:spacing w:line="240" w:lineRule="auto"/>
              <w:ind w:left="-69"/>
              <w:jc w:val="right"/>
              <w:rPr>
                <w:sz w:val="12"/>
                <w:szCs w:val="12"/>
              </w:rPr>
            </w:pPr>
            <w:r>
              <w:rPr>
                <w:sz w:val="12"/>
              </w:rPr>
              <w:t xml:space="preserve">-4,46</w:t>
            </w:r>
          </w:p>
        </w:tc>
        <w:tc>
          <w:tcPr>
            <w:tcW w:w="510" w:type="dxa"/>
            <w:tcBorders>
              <w:top w:val="nil"/>
              <w:left w:val="nil"/>
              <w:bottom w:val="single" w:sz="4" w:space="0" w:color="auto"/>
              <w:right w:val="nil"/>
            </w:tcBorders>
            <w:shd w:val="clear" w:color="auto" w:fill="auto"/>
            <w:noWrap/>
            <w:vAlign w:val="bottom"/>
            <w:hideMark/>
          </w:tcPr>
          <w:p w14:paraId="2B2CA3F5" w14:textId="77777777" w:rsidR="00F87E58" w:rsidRPr="004110E8" w:rsidRDefault="00F87E58" w:rsidP="00027F0D">
            <w:pPr>
              <w:pStyle w:val="cuatexto"/>
              <w:spacing w:line="240" w:lineRule="auto"/>
              <w:ind w:left="-66"/>
              <w:jc w:val="right"/>
              <w:rPr>
                <w:sz w:val="12"/>
                <w:szCs w:val="12"/>
              </w:rPr>
            </w:pPr>
            <w:r>
              <w:rPr>
                <w:sz w:val="12"/>
              </w:rPr>
              <w:t xml:space="preserve">-4,38</w:t>
            </w:r>
          </w:p>
        </w:tc>
        <w:tc>
          <w:tcPr>
            <w:tcW w:w="510" w:type="dxa"/>
            <w:tcBorders>
              <w:top w:val="nil"/>
              <w:left w:val="nil"/>
              <w:bottom w:val="single" w:sz="4" w:space="0" w:color="auto"/>
              <w:right w:val="nil"/>
            </w:tcBorders>
            <w:shd w:val="clear" w:color="auto" w:fill="auto"/>
            <w:noWrap/>
            <w:vAlign w:val="bottom"/>
            <w:hideMark/>
          </w:tcPr>
          <w:p w14:paraId="6A9AA7EC" w14:textId="77777777" w:rsidR="00F87E58" w:rsidRPr="004110E8" w:rsidRDefault="00F87E58" w:rsidP="00027F0D">
            <w:pPr>
              <w:pStyle w:val="cuatexto"/>
              <w:spacing w:line="240" w:lineRule="auto"/>
              <w:ind w:left="-72"/>
              <w:jc w:val="right"/>
              <w:rPr>
                <w:sz w:val="12"/>
                <w:szCs w:val="12"/>
              </w:rPr>
            </w:pPr>
            <w:r>
              <w:rPr>
                <w:sz w:val="12"/>
              </w:rPr>
              <w:t xml:space="preserve">-4,17</w:t>
            </w:r>
          </w:p>
        </w:tc>
        <w:tc>
          <w:tcPr>
            <w:tcW w:w="510" w:type="dxa"/>
            <w:tcBorders>
              <w:top w:val="nil"/>
              <w:left w:val="nil"/>
              <w:bottom w:val="single" w:sz="4" w:space="0" w:color="auto"/>
              <w:right w:val="nil"/>
            </w:tcBorders>
            <w:shd w:val="clear" w:color="auto" w:fill="auto"/>
            <w:noWrap/>
            <w:vAlign w:val="bottom"/>
            <w:hideMark/>
          </w:tcPr>
          <w:p w14:paraId="4A28F23C" w14:textId="77777777" w:rsidR="00F87E58" w:rsidRPr="004110E8" w:rsidRDefault="00F87E58" w:rsidP="00027F0D">
            <w:pPr>
              <w:pStyle w:val="cuatexto"/>
              <w:spacing w:line="240" w:lineRule="auto"/>
              <w:ind w:left="-68"/>
              <w:jc w:val="right"/>
              <w:rPr>
                <w:sz w:val="12"/>
                <w:szCs w:val="12"/>
              </w:rPr>
            </w:pPr>
            <w:r>
              <w:rPr>
                <w:sz w:val="12"/>
              </w:rPr>
              <w:t xml:space="preserve">-4,14</w:t>
            </w:r>
          </w:p>
        </w:tc>
        <w:tc>
          <w:tcPr>
            <w:tcW w:w="510" w:type="dxa"/>
            <w:tcBorders>
              <w:top w:val="nil"/>
              <w:left w:val="nil"/>
              <w:bottom w:val="single" w:sz="4" w:space="0" w:color="auto"/>
              <w:right w:val="nil"/>
            </w:tcBorders>
            <w:shd w:val="clear" w:color="auto" w:fill="auto"/>
            <w:noWrap/>
            <w:vAlign w:val="bottom"/>
            <w:hideMark/>
          </w:tcPr>
          <w:p w14:paraId="1FE1B80C" w14:textId="77777777" w:rsidR="00F87E58" w:rsidRPr="004110E8" w:rsidRDefault="00F87E58" w:rsidP="00027F0D">
            <w:pPr>
              <w:pStyle w:val="cuatexto"/>
              <w:spacing w:line="240" w:lineRule="auto"/>
              <w:ind w:left="-70"/>
              <w:jc w:val="right"/>
              <w:rPr>
                <w:sz w:val="12"/>
                <w:szCs w:val="12"/>
              </w:rPr>
            </w:pPr>
            <w:r>
              <w:rPr>
                <w:sz w:val="12"/>
              </w:rPr>
              <w:t xml:space="preserve">-4,30</w:t>
            </w:r>
          </w:p>
        </w:tc>
        <w:tc>
          <w:tcPr>
            <w:tcW w:w="510" w:type="dxa"/>
            <w:tcBorders>
              <w:top w:val="nil"/>
              <w:left w:val="nil"/>
              <w:bottom w:val="single" w:sz="4" w:space="0" w:color="auto"/>
              <w:right w:val="nil"/>
            </w:tcBorders>
            <w:shd w:val="clear" w:color="auto" w:fill="auto"/>
            <w:noWrap/>
            <w:vAlign w:val="bottom"/>
            <w:hideMark/>
          </w:tcPr>
          <w:p w14:paraId="315E6C71" w14:textId="77777777" w:rsidR="00F87E58" w:rsidRPr="004110E8" w:rsidRDefault="00F87E58" w:rsidP="00027F0D">
            <w:pPr>
              <w:pStyle w:val="cuatexto"/>
              <w:spacing w:line="240" w:lineRule="auto"/>
              <w:ind w:left="-70"/>
              <w:jc w:val="right"/>
              <w:rPr>
                <w:sz w:val="12"/>
                <w:szCs w:val="12"/>
              </w:rPr>
            </w:pPr>
            <w:r>
              <w:rPr>
                <w:sz w:val="12"/>
              </w:rPr>
              <w:t xml:space="preserve">-4,04</w:t>
            </w:r>
          </w:p>
        </w:tc>
        <w:tc>
          <w:tcPr>
            <w:tcW w:w="510" w:type="dxa"/>
            <w:tcBorders>
              <w:top w:val="nil"/>
              <w:left w:val="nil"/>
              <w:bottom w:val="single" w:sz="4" w:space="0" w:color="auto"/>
              <w:right w:val="nil"/>
            </w:tcBorders>
            <w:shd w:val="clear" w:color="auto" w:fill="auto"/>
            <w:noWrap/>
            <w:vAlign w:val="bottom"/>
            <w:hideMark/>
          </w:tcPr>
          <w:p w14:paraId="0E72FADA" w14:textId="77777777" w:rsidR="00F87E58" w:rsidRPr="004110E8" w:rsidRDefault="00F87E58" w:rsidP="00027F0D">
            <w:pPr>
              <w:pStyle w:val="cuatexto"/>
              <w:spacing w:line="240" w:lineRule="auto"/>
              <w:ind w:left="-74"/>
              <w:jc w:val="right"/>
              <w:rPr>
                <w:sz w:val="12"/>
                <w:szCs w:val="12"/>
              </w:rPr>
            </w:pPr>
            <w:r>
              <w:rPr>
                <w:sz w:val="12"/>
              </w:rPr>
              <w:t xml:space="preserve">-4,05</w:t>
            </w:r>
          </w:p>
        </w:tc>
        <w:tc>
          <w:tcPr>
            <w:tcW w:w="510" w:type="dxa"/>
            <w:tcBorders>
              <w:top w:val="nil"/>
              <w:left w:val="nil"/>
              <w:bottom w:val="single" w:sz="4" w:space="0" w:color="auto"/>
              <w:right w:val="nil"/>
            </w:tcBorders>
            <w:shd w:val="clear" w:color="auto" w:fill="auto"/>
            <w:noWrap/>
            <w:vAlign w:val="bottom"/>
            <w:hideMark/>
          </w:tcPr>
          <w:p w14:paraId="6C0E41D4" w14:textId="77777777" w:rsidR="00F87E58" w:rsidRPr="004110E8" w:rsidRDefault="00F87E58" w:rsidP="00027F0D">
            <w:pPr>
              <w:pStyle w:val="cuatexto"/>
              <w:spacing w:line="240" w:lineRule="auto"/>
              <w:ind w:left="-71"/>
              <w:jc w:val="right"/>
              <w:rPr>
                <w:sz w:val="12"/>
                <w:szCs w:val="12"/>
              </w:rPr>
            </w:pPr>
            <w:r>
              <w:rPr>
                <w:sz w:val="12"/>
              </w:rPr>
              <w:t xml:space="preserve">-3,80</w:t>
            </w:r>
          </w:p>
        </w:tc>
        <w:tc>
          <w:tcPr>
            <w:tcW w:w="510" w:type="dxa"/>
            <w:tcBorders>
              <w:top w:val="nil"/>
              <w:left w:val="nil"/>
              <w:bottom w:val="single" w:sz="4" w:space="0" w:color="auto"/>
              <w:right w:val="nil"/>
            </w:tcBorders>
            <w:shd w:val="clear" w:color="auto" w:fill="auto"/>
            <w:noWrap/>
            <w:vAlign w:val="bottom"/>
            <w:hideMark/>
          </w:tcPr>
          <w:p w14:paraId="7A004A8A" w14:textId="77777777" w:rsidR="00F87E58" w:rsidRPr="004110E8" w:rsidRDefault="00F87E58" w:rsidP="00027F0D">
            <w:pPr>
              <w:pStyle w:val="cuatexto"/>
              <w:spacing w:line="240" w:lineRule="auto"/>
              <w:ind w:left="-68"/>
              <w:jc w:val="right"/>
              <w:rPr>
                <w:sz w:val="12"/>
                <w:szCs w:val="12"/>
              </w:rPr>
            </w:pPr>
            <w:r>
              <w:rPr>
                <w:sz w:val="12"/>
              </w:rPr>
              <w:t xml:space="preserve">-2,86</w:t>
            </w:r>
          </w:p>
        </w:tc>
        <w:tc>
          <w:tcPr>
            <w:tcW w:w="510" w:type="dxa"/>
            <w:tcBorders>
              <w:top w:val="nil"/>
              <w:left w:val="nil"/>
              <w:bottom w:val="single" w:sz="4" w:space="0" w:color="auto"/>
              <w:right w:val="nil"/>
            </w:tcBorders>
            <w:shd w:val="clear" w:color="auto" w:fill="auto"/>
            <w:noWrap/>
            <w:vAlign w:val="bottom"/>
            <w:hideMark/>
          </w:tcPr>
          <w:p w14:paraId="783878F4" w14:textId="77777777" w:rsidR="00F87E58" w:rsidRPr="004110E8" w:rsidRDefault="00F87E58" w:rsidP="00027F0D">
            <w:pPr>
              <w:pStyle w:val="cuatexto"/>
              <w:spacing w:line="240" w:lineRule="auto"/>
              <w:ind w:left="-68"/>
              <w:jc w:val="right"/>
              <w:rPr>
                <w:sz w:val="12"/>
                <w:szCs w:val="12"/>
              </w:rPr>
            </w:pPr>
            <w:r>
              <w:rPr>
                <w:sz w:val="12"/>
              </w:rPr>
              <w:t xml:space="preserve">-2,93</w:t>
            </w:r>
          </w:p>
        </w:tc>
        <w:tc>
          <w:tcPr>
            <w:tcW w:w="510" w:type="dxa"/>
            <w:tcBorders>
              <w:top w:val="nil"/>
              <w:left w:val="nil"/>
              <w:bottom w:val="single" w:sz="4" w:space="0" w:color="auto"/>
              <w:right w:val="nil"/>
            </w:tcBorders>
            <w:shd w:val="clear" w:color="auto" w:fill="auto"/>
            <w:noWrap/>
            <w:vAlign w:val="bottom"/>
            <w:hideMark/>
          </w:tcPr>
          <w:p w14:paraId="29852D57" w14:textId="77777777" w:rsidR="00F87E58" w:rsidRPr="004110E8" w:rsidRDefault="00F87E58" w:rsidP="00027F0D">
            <w:pPr>
              <w:pStyle w:val="cuatexto"/>
              <w:spacing w:line="240" w:lineRule="auto"/>
              <w:ind w:left="-68"/>
              <w:jc w:val="right"/>
              <w:rPr>
                <w:sz w:val="12"/>
                <w:szCs w:val="12"/>
              </w:rPr>
            </w:pPr>
            <w:r>
              <w:rPr>
                <w:sz w:val="12"/>
              </w:rPr>
              <w:t xml:space="preserve">-2,50</w:t>
            </w:r>
          </w:p>
        </w:tc>
        <w:tc>
          <w:tcPr>
            <w:tcW w:w="510" w:type="dxa"/>
            <w:tcBorders>
              <w:top w:val="nil"/>
              <w:left w:val="nil"/>
              <w:bottom w:val="single" w:sz="4" w:space="0" w:color="auto"/>
              <w:right w:val="nil"/>
            </w:tcBorders>
            <w:shd w:val="clear" w:color="auto" w:fill="auto"/>
            <w:noWrap/>
            <w:vAlign w:val="bottom"/>
            <w:hideMark/>
          </w:tcPr>
          <w:p w14:paraId="75293074" w14:textId="77777777" w:rsidR="00F87E58" w:rsidRPr="004110E8" w:rsidRDefault="00F87E58" w:rsidP="00027F0D">
            <w:pPr>
              <w:pStyle w:val="cuatexto"/>
              <w:spacing w:line="240" w:lineRule="auto"/>
              <w:ind w:left="-68"/>
              <w:jc w:val="right"/>
              <w:rPr>
                <w:sz w:val="12"/>
                <w:szCs w:val="12"/>
              </w:rPr>
            </w:pPr>
            <w:r>
              <w:rPr>
                <w:sz w:val="12"/>
              </w:rPr>
              <w:t xml:space="preserve">-2,54</w:t>
            </w:r>
          </w:p>
        </w:tc>
        <w:tc>
          <w:tcPr>
            <w:tcW w:w="510" w:type="dxa"/>
            <w:tcBorders>
              <w:top w:val="nil"/>
              <w:left w:val="nil"/>
              <w:bottom w:val="single" w:sz="4" w:space="0" w:color="auto"/>
              <w:right w:val="nil"/>
            </w:tcBorders>
            <w:shd w:val="clear" w:color="auto" w:fill="auto"/>
            <w:noWrap/>
            <w:vAlign w:val="bottom"/>
            <w:hideMark/>
          </w:tcPr>
          <w:p w14:paraId="4834C7C7" w14:textId="77777777" w:rsidR="00F87E58" w:rsidRPr="004110E8" w:rsidRDefault="00F87E58" w:rsidP="00027F0D">
            <w:pPr>
              <w:pStyle w:val="cuatexto"/>
              <w:spacing w:line="240" w:lineRule="auto"/>
              <w:ind w:left="-68"/>
              <w:jc w:val="right"/>
              <w:rPr>
                <w:sz w:val="12"/>
                <w:szCs w:val="12"/>
              </w:rPr>
            </w:pPr>
            <w:r>
              <w:rPr>
                <w:sz w:val="12"/>
              </w:rPr>
              <w:t xml:space="preserve">-2,44</w:t>
            </w:r>
          </w:p>
        </w:tc>
        <w:tc>
          <w:tcPr>
            <w:tcW w:w="510" w:type="dxa"/>
            <w:tcBorders>
              <w:top w:val="nil"/>
              <w:left w:val="nil"/>
              <w:bottom w:val="single" w:sz="4" w:space="0" w:color="auto"/>
              <w:right w:val="nil"/>
            </w:tcBorders>
            <w:shd w:val="clear" w:color="auto" w:fill="auto"/>
            <w:noWrap/>
            <w:vAlign w:val="bottom"/>
            <w:hideMark/>
          </w:tcPr>
          <w:p w14:paraId="2BE0FE07" w14:textId="77777777" w:rsidR="00F87E58" w:rsidRPr="004110E8" w:rsidRDefault="00F87E58" w:rsidP="00027F0D">
            <w:pPr>
              <w:pStyle w:val="cuatexto"/>
              <w:spacing w:line="240" w:lineRule="auto"/>
              <w:ind w:left="-68"/>
              <w:jc w:val="right"/>
              <w:rPr>
                <w:sz w:val="12"/>
                <w:szCs w:val="12"/>
              </w:rPr>
            </w:pPr>
            <w:r>
              <w:rPr>
                <w:sz w:val="12"/>
              </w:rPr>
              <w:t xml:space="preserve">-2,69</w:t>
            </w:r>
          </w:p>
        </w:tc>
        <w:tc>
          <w:tcPr>
            <w:tcW w:w="510" w:type="dxa"/>
            <w:tcBorders>
              <w:top w:val="nil"/>
              <w:left w:val="nil"/>
              <w:bottom w:val="single" w:sz="4" w:space="0" w:color="auto"/>
              <w:right w:val="nil"/>
            </w:tcBorders>
            <w:shd w:val="clear" w:color="auto" w:fill="auto"/>
            <w:noWrap/>
            <w:vAlign w:val="bottom"/>
            <w:hideMark/>
          </w:tcPr>
          <w:p w14:paraId="717E191F" w14:textId="77777777" w:rsidR="00F87E58" w:rsidRPr="004110E8" w:rsidRDefault="00F87E58" w:rsidP="00027F0D">
            <w:pPr>
              <w:pStyle w:val="cuatexto"/>
              <w:spacing w:line="240" w:lineRule="auto"/>
              <w:ind w:left="-68"/>
              <w:jc w:val="right"/>
              <w:rPr>
                <w:sz w:val="12"/>
                <w:szCs w:val="12"/>
              </w:rPr>
            </w:pPr>
            <w:r>
              <w:rPr>
                <w:sz w:val="12"/>
              </w:rPr>
              <w:t xml:space="preserve">-3,34</w:t>
            </w:r>
          </w:p>
        </w:tc>
        <w:tc>
          <w:tcPr>
            <w:tcW w:w="510" w:type="dxa"/>
            <w:tcBorders>
              <w:top w:val="nil"/>
              <w:left w:val="nil"/>
              <w:bottom w:val="single" w:sz="4" w:space="0" w:color="auto"/>
              <w:right w:val="nil"/>
            </w:tcBorders>
            <w:shd w:val="clear" w:color="auto" w:fill="auto"/>
            <w:noWrap/>
            <w:vAlign w:val="bottom"/>
            <w:hideMark/>
          </w:tcPr>
          <w:p w14:paraId="0D96BE83" w14:textId="77777777" w:rsidR="00F87E58" w:rsidRPr="004110E8" w:rsidRDefault="00F87E58" w:rsidP="00027F0D">
            <w:pPr>
              <w:pStyle w:val="cuatexto"/>
              <w:spacing w:line="240" w:lineRule="auto"/>
              <w:ind w:left="-68"/>
              <w:jc w:val="right"/>
              <w:rPr>
                <w:sz w:val="12"/>
                <w:szCs w:val="12"/>
              </w:rPr>
            </w:pPr>
            <w:r>
              <w:rPr>
                <w:sz w:val="12"/>
              </w:rPr>
              <w:t xml:space="preserve">-2,00</w:t>
            </w:r>
          </w:p>
        </w:tc>
        <w:tc>
          <w:tcPr>
            <w:tcW w:w="514" w:type="dxa"/>
            <w:tcBorders>
              <w:top w:val="nil"/>
              <w:left w:val="nil"/>
              <w:bottom w:val="single" w:sz="4" w:space="0" w:color="auto"/>
              <w:right w:val="nil"/>
            </w:tcBorders>
            <w:shd w:val="clear" w:color="auto" w:fill="auto"/>
            <w:noWrap/>
            <w:vAlign w:val="bottom"/>
            <w:hideMark/>
          </w:tcPr>
          <w:p w14:paraId="6B1771FE" w14:textId="77777777" w:rsidR="00F87E58" w:rsidRPr="004110E8" w:rsidRDefault="00F87E58" w:rsidP="00027F0D">
            <w:pPr>
              <w:pStyle w:val="cuatexto"/>
              <w:spacing w:line="240" w:lineRule="auto"/>
              <w:ind w:left="-68"/>
              <w:jc w:val="right"/>
              <w:rPr>
                <w:sz w:val="12"/>
                <w:szCs w:val="12"/>
              </w:rPr>
            </w:pPr>
            <w:r>
              <w:rPr>
                <w:sz w:val="12"/>
              </w:rPr>
              <w:t xml:space="preserve">-2,21</w:t>
            </w:r>
          </w:p>
        </w:tc>
      </w:tr>
      <w:tr w:rsidR="00F87E58" w:rsidRPr="006A60A5" w14:paraId="7636E73E" w14:textId="77777777" w:rsidTr="00027F0D">
        <w:trPr>
          <w:trHeight w:val="198"/>
          <w:jc w:val="center"/>
        </w:trPr>
        <w:tc>
          <w:tcPr>
            <w:tcW w:w="851" w:type="dxa"/>
            <w:tcBorders>
              <w:top w:val="nil"/>
              <w:left w:val="nil"/>
              <w:bottom w:val="single" w:sz="4" w:space="0" w:color="auto"/>
              <w:right w:val="nil"/>
            </w:tcBorders>
            <w:shd w:val="clear" w:color="auto" w:fill="auto"/>
            <w:noWrap/>
            <w:vAlign w:val="center"/>
            <w:hideMark/>
          </w:tcPr>
          <w:p w14:paraId="40402CC4" w14:textId="77777777" w:rsidR="00F87E58" w:rsidRPr="004110E8" w:rsidRDefault="00F87E58" w:rsidP="00027F0D">
            <w:pPr>
              <w:pStyle w:val="cuatexto"/>
              <w:spacing w:line="240" w:lineRule="auto"/>
              <w:jc w:val="left"/>
              <w:rPr>
                <w:sz w:val="12"/>
                <w:szCs w:val="12"/>
              </w:rPr>
            </w:pPr>
            <w:r>
              <w:rPr>
                <w:sz w:val="12"/>
              </w:rPr>
              <w:t xml:space="preserve">Ebitda*</w:t>
            </w:r>
          </w:p>
        </w:tc>
        <w:tc>
          <w:tcPr>
            <w:tcW w:w="512" w:type="dxa"/>
            <w:tcBorders>
              <w:top w:val="nil"/>
              <w:left w:val="nil"/>
              <w:bottom w:val="single" w:sz="4" w:space="0" w:color="auto"/>
              <w:right w:val="nil"/>
            </w:tcBorders>
            <w:shd w:val="clear" w:color="auto" w:fill="auto"/>
            <w:noWrap/>
            <w:vAlign w:val="center"/>
            <w:hideMark/>
          </w:tcPr>
          <w:p w14:paraId="7902290D" w14:textId="77777777" w:rsidR="00F87E58" w:rsidRPr="004110E8" w:rsidRDefault="00F87E58" w:rsidP="00027F0D">
            <w:pPr>
              <w:pStyle w:val="cuatexto"/>
              <w:spacing w:line="240" w:lineRule="auto"/>
              <w:jc w:val="right"/>
              <w:rPr>
                <w:sz w:val="12"/>
                <w:szCs w:val="12"/>
              </w:rPr>
            </w:pPr>
            <w:r>
              <w:rPr>
                <w:sz w:val="12"/>
              </w:rPr>
              <w:t xml:space="preserve">-0,28</w:t>
            </w:r>
          </w:p>
        </w:tc>
        <w:tc>
          <w:tcPr>
            <w:tcW w:w="510" w:type="dxa"/>
            <w:tcBorders>
              <w:top w:val="nil"/>
              <w:left w:val="nil"/>
              <w:bottom w:val="single" w:sz="4" w:space="0" w:color="auto"/>
              <w:right w:val="nil"/>
            </w:tcBorders>
            <w:shd w:val="clear" w:color="auto" w:fill="auto"/>
            <w:noWrap/>
            <w:vAlign w:val="center"/>
            <w:hideMark/>
          </w:tcPr>
          <w:p w14:paraId="62EDCD5C" w14:textId="77777777" w:rsidR="00F87E58" w:rsidRPr="004110E8" w:rsidRDefault="00F87E58" w:rsidP="00027F0D">
            <w:pPr>
              <w:pStyle w:val="cuatexto"/>
              <w:spacing w:line="240" w:lineRule="auto"/>
              <w:ind w:left="-68"/>
              <w:jc w:val="right"/>
              <w:rPr>
                <w:sz w:val="12"/>
                <w:szCs w:val="12"/>
              </w:rPr>
            </w:pPr>
            <w:r>
              <w:rPr>
                <w:sz w:val="12"/>
              </w:rPr>
              <w:t xml:space="preserve">-1,42</w:t>
            </w:r>
          </w:p>
        </w:tc>
        <w:tc>
          <w:tcPr>
            <w:tcW w:w="510" w:type="dxa"/>
            <w:tcBorders>
              <w:top w:val="nil"/>
              <w:left w:val="nil"/>
              <w:bottom w:val="single" w:sz="4" w:space="0" w:color="auto"/>
              <w:right w:val="nil"/>
            </w:tcBorders>
            <w:shd w:val="clear" w:color="auto" w:fill="auto"/>
            <w:noWrap/>
            <w:vAlign w:val="center"/>
            <w:hideMark/>
          </w:tcPr>
          <w:p w14:paraId="57EC2327" w14:textId="77777777" w:rsidR="00F87E58" w:rsidRPr="004110E8" w:rsidRDefault="00F87E58" w:rsidP="00027F0D">
            <w:pPr>
              <w:pStyle w:val="cuatexto"/>
              <w:spacing w:line="240" w:lineRule="auto"/>
              <w:ind w:left="-73"/>
              <w:jc w:val="right"/>
              <w:rPr>
                <w:sz w:val="12"/>
                <w:szCs w:val="12"/>
              </w:rPr>
            </w:pPr>
            <w:r>
              <w:rPr>
                <w:sz w:val="12"/>
              </w:rPr>
              <w:t xml:space="preserve">-2,16</w:t>
            </w:r>
          </w:p>
        </w:tc>
        <w:tc>
          <w:tcPr>
            <w:tcW w:w="510" w:type="dxa"/>
            <w:tcBorders>
              <w:top w:val="nil"/>
              <w:left w:val="nil"/>
              <w:bottom w:val="single" w:sz="4" w:space="0" w:color="auto"/>
              <w:right w:val="nil"/>
            </w:tcBorders>
            <w:shd w:val="clear" w:color="auto" w:fill="auto"/>
            <w:noWrap/>
            <w:vAlign w:val="center"/>
            <w:hideMark/>
          </w:tcPr>
          <w:p w14:paraId="190D7C1E" w14:textId="77777777" w:rsidR="00F87E58" w:rsidRPr="004110E8" w:rsidRDefault="00F87E58" w:rsidP="00027F0D">
            <w:pPr>
              <w:pStyle w:val="cuatexto"/>
              <w:spacing w:line="240" w:lineRule="auto"/>
              <w:ind w:left="-69"/>
              <w:jc w:val="right"/>
              <w:rPr>
                <w:sz w:val="12"/>
                <w:szCs w:val="12"/>
              </w:rPr>
            </w:pPr>
            <w:r>
              <w:rPr>
                <w:sz w:val="12"/>
              </w:rPr>
              <w:t xml:space="preserve">-2,08</w:t>
            </w:r>
          </w:p>
        </w:tc>
        <w:tc>
          <w:tcPr>
            <w:tcW w:w="510" w:type="dxa"/>
            <w:tcBorders>
              <w:top w:val="nil"/>
              <w:left w:val="nil"/>
              <w:bottom w:val="single" w:sz="4" w:space="0" w:color="auto"/>
              <w:right w:val="nil"/>
            </w:tcBorders>
            <w:shd w:val="clear" w:color="auto" w:fill="auto"/>
            <w:noWrap/>
            <w:vAlign w:val="center"/>
            <w:hideMark/>
          </w:tcPr>
          <w:p w14:paraId="355F426C" w14:textId="77777777" w:rsidR="00F87E58" w:rsidRPr="004110E8" w:rsidRDefault="00F87E58" w:rsidP="00027F0D">
            <w:pPr>
              <w:pStyle w:val="cuatexto"/>
              <w:spacing w:line="240" w:lineRule="auto"/>
              <w:ind w:left="-66"/>
              <w:jc w:val="right"/>
              <w:rPr>
                <w:sz w:val="12"/>
                <w:szCs w:val="12"/>
              </w:rPr>
            </w:pPr>
            <w:r>
              <w:rPr>
                <w:sz w:val="12"/>
              </w:rPr>
              <w:t xml:space="preserve">-1,73</w:t>
            </w:r>
          </w:p>
        </w:tc>
        <w:tc>
          <w:tcPr>
            <w:tcW w:w="510" w:type="dxa"/>
            <w:tcBorders>
              <w:top w:val="nil"/>
              <w:left w:val="nil"/>
              <w:bottom w:val="single" w:sz="4" w:space="0" w:color="auto"/>
              <w:right w:val="nil"/>
            </w:tcBorders>
            <w:shd w:val="clear" w:color="auto" w:fill="auto"/>
            <w:noWrap/>
            <w:vAlign w:val="center"/>
            <w:hideMark/>
          </w:tcPr>
          <w:p w14:paraId="2283F391" w14:textId="77777777" w:rsidR="00F87E58" w:rsidRPr="004110E8" w:rsidRDefault="00F87E58" w:rsidP="00027F0D">
            <w:pPr>
              <w:pStyle w:val="cuatexto"/>
              <w:spacing w:line="240" w:lineRule="auto"/>
              <w:ind w:left="-72"/>
              <w:jc w:val="right"/>
              <w:rPr>
                <w:sz w:val="12"/>
                <w:szCs w:val="12"/>
              </w:rPr>
            </w:pPr>
            <w:r>
              <w:rPr>
                <w:sz w:val="12"/>
              </w:rPr>
              <w:t xml:space="preserve">-1,67</w:t>
            </w:r>
          </w:p>
        </w:tc>
        <w:tc>
          <w:tcPr>
            <w:tcW w:w="510" w:type="dxa"/>
            <w:tcBorders>
              <w:top w:val="nil"/>
              <w:left w:val="nil"/>
              <w:bottom w:val="single" w:sz="4" w:space="0" w:color="auto"/>
              <w:right w:val="nil"/>
            </w:tcBorders>
            <w:shd w:val="clear" w:color="auto" w:fill="auto"/>
            <w:noWrap/>
            <w:vAlign w:val="center"/>
            <w:hideMark/>
          </w:tcPr>
          <w:p w14:paraId="3B23BC58" w14:textId="77777777" w:rsidR="00F87E58" w:rsidRPr="004110E8" w:rsidRDefault="00F87E58" w:rsidP="00027F0D">
            <w:pPr>
              <w:pStyle w:val="cuatexto"/>
              <w:spacing w:line="240" w:lineRule="auto"/>
              <w:ind w:left="-68"/>
              <w:jc w:val="right"/>
              <w:rPr>
                <w:sz w:val="12"/>
                <w:szCs w:val="12"/>
              </w:rPr>
            </w:pPr>
            <w:r>
              <w:rPr>
                <w:sz w:val="12"/>
              </w:rPr>
              <w:t xml:space="preserve">-1,64</w:t>
            </w:r>
          </w:p>
        </w:tc>
        <w:tc>
          <w:tcPr>
            <w:tcW w:w="510" w:type="dxa"/>
            <w:tcBorders>
              <w:top w:val="nil"/>
              <w:left w:val="nil"/>
              <w:bottom w:val="single" w:sz="4" w:space="0" w:color="auto"/>
              <w:right w:val="nil"/>
            </w:tcBorders>
            <w:shd w:val="clear" w:color="auto" w:fill="auto"/>
            <w:noWrap/>
            <w:vAlign w:val="center"/>
            <w:hideMark/>
          </w:tcPr>
          <w:p w14:paraId="64FD5E6C" w14:textId="77777777" w:rsidR="00F87E58" w:rsidRPr="004110E8" w:rsidRDefault="00F87E58" w:rsidP="00027F0D">
            <w:pPr>
              <w:pStyle w:val="cuatexto"/>
              <w:spacing w:line="240" w:lineRule="auto"/>
              <w:ind w:left="-70"/>
              <w:jc w:val="right"/>
              <w:rPr>
                <w:sz w:val="12"/>
                <w:szCs w:val="12"/>
              </w:rPr>
            </w:pPr>
            <w:r>
              <w:rPr>
                <w:sz w:val="12"/>
              </w:rPr>
              <w:t xml:space="preserve">-1,78</w:t>
            </w:r>
          </w:p>
        </w:tc>
        <w:tc>
          <w:tcPr>
            <w:tcW w:w="510" w:type="dxa"/>
            <w:tcBorders>
              <w:top w:val="nil"/>
              <w:left w:val="nil"/>
              <w:bottom w:val="single" w:sz="4" w:space="0" w:color="auto"/>
              <w:right w:val="nil"/>
            </w:tcBorders>
            <w:shd w:val="clear" w:color="auto" w:fill="auto"/>
            <w:noWrap/>
            <w:vAlign w:val="center"/>
            <w:hideMark/>
          </w:tcPr>
          <w:p w14:paraId="671C48FF" w14:textId="77777777" w:rsidR="00F87E58" w:rsidRPr="004110E8" w:rsidRDefault="00F87E58" w:rsidP="00027F0D">
            <w:pPr>
              <w:pStyle w:val="cuatexto"/>
              <w:spacing w:line="240" w:lineRule="auto"/>
              <w:ind w:left="-70"/>
              <w:jc w:val="right"/>
              <w:rPr>
                <w:sz w:val="12"/>
                <w:szCs w:val="12"/>
              </w:rPr>
            </w:pPr>
            <w:r>
              <w:rPr>
                <w:sz w:val="12"/>
              </w:rPr>
              <w:t xml:space="preserve">-1,56</w:t>
            </w:r>
          </w:p>
        </w:tc>
        <w:tc>
          <w:tcPr>
            <w:tcW w:w="510" w:type="dxa"/>
            <w:tcBorders>
              <w:top w:val="nil"/>
              <w:left w:val="nil"/>
              <w:bottom w:val="single" w:sz="4" w:space="0" w:color="auto"/>
              <w:right w:val="nil"/>
            </w:tcBorders>
            <w:shd w:val="clear" w:color="auto" w:fill="auto"/>
            <w:noWrap/>
            <w:vAlign w:val="center"/>
            <w:hideMark/>
          </w:tcPr>
          <w:p w14:paraId="432950D4" w14:textId="77777777" w:rsidR="00F87E58" w:rsidRPr="004110E8" w:rsidRDefault="00F87E58" w:rsidP="00027F0D">
            <w:pPr>
              <w:pStyle w:val="cuatexto"/>
              <w:spacing w:line="240" w:lineRule="auto"/>
              <w:ind w:left="-74"/>
              <w:jc w:val="right"/>
              <w:rPr>
                <w:sz w:val="12"/>
                <w:szCs w:val="12"/>
              </w:rPr>
            </w:pPr>
            <w:r>
              <w:rPr>
                <w:sz w:val="12"/>
              </w:rPr>
              <w:t xml:space="preserve">-1,81</w:t>
            </w:r>
          </w:p>
        </w:tc>
        <w:tc>
          <w:tcPr>
            <w:tcW w:w="510" w:type="dxa"/>
            <w:tcBorders>
              <w:top w:val="nil"/>
              <w:left w:val="nil"/>
              <w:bottom w:val="single" w:sz="4" w:space="0" w:color="auto"/>
              <w:right w:val="nil"/>
            </w:tcBorders>
            <w:shd w:val="clear" w:color="auto" w:fill="auto"/>
            <w:noWrap/>
            <w:vAlign w:val="center"/>
            <w:hideMark/>
          </w:tcPr>
          <w:p w14:paraId="230EA7F7" w14:textId="77777777" w:rsidR="00F87E58" w:rsidRPr="004110E8" w:rsidRDefault="00F87E58" w:rsidP="00027F0D">
            <w:pPr>
              <w:pStyle w:val="cuatexto"/>
              <w:spacing w:line="240" w:lineRule="auto"/>
              <w:ind w:left="-71"/>
              <w:jc w:val="right"/>
              <w:rPr>
                <w:sz w:val="12"/>
                <w:szCs w:val="12"/>
              </w:rPr>
            </w:pPr>
            <w:r>
              <w:rPr>
                <w:sz w:val="12"/>
              </w:rPr>
              <w:t xml:space="preserve">-1,88</w:t>
            </w:r>
          </w:p>
        </w:tc>
        <w:tc>
          <w:tcPr>
            <w:tcW w:w="510" w:type="dxa"/>
            <w:tcBorders>
              <w:top w:val="nil"/>
              <w:left w:val="nil"/>
              <w:bottom w:val="single" w:sz="4" w:space="0" w:color="auto"/>
              <w:right w:val="nil"/>
            </w:tcBorders>
            <w:shd w:val="clear" w:color="auto" w:fill="auto"/>
            <w:noWrap/>
            <w:vAlign w:val="center"/>
            <w:hideMark/>
          </w:tcPr>
          <w:p w14:paraId="044E6522" w14:textId="77777777" w:rsidR="00F87E58" w:rsidRPr="004110E8" w:rsidRDefault="00F87E58" w:rsidP="00027F0D">
            <w:pPr>
              <w:pStyle w:val="cuatexto"/>
              <w:spacing w:line="240" w:lineRule="auto"/>
              <w:ind w:left="-68"/>
              <w:jc w:val="right"/>
              <w:rPr>
                <w:sz w:val="12"/>
                <w:szCs w:val="12"/>
              </w:rPr>
            </w:pPr>
            <w:r>
              <w:rPr>
                <w:sz w:val="12"/>
              </w:rPr>
              <w:t xml:space="preserve">-1,21</w:t>
            </w:r>
          </w:p>
        </w:tc>
        <w:tc>
          <w:tcPr>
            <w:tcW w:w="510" w:type="dxa"/>
            <w:tcBorders>
              <w:top w:val="nil"/>
              <w:left w:val="nil"/>
              <w:bottom w:val="single" w:sz="4" w:space="0" w:color="auto"/>
              <w:right w:val="nil"/>
            </w:tcBorders>
            <w:shd w:val="clear" w:color="auto" w:fill="auto"/>
            <w:noWrap/>
            <w:vAlign w:val="center"/>
            <w:hideMark/>
          </w:tcPr>
          <w:p w14:paraId="4E8A77E2" w14:textId="77777777" w:rsidR="00F87E58" w:rsidRPr="004110E8" w:rsidRDefault="00F87E58" w:rsidP="00027F0D">
            <w:pPr>
              <w:pStyle w:val="cuatexto"/>
              <w:spacing w:line="240" w:lineRule="auto"/>
              <w:ind w:left="-68"/>
              <w:jc w:val="right"/>
              <w:rPr>
                <w:sz w:val="12"/>
                <w:szCs w:val="12"/>
              </w:rPr>
            </w:pPr>
            <w:r>
              <w:rPr>
                <w:sz w:val="12"/>
              </w:rPr>
              <w:t xml:space="preserve">-1,28</w:t>
            </w:r>
          </w:p>
        </w:tc>
        <w:tc>
          <w:tcPr>
            <w:tcW w:w="510" w:type="dxa"/>
            <w:tcBorders>
              <w:top w:val="nil"/>
              <w:left w:val="nil"/>
              <w:bottom w:val="single" w:sz="4" w:space="0" w:color="auto"/>
              <w:right w:val="nil"/>
            </w:tcBorders>
            <w:shd w:val="clear" w:color="auto" w:fill="auto"/>
            <w:noWrap/>
            <w:vAlign w:val="center"/>
            <w:hideMark/>
          </w:tcPr>
          <w:p w14:paraId="3125EB39" w14:textId="77777777" w:rsidR="00F87E58" w:rsidRPr="004110E8" w:rsidRDefault="00F87E58" w:rsidP="00027F0D">
            <w:pPr>
              <w:pStyle w:val="cuatexto"/>
              <w:spacing w:line="240" w:lineRule="auto"/>
              <w:ind w:left="-68"/>
              <w:jc w:val="right"/>
              <w:rPr>
                <w:sz w:val="12"/>
                <w:szCs w:val="12"/>
              </w:rPr>
            </w:pPr>
            <w:r>
              <w:rPr>
                <w:sz w:val="12"/>
              </w:rPr>
              <w:t xml:space="preserve">-1,16</w:t>
            </w:r>
          </w:p>
        </w:tc>
        <w:tc>
          <w:tcPr>
            <w:tcW w:w="510" w:type="dxa"/>
            <w:tcBorders>
              <w:top w:val="nil"/>
              <w:left w:val="nil"/>
              <w:bottom w:val="single" w:sz="4" w:space="0" w:color="auto"/>
              <w:right w:val="nil"/>
            </w:tcBorders>
            <w:shd w:val="clear" w:color="auto" w:fill="auto"/>
            <w:noWrap/>
            <w:vAlign w:val="center"/>
            <w:hideMark/>
          </w:tcPr>
          <w:p w14:paraId="16BDC68C" w14:textId="77777777" w:rsidR="00F87E58" w:rsidRPr="004110E8" w:rsidRDefault="00F87E58" w:rsidP="00027F0D">
            <w:pPr>
              <w:pStyle w:val="cuatexto"/>
              <w:spacing w:line="240" w:lineRule="auto"/>
              <w:ind w:left="-68"/>
              <w:jc w:val="right"/>
              <w:rPr>
                <w:sz w:val="12"/>
                <w:szCs w:val="12"/>
              </w:rPr>
            </w:pPr>
            <w:r>
              <w:rPr>
                <w:sz w:val="12"/>
              </w:rPr>
              <w:t xml:space="preserve">-1,33</w:t>
            </w:r>
          </w:p>
        </w:tc>
        <w:tc>
          <w:tcPr>
            <w:tcW w:w="510" w:type="dxa"/>
            <w:tcBorders>
              <w:top w:val="nil"/>
              <w:left w:val="nil"/>
              <w:bottom w:val="single" w:sz="4" w:space="0" w:color="auto"/>
              <w:right w:val="nil"/>
            </w:tcBorders>
            <w:shd w:val="clear" w:color="auto" w:fill="auto"/>
            <w:noWrap/>
            <w:vAlign w:val="center"/>
            <w:hideMark/>
          </w:tcPr>
          <w:p w14:paraId="09769E5D" w14:textId="77777777" w:rsidR="00F87E58" w:rsidRPr="004110E8" w:rsidRDefault="00F87E58" w:rsidP="00027F0D">
            <w:pPr>
              <w:pStyle w:val="cuatexto"/>
              <w:spacing w:line="240" w:lineRule="auto"/>
              <w:ind w:left="-68"/>
              <w:jc w:val="right"/>
              <w:rPr>
                <w:sz w:val="12"/>
                <w:szCs w:val="12"/>
              </w:rPr>
            </w:pPr>
            <w:r>
              <w:rPr>
                <w:sz w:val="12"/>
              </w:rPr>
              <w:t xml:space="preserve">-1,23</w:t>
            </w:r>
          </w:p>
        </w:tc>
        <w:tc>
          <w:tcPr>
            <w:tcW w:w="510" w:type="dxa"/>
            <w:tcBorders>
              <w:top w:val="nil"/>
              <w:left w:val="nil"/>
              <w:bottom w:val="single" w:sz="4" w:space="0" w:color="auto"/>
              <w:right w:val="nil"/>
            </w:tcBorders>
            <w:shd w:val="clear" w:color="auto" w:fill="auto"/>
            <w:noWrap/>
            <w:vAlign w:val="center"/>
            <w:hideMark/>
          </w:tcPr>
          <w:p w14:paraId="26A5FD6D" w14:textId="77777777" w:rsidR="00F87E58" w:rsidRPr="004110E8" w:rsidRDefault="00F87E58" w:rsidP="00027F0D">
            <w:pPr>
              <w:pStyle w:val="cuatexto"/>
              <w:spacing w:line="240" w:lineRule="auto"/>
              <w:ind w:left="-68"/>
              <w:jc w:val="right"/>
              <w:rPr>
                <w:sz w:val="12"/>
                <w:szCs w:val="12"/>
              </w:rPr>
            </w:pPr>
            <w:r>
              <w:rPr>
                <w:sz w:val="12"/>
              </w:rPr>
              <w:t xml:space="preserve">-1,62</w:t>
            </w:r>
          </w:p>
        </w:tc>
        <w:tc>
          <w:tcPr>
            <w:tcW w:w="510" w:type="dxa"/>
            <w:tcBorders>
              <w:top w:val="nil"/>
              <w:left w:val="nil"/>
              <w:bottom w:val="single" w:sz="4" w:space="0" w:color="auto"/>
              <w:right w:val="nil"/>
            </w:tcBorders>
            <w:shd w:val="clear" w:color="auto" w:fill="auto"/>
            <w:noWrap/>
            <w:vAlign w:val="center"/>
            <w:hideMark/>
          </w:tcPr>
          <w:p w14:paraId="48F7F572" w14:textId="77777777" w:rsidR="00F87E58" w:rsidRPr="004110E8" w:rsidRDefault="00F87E58" w:rsidP="00027F0D">
            <w:pPr>
              <w:pStyle w:val="cuatexto"/>
              <w:spacing w:line="240" w:lineRule="auto"/>
              <w:ind w:left="-68"/>
              <w:jc w:val="right"/>
              <w:rPr>
                <w:sz w:val="12"/>
                <w:szCs w:val="12"/>
              </w:rPr>
            </w:pPr>
            <w:r>
              <w:rPr>
                <w:sz w:val="12"/>
              </w:rPr>
              <w:t xml:space="preserve">-2,30</w:t>
            </w:r>
          </w:p>
        </w:tc>
        <w:tc>
          <w:tcPr>
            <w:tcW w:w="510" w:type="dxa"/>
            <w:tcBorders>
              <w:top w:val="nil"/>
              <w:left w:val="nil"/>
              <w:bottom w:val="single" w:sz="4" w:space="0" w:color="auto"/>
              <w:right w:val="nil"/>
            </w:tcBorders>
            <w:shd w:val="clear" w:color="auto" w:fill="auto"/>
            <w:noWrap/>
            <w:vAlign w:val="center"/>
            <w:hideMark/>
          </w:tcPr>
          <w:p w14:paraId="6B8FEEC1" w14:textId="77777777" w:rsidR="00F87E58" w:rsidRPr="004110E8" w:rsidRDefault="00F87E58" w:rsidP="00027F0D">
            <w:pPr>
              <w:pStyle w:val="cuatexto"/>
              <w:spacing w:line="240" w:lineRule="auto"/>
              <w:ind w:left="-68"/>
              <w:jc w:val="right"/>
              <w:rPr>
                <w:sz w:val="12"/>
                <w:szCs w:val="12"/>
              </w:rPr>
            </w:pPr>
            <w:r>
              <w:rPr>
                <w:sz w:val="12"/>
              </w:rPr>
              <w:t xml:space="preserve">-0,98</w:t>
            </w:r>
          </w:p>
        </w:tc>
        <w:tc>
          <w:tcPr>
            <w:tcW w:w="514" w:type="dxa"/>
            <w:tcBorders>
              <w:top w:val="nil"/>
              <w:left w:val="nil"/>
              <w:bottom w:val="single" w:sz="4" w:space="0" w:color="auto"/>
              <w:right w:val="nil"/>
            </w:tcBorders>
            <w:shd w:val="clear" w:color="auto" w:fill="auto"/>
            <w:noWrap/>
            <w:vAlign w:val="center"/>
            <w:hideMark/>
          </w:tcPr>
          <w:p w14:paraId="0BC741E0" w14:textId="77777777" w:rsidR="00F87E58" w:rsidRPr="004110E8" w:rsidRDefault="00F87E58" w:rsidP="00027F0D">
            <w:pPr>
              <w:pStyle w:val="cuatexto"/>
              <w:spacing w:line="240" w:lineRule="auto"/>
              <w:ind w:left="-68"/>
              <w:jc w:val="right"/>
              <w:rPr>
                <w:sz w:val="12"/>
                <w:szCs w:val="12"/>
              </w:rPr>
            </w:pPr>
            <w:r>
              <w:rPr>
                <w:sz w:val="12"/>
              </w:rPr>
              <w:t xml:space="preserve">-1,25</w:t>
            </w:r>
          </w:p>
        </w:tc>
      </w:tr>
    </w:tbl>
    <w:p w14:paraId="3352308F" w14:textId="77777777" w:rsidR="00F87E58" w:rsidRPr="004110E8" w:rsidRDefault="00F87E58" w:rsidP="00027F0D">
      <w:pPr>
        <w:autoSpaceDE w:val="0"/>
        <w:autoSpaceDN w:val="0"/>
        <w:adjustRightInd w:val="0"/>
        <w:spacing w:before="60" w:after="180"/>
        <w:ind w:firstLine="278"/>
        <w:rPr>
          <w:color w:val="000000"/>
          <w:sz w:val="14"/>
          <w:szCs w:val="14"/>
        </w:rPr>
      </w:pPr>
      <w:r>
        <w:rPr>
          <w:color w:val="000000"/>
          <w:sz w:val="14"/>
        </w:rPr>
        <w:t xml:space="preserve">*Datuak milioitan</w:t>
      </w:r>
    </w:p>
    <w:p w14:paraId="731D9B50" w14:textId="77777777" w:rsidR="00F87E58" w:rsidRDefault="00F87E58" w:rsidP="00027F0D">
      <w:pPr>
        <w:autoSpaceDE w:val="0"/>
        <w:autoSpaceDN w:val="0"/>
        <w:adjustRightInd w:val="0"/>
        <w:spacing w:after="180"/>
        <w:ind w:firstLine="0"/>
        <w:rPr>
          <w:color w:val="000000"/>
          <w:sz w:val="26"/>
          <w:szCs w:val="26"/>
        </w:rPr>
      </w:pPr>
      <w:r>
        <w:drawing>
          <wp:inline distT="0" distB="0" distL="0" distR="0" wp14:anchorId="418896DD" wp14:editId="3010638B">
            <wp:extent cx="5439336" cy="1919455"/>
            <wp:effectExtent l="0" t="0" r="9525" b="508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DC4333" w14:textId="77777777" w:rsidR="00F87E58" w:rsidRDefault="00F87E58" w:rsidP="00027F0D">
      <w:pPr>
        <w:autoSpaceDE w:val="0"/>
        <w:autoSpaceDN w:val="0"/>
        <w:adjustRightInd w:val="0"/>
        <w:spacing w:after="180"/>
        <w:ind w:left="142" w:hanging="142"/>
        <w:jc w:val="center"/>
        <w:rPr>
          <w:color w:val="000000"/>
          <w:sz w:val="26"/>
          <w:szCs w:val="26"/>
        </w:rPr>
      </w:pPr>
      <w:r>
        <w:drawing>
          <wp:inline distT="0" distB="0" distL="0" distR="0" wp14:anchorId="7FC79B5E" wp14:editId="27A0571E">
            <wp:extent cx="5459506" cy="2229411"/>
            <wp:effectExtent l="0" t="0" r="8255" b="0"/>
            <wp:docPr id="10"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0ACE2D" w14:textId="77777777" w:rsidR="00F87E58" w:rsidRDefault="00F87E58" w:rsidP="00F87E58">
      <w:pPr>
        <w:pStyle w:val="texto"/>
        <w:spacing w:after="240"/>
      </w:pPr>
      <w:bookmarkStart w:id="26" w:name="_Toc19535163"/>
      <w:bookmarkStart w:id="27" w:name="_Toc188167192"/>
      <w:r>
        <w:t xml:space="preserve">2020ko urtarrilean bideragarritasun plan bat aurkeztu zen 2020-2022 aldirako, parkea ikuspuntu ekonomikotik bideragarria izan zedin, bere behar operatiboetarako Sodenaren laguntza finantzarioaren beharrik izan gabe, eta bere jardueraz bere burua finantzatzeko gai izan zedin.</w:t>
      </w:r>
      <w:r>
        <w:t xml:space="preserve"> </w:t>
      </w:r>
      <w:r>
        <w:t xml:space="preserve">Plan horrek hiru jokaleku aurreikusi zituen bisitari kopuruaren eta bisitari bakoitzeko diru-sarreren arabera, eta inbertsio berrietarako Sodenaren 3,8 milioiko finantzaketaren beharra zegoela ondorioztatu zuen. Inbertsio horiek ia osorik gauzatuta zeuden 2022aren amaieran, gehigarri honen 2.3.2 apartatuan zehazten den moduan.</w:t>
      </w:r>
    </w:p>
    <w:p w14:paraId="5B94553C" w14:textId="77777777" w:rsidR="00F87E58" w:rsidRDefault="00F87E58" w:rsidP="00F87E58">
      <w:pPr>
        <w:pStyle w:val="texto"/>
      </w:pPr>
      <w:r>
        <w:t xml:space="preserve">Bai COVID-19ak bai 2022ko ekaineko suteak (zeinak berriz ere Sodenaren laguntza finantzarioaren beharra sortu baitzuen, 1,5 milioikoa) atzera eragin dute plan estrategikoan aurreikusitako helburuak betetzeko prozesuan.</w:t>
      </w:r>
      <w:r>
        <w:t xml:space="preserve"> </w:t>
      </w:r>
      <w:r>
        <w:t xml:space="preserve">2020ko datuetan argi ikusten da pandemiaren eragina, eta 2021ean goranzko joera berreskuratu zen, 194.806 bisitari izan baitziren.</w:t>
      </w:r>
      <w:r>
        <w:t xml:space="preserve"> </w:t>
      </w:r>
      <w:r>
        <w:t xml:space="preserve">2022an, suteak bisitari kopurua 142.022ra jaistea eragin zuen.</w:t>
      </w:r>
    </w:p>
    <w:p w14:paraId="6496C42C" w14:textId="77777777" w:rsidR="00F87E58" w:rsidRDefault="00F87E58" w:rsidP="00F87E58">
      <w:pPr>
        <w:pStyle w:val="texto"/>
      </w:pPr>
      <w:r>
        <w:t xml:space="preserve">Edonola ere, Parquenasak urtero kudeaketa plan bat onesten duen arren, sozietateak etengabe behar du kanpoko finantzaketa, zeren eta, Sodenaren informazioan agertzen denez, urtean 228.000-240.000 bisitarien atalasera iritsi behar baita zeroko EBITDA lortzeko; kopuru horiek nabarmen handiagoak dira aztertutako aldiko bilakaeran ikusten diren bisitari kopuruak baino; hain zuzen ere azken urteetan 180.000 bisitariko batez besteko kopurua egonkortu da.</w:t>
      </w:r>
      <w:r>
        <w:t xml:space="preserve"> </w:t>
      </w:r>
    </w:p>
    <w:p w14:paraId="06F0C2F9" w14:textId="77777777" w:rsidR="00F87E58" w:rsidRDefault="00F87E58" w:rsidP="00E118C0">
      <w:pPr>
        <w:pStyle w:val="atitulo2"/>
        <w:spacing w:before="240"/>
      </w:pPr>
      <w:bookmarkStart w:id="28" w:name="_Toc146017574"/>
      <w:bookmarkStart w:id="29" w:name="_Toc149803652"/>
      <w:bookmarkEnd w:id="26"/>
      <w:r>
        <w:t xml:space="preserve">2.3. </w:t>
      </w:r>
      <w:bookmarkEnd w:id="27"/>
      <w:r>
        <w:t xml:space="preserve">Sodenak Parquenasari emandako laguntza finantzarioa</w:t>
      </w:r>
      <w:bookmarkEnd w:id="28"/>
      <w:bookmarkEnd w:id="29"/>
    </w:p>
    <w:p w14:paraId="5D748F04" w14:textId="77777777" w:rsidR="00F87E58" w:rsidRDefault="00F87E58" w:rsidP="00F87E58">
      <w:pPr>
        <w:pStyle w:val="texto"/>
      </w:pPr>
      <w:r>
        <w:t xml:space="preserve">Sodenak ekarpen finantzario hauek egin dizkio Parquenasari:</w:t>
      </w:r>
    </w:p>
    <w:p w14:paraId="5B9F6E02" w14:textId="77777777" w:rsidR="00F87E58" w:rsidRDefault="00F87E58" w:rsidP="00F87E58">
      <w:pPr>
        <w:pStyle w:val="atitulo3"/>
        <w:spacing w:before="240"/>
        <w:rPr>
          <w:sz w:val="26"/>
        </w:rPr>
      </w:pPr>
      <w:r>
        <w:t xml:space="preserve">2.3.1. Abalak</w:t>
      </w:r>
    </w:p>
    <w:p w14:paraId="0E4C2F9A" w14:textId="77777777" w:rsidR="00F87E58" w:rsidRPr="009A30A0"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bookmarkStart w:id="30" w:name="TMB1541081518"/>
      <w:bookmarkEnd w:id="30"/>
      <w:r>
        <w:t xml:space="preserve">2003an bi abal eman ziren bi finantza entitateren aurrean, 14 milioi euroko mugarekin, Parquenasak hartutako kreditu hauen berme gisa:</w:t>
      </w:r>
    </w:p>
    <w:p w14:paraId="1BCAD780" w14:textId="77777777" w:rsidR="00F87E58" w:rsidRPr="009A30A0" w:rsidRDefault="00F87E58" w:rsidP="00F87E58">
      <w:pPr>
        <w:pStyle w:val="Prrafodelista"/>
        <w:numPr>
          <w:ilvl w:val="0"/>
          <w:numId w:val="13"/>
        </w:numPr>
        <w:tabs>
          <w:tab w:val="left" w:pos="567"/>
        </w:tabs>
        <w:autoSpaceDE w:val="0"/>
        <w:autoSpaceDN w:val="0"/>
        <w:adjustRightInd w:val="0"/>
        <w:spacing w:after="140"/>
        <w:ind w:left="0" w:firstLine="284"/>
        <w:contextualSpacing w:val="0"/>
        <w:jc w:val="both"/>
        <w:rPr>
          <w:sz w:val="26"/>
          <w:szCs w:val="26"/>
        </w:rPr>
      </w:pPr>
      <w:r>
        <w:rPr>
          <w:sz w:val="26"/>
        </w:rPr>
        <w:t xml:space="preserve">10.500.000 euroko poliza Banco Vasconiarekin, 2003ko maiatzaren 15ekoa</w:t>
      </w:r>
      <w:r w:rsidRPr="009A30A0">
        <w:rPr>
          <w:rStyle w:val="Refdenotaalpie"/>
          <w:sz w:val="26"/>
          <w:szCs w:val="26"/>
        </w:rPr>
        <w:footnoteReference w:id="7"/>
      </w:r>
      <w:r>
        <w:rPr>
          <w:sz w:val="26"/>
        </w:rPr>
        <w:t xml:space="preserve">.</w:t>
      </w:r>
    </w:p>
    <w:p w14:paraId="4FBA17F3" w14:textId="77777777" w:rsidR="00F87E58" w:rsidRPr="006E2A89" w:rsidRDefault="00F87E58" w:rsidP="00F87E58">
      <w:pPr>
        <w:pStyle w:val="Prrafodelista"/>
        <w:numPr>
          <w:ilvl w:val="0"/>
          <w:numId w:val="13"/>
        </w:numPr>
        <w:tabs>
          <w:tab w:val="left" w:pos="567"/>
        </w:tabs>
        <w:autoSpaceDE w:val="0"/>
        <w:autoSpaceDN w:val="0"/>
        <w:adjustRightInd w:val="0"/>
        <w:spacing w:after="140"/>
        <w:ind w:left="0" w:firstLine="284"/>
        <w:contextualSpacing w:val="0"/>
        <w:jc w:val="both"/>
        <w:rPr>
          <w:sz w:val="26"/>
          <w:szCs w:val="26"/>
        </w:rPr>
      </w:pPr>
      <w:r>
        <w:t xml:space="preserve">3.500.000 euroko poliza Nafarroako Kutxarekin,</w:t>
      </w:r>
      <w:r>
        <w:rPr>
          <w:sz w:val="26"/>
        </w:rPr>
        <w:t xml:space="preserve"> 2003ko maiatzaren 15ekoa</w:t>
      </w:r>
      <w:r w:rsidRPr="006E2A89">
        <w:footnoteReference w:id="8"/>
      </w:r>
      <w:r>
        <w:rPr>
          <w:sz w:val="26"/>
        </w:rPr>
        <w:t xml:space="preserve">.</w:t>
      </w:r>
    </w:p>
    <w:p w14:paraId="3135A5F0" w14:textId="77777777" w:rsidR="00F87E58" w:rsidRPr="001E1A92" w:rsidRDefault="00F87E58" w:rsidP="00F87E58">
      <w:pPr>
        <w:pStyle w:val="texto"/>
      </w:pPr>
      <w:r>
        <w:t xml:space="preserve">Bi abal horiek jada deuseztatuta daude.</w:t>
      </w:r>
    </w:p>
    <w:p w14:paraId="722BA7CD" w14:textId="77777777" w:rsidR="00F87E58" w:rsidRPr="00AA16A6"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2010ean 180.000 euroko beste abal bat eman zen.</w:t>
      </w:r>
      <w:r>
        <w:t xml:space="preserve"> </w:t>
      </w:r>
      <w:r>
        <w:t xml:space="preserve">Abal horrek bidaia agentzia gisa jardutea ahalbidetzen dio Parquenasari.</w:t>
      </w:r>
      <w:r>
        <w:t xml:space="preserve"> </w:t>
      </w:r>
      <w:r>
        <w:t xml:space="preserve">Sodenaren urteko kontuetan 2022ko abenduaren 31n bizirik dirauen abal bakarra da.</w:t>
      </w:r>
      <w:r>
        <w:t xml:space="preserve"> </w:t>
      </w:r>
    </w:p>
    <w:p w14:paraId="0FD1457B" w14:textId="77777777" w:rsidR="00F87E58" w:rsidRPr="007E62F6" w:rsidRDefault="00F87E58" w:rsidP="00F87E58">
      <w:pPr>
        <w:pStyle w:val="atitulo3"/>
        <w:spacing w:before="240"/>
      </w:pPr>
      <w:r>
        <w:t xml:space="preserve">2.3.2. Maileguak</w:t>
      </w:r>
    </w:p>
    <w:p w14:paraId="6A6349A3" w14:textId="77777777" w:rsidR="00F87E58" w:rsidRPr="00AA16A6" w:rsidRDefault="00F87E58" w:rsidP="00F87E58">
      <w:pPr>
        <w:pStyle w:val="texto"/>
      </w:pPr>
      <w:r>
        <w:t xml:space="preserve">2005eko ekitalditik, Sodenak finantzatu ditu inbertsio guztiak, bankuekiko zorraren amortizazioa, dagozkion interesekin, eta ustiapen defizita.</w:t>
      </w:r>
      <w:r>
        <w:t xml:space="preserve"> </w:t>
      </w:r>
      <w:r>
        <w:t xml:space="preserve">Hori guztia Sodenak Parquenasari maileguak emanda gauzatu da.</w:t>
      </w:r>
      <w:r>
        <w:t xml:space="preserve"> </w:t>
      </w:r>
      <w:r>
        <w:t xml:space="preserve">Urtero erabakitzen da maileguen zein zati tratatu partaidetza-mailegu gisa.</w:t>
      </w:r>
    </w:p>
    <w:p w14:paraId="7E0CD6C4" w14:textId="77777777" w:rsidR="00F87E58" w:rsidRPr="00AA16A6" w:rsidRDefault="00F87E58" w:rsidP="00F87E58">
      <w:pPr>
        <w:pStyle w:val="texto"/>
      </w:pPr>
      <w:r>
        <w:t xml:space="preserve">Parquenasak emaitza negatiboak izan ditu sortu zenetik, eta funts propio negatiboak ditu bere jardueraren hirugarren ekitaldiaz geroztik.</w:t>
      </w:r>
      <w:r>
        <w:t xml:space="preserve"> </w:t>
      </w:r>
      <w:r>
        <w:t xml:space="preserve">Hala ere, indarra duen araudiari jarraikiz</w:t>
      </w:r>
      <w:r w:rsidRPr="00AA16A6">
        <w:rPr>
          <w:rStyle w:val="Refdenotaalpie"/>
          <w:rFonts w:eastAsia="Calibri"/>
          <w:szCs w:val="26"/>
        </w:rPr>
        <w:footnoteReference w:id="9"/>
      </w:r>
      <w:r>
        <w:t xml:space="preserve">, partaidetza-maileguak sozietatearen ondare garbiaren zatitzat jotzen dira merkataritza-legerian aurreikusten diren kapital-murrizketari eta sozietateen likidazioari dagokienez.</w:t>
      </w:r>
      <w:r>
        <w:t xml:space="preserve"> </w:t>
      </w:r>
      <w:r>
        <w:t xml:space="preserve">Beraz, sozietatea, formalki eta kontabilitate-ondorioetarako, ondare-egoera orekatuan dago, eta ez dago erorita nahitaez desegiteko legez aurreikusitako kasuetan</w:t>
      </w:r>
      <w:r w:rsidRPr="00AA16A6">
        <w:rPr>
          <w:rStyle w:val="Refdenotaalpie"/>
          <w:rFonts w:eastAsia="Calibri"/>
          <w:szCs w:val="26"/>
        </w:rPr>
        <w:footnoteReference w:id="10"/>
      </w:r>
      <w:r>
        <w:t xml:space="preserve">.</w:t>
      </w:r>
      <w:r>
        <w:t xml:space="preserve"> </w:t>
      </w:r>
    </w:p>
    <w:p w14:paraId="4D981444" w14:textId="77777777" w:rsidR="00F87E58" w:rsidRDefault="00F87E58" w:rsidP="00F87E58">
      <w:pPr>
        <w:pStyle w:val="texto"/>
      </w:pPr>
      <w:r>
        <w:t xml:space="preserve">Sodenarentzat, laguntza finantzario horren arrazoiaren oinarria da Sendaviva proiektuak eragin positiboa eta errentagarritasuna dituela ikuspuntu sozioekonomikotik.</w:t>
      </w:r>
      <w:r>
        <w:t xml:space="preserve"> </w:t>
      </w:r>
      <w:r>
        <w:t xml:space="preserve">2007tik, aldian behin eragin sozioekonomikoari buruzko azterlanak egiten dira</w:t>
      </w:r>
      <w:r>
        <w:rPr>
          <w:rStyle w:val="Refdenotaalpie"/>
          <w:rFonts w:eastAsia="Calibri"/>
          <w:szCs w:val="26"/>
        </w:rPr>
        <w:footnoteReference w:id="11"/>
      </w:r>
      <w:r>
        <w:t xml:space="preserve">, eta horien emaitzek erakusten dute Sendavivaren eragina handitzen joan dela, eta haren balio sozioekonomikoak, Sodenaren arabera, egindako inbertsioa justifikatzen duela.</w:t>
      </w:r>
      <w:r>
        <w:t xml:space="preserve"> </w:t>
      </w:r>
    </w:p>
    <w:p w14:paraId="5E4E404E" w14:textId="77777777" w:rsidR="00F87E58" w:rsidRPr="00B946F5" w:rsidRDefault="004663EF" w:rsidP="00F87E58">
      <w:pPr>
        <w:pStyle w:val="texto"/>
        <w:rPr>
          <w:szCs w:val="26"/>
        </w:rPr>
      </w:pPr>
      <w:r>
        <w:t xml:space="preserve">Azpiko taula horretan ageri dira Sodenak Parquenasari egindako ekarpen finantzarioak</w:t>
      </w:r>
    </w:p>
    <w:p w14:paraId="7B05D4BD" w14:textId="77777777" w:rsidR="00F87E58" w:rsidRDefault="00F87E58" w:rsidP="00F87E58">
      <w:pPr>
        <w:pStyle w:val="texto"/>
      </w:pPr>
    </w:p>
    <w:p w14:paraId="29BF3FC9" w14:textId="77777777" w:rsidR="00F87E58" w:rsidRDefault="00F87E58" w:rsidP="00F87E58">
      <w:pPr>
        <w:pStyle w:val="texto"/>
      </w:pPr>
    </w:p>
    <w:p w14:paraId="28FED5DE" w14:textId="77777777" w:rsidR="00F87E58" w:rsidRDefault="00F87E58" w:rsidP="00F87E58">
      <w:pPr>
        <w:pStyle w:val="texto"/>
        <w:sectPr w:rsidR="00F87E58" w:rsidSect="00F87E58">
          <w:headerReference w:type="even" r:id="rId15"/>
          <w:footerReference w:type="default" r:id="rId16"/>
          <w:type w:val="oddPage"/>
          <w:pgSz w:w="11907" w:h="16840" w:code="9"/>
          <w:pgMar w:top="2109" w:right="1559" w:bottom="1644" w:left="1985" w:header="369" w:footer="136" w:gutter="0"/>
          <w:pgNumType w:start="3"/>
          <w:cols w:space="720"/>
          <w:docGrid w:linePitch="360"/>
        </w:sectPr>
      </w:pPr>
    </w:p>
    <w:tbl>
      <w:tblPr>
        <w:tblW w:w="15505" w:type="dxa"/>
        <w:jc w:val="center"/>
        <w:tblCellMar>
          <w:left w:w="70" w:type="dxa"/>
          <w:right w:w="70" w:type="dxa"/>
        </w:tblCellMar>
        <w:tblLook w:val="04A0" w:firstRow="1" w:lastRow="0" w:firstColumn="1" w:lastColumn="0" w:noHBand="0" w:noVBand="1"/>
      </w:tblPr>
      <w:tblGrid>
        <w:gridCol w:w="548"/>
        <w:gridCol w:w="837"/>
        <w:gridCol w:w="976"/>
        <w:gridCol w:w="861"/>
        <w:gridCol w:w="1233"/>
        <w:gridCol w:w="1395"/>
        <w:gridCol w:w="976"/>
        <w:gridCol w:w="1257"/>
        <w:gridCol w:w="1982"/>
        <w:gridCol w:w="1395"/>
        <w:gridCol w:w="1395"/>
        <w:gridCol w:w="1255"/>
        <w:gridCol w:w="1395"/>
      </w:tblGrid>
      <w:tr w:rsidR="00F87E58" w:rsidRPr="002B636D" w14:paraId="1F081AF4" w14:textId="77777777" w:rsidTr="00321B53">
        <w:trPr>
          <w:trHeight w:val="252"/>
          <w:jc w:val="center"/>
        </w:trPr>
        <w:tc>
          <w:tcPr>
            <w:tcW w:w="548" w:type="dxa"/>
            <w:tcBorders>
              <w:top w:val="single" w:sz="4" w:space="0" w:color="auto"/>
              <w:bottom w:val="single" w:sz="4" w:space="0" w:color="auto"/>
            </w:tcBorders>
            <w:shd w:val="clear" w:color="000000" w:fill="BDD7EE"/>
            <w:noWrap/>
            <w:vAlign w:val="bottom"/>
            <w:hideMark/>
          </w:tcPr>
          <w:p w14:paraId="535F62F0" w14:textId="77777777" w:rsidR="00F87E58" w:rsidRPr="002B636D" w:rsidRDefault="00F87E58" w:rsidP="00F87E58">
            <w:pPr>
              <w:pStyle w:val="cuadroCabe"/>
              <w:jc w:val="left"/>
              <w:rPr>
                <w:sz w:val="12"/>
                <w:szCs w:val="12"/>
              </w:rPr>
            </w:pPr>
            <w:r>
              <w:rPr>
                <w:sz w:val="12"/>
              </w:rPr>
              <w:t xml:space="preserve"> </w:t>
            </w:r>
          </w:p>
        </w:tc>
        <w:tc>
          <w:tcPr>
            <w:tcW w:w="837" w:type="dxa"/>
            <w:tcBorders>
              <w:top w:val="single" w:sz="4" w:space="0" w:color="auto"/>
              <w:bottom w:val="single" w:sz="4" w:space="0" w:color="auto"/>
            </w:tcBorders>
            <w:shd w:val="clear" w:color="000000" w:fill="BDD7EE"/>
            <w:noWrap/>
            <w:vAlign w:val="bottom"/>
            <w:hideMark/>
          </w:tcPr>
          <w:p w14:paraId="0D63815C"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bottom w:val="single" w:sz="4" w:space="0" w:color="auto"/>
            </w:tcBorders>
            <w:shd w:val="clear" w:color="000000" w:fill="BDD7EE"/>
            <w:noWrap/>
            <w:vAlign w:val="center"/>
            <w:hideMark/>
          </w:tcPr>
          <w:p w14:paraId="3D6656AD" w14:textId="77777777" w:rsidR="00F87E58" w:rsidRPr="002B636D" w:rsidRDefault="00F87E58" w:rsidP="00F87E58">
            <w:pPr>
              <w:pStyle w:val="cuadroCabe"/>
              <w:jc w:val="right"/>
              <w:rPr>
                <w:sz w:val="12"/>
                <w:szCs w:val="12"/>
              </w:rPr>
            </w:pPr>
            <w:r>
              <w:rPr>
                <w:sz w:val="12"/>
              </w:rPr>
              <w:t xml:space="preserve"> </w:t>
            </w:r>
          </w:p>
        </w:tc>
        <w:tc>
          <w:tcPr>
            <w:tcW w:w="861" w:type="dxa"/>
            <w:tcBorders>
              <w:top w:val="single" w:sz="4" w:space="0" w:color="auto"/>
              <w:bottom w:val="single" w:sz="4" w:space="0" w:color="auto"/>
              <w:right w:val="single" w:sz="2" w:space="0" w:color="auto"/>
            </w:tcBorders>
            <w:shd w:val="clear" w:color="000000" w:fill="BDD7EE"/>
            <w:noWrap/>
            <w:vAlign w:val="bottom"/>
            <w:hideMark/>
          </w:tcPr>
          <w:p w14:paraId="1A1803CA" w14:textId="77777777" w:rsidR="00F87E58" w:rsidRPr="002B636D" w:rsidRDefault="00F87E58" w:rsidP="00F87E58">
            <w:pPr>
              <w:pStyle w:val="cuadroCabe"/>
              <w:jc w:val="right"/>
              <w:rPr>
                <w:sz w:val="12"/>
                <w:szCs w:val="12"/>
              </w:rPr>
            </w:pPr>
            <w:r>
              <w:rPr>
                <w:sz w:val="12"/>
              </w:rPr>
              <w:t xml:space="preserve"> </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2656272A"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5229345F"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1CB109C"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3648D9F5"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23DE6911" w14:textId="77777777" w:rsidR="00F87E58" w:rsidRPr="002B636D" w:rsidRDefault="00F87E58" w:rsidP="00F87E58">
            <w:pPr>
              <w:pStyle w:val="cuadroCabe"/>
              <w:ind w:left="-73"/>
              <w:jc w:val="right"/>
              <w:rPr>
                <w:b/>
                <w:bCs/>
                <w:sz w:val="12"/>
                <w:szCs w:val="12"/>
              </w:rPr>
            </w:pPr>
            <w:r>
              <w:rPr>
                <w:b/>
                <w:sz w:val="12"/>
              </w:rPr>
              <w:t xml:space="preserve">URTEAN ORDAINDUTAKOA, GUZTIRA</w:t>
            </w:r>
            <w:r>
              <w:rPr>
                <w:b/>
                <w:sz w:val="12"/>
              </w:rPr>
              <w:t xml:space="preserve">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26717B95"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tcBorders>
            <w:shd w:val="clear" w:color="000000" w:fill="BDD7EE"/>
            <w:noWrap/>
            <w:vAlign w:val="bottom"/>
            <w:hideMark/>
          </w:tcPr>
          <w:p w14:paraId="6A9EC4C4" w14:textId="77777777" w:rsidR="00F87E58" w:rsidRPr="002B636D" w:rsidRDefault="00F87E58" w:rsidP="00F87E58">
            <w:pPr>
              <w:pStyle w:val="cuadroCabe"/>
              <w:jc w:val="right"/>
              <w:rPr>
                <w:sz w:val="12"/>
                <w:szCs w:val="12"/>
              </w:rPr>
            </w:pPr>
            <w:r>
              <w:rPr>
                <w:sz w:val="12"/>
              </w:rPr>
              <w:t xml:space="preserve"> </w:t>
            </w:r>
          </w:p>
        </w:tc>
        <w:tc>
          <w:tcPr>
            <w:tcW w:w="1255" w:type="dxa"/>
            <w:tcBorders>
              <w:top w:val="single" w:sz="4" w:space="0" w:color="auto"/>
              <w:bottom w:val="single" w:sz="4" w:space="0" w:color="auto"/>
            </w:tcBorders>
            <w:shd w:val="clear" w:color="000000" w:fill="BDD7EE"/>
            <w:noWrap/>
            <w:vAlign w:val="bottom"/>
            <w:hideMark/>
          </w:tcPr>
          <w:p w14:paraId="67EF7189"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bottom w:val="single" w:sz="4" w:space="0" w:color="auto"/>
            </w:tcBorders>
            <w:shd w:val="clear" w:color="000000" w:fill="BDD7EE"/>
            <w:noWrap/>
            <w:vAlign w:val="bottom"/>
            <w:hideMark/>
          </w:tcPr>
          <w:p w14:paraId="67E388E8" w14:textId="77777777" w:rsidR="00F87E58" w:rsidRPr="002B636D" w:rsidRDefault="00F87E58" w:rsidP="00F87E58">
            <w:pPr>
              <w:pStyle w:val="cuadroCabe"/>
              <w:jc w:val="right"/>
              <w:rPr>
                <w:sz w:val="12"/>
                <w:szCs w:val="12"/>
              </w:rPr>
            </w:pPr>
            <w:r>
              <w:rPr>
                <w:sz w:val="12"/>
              </w:rPr>
              <w:t xml:space="preserve"> </w:t>
            </w:r>
          </w:p>
        </w:tc>
      </w:tr>
      <w:tr w:rsidR="00F87E58" w:rsidRPr="002B636D" w14:paraId="211543A0" w14:textId="77777777" w:rsidTr="00321B53">
        <w:trPr>
          <w:trHeight w:val="252"/>
          <w:jc w:val="center"/>
        </w:trPr>
        <w:tc>
          <w:tcPr>
            <w:tcW w:w="548" w:type="dxa"/>
            <w:tcBorders>
              <w:top w:val="single" w:sz="4" w:space="0" w:color="auto"/>
              <w:bottom w:val="single" w:sz="4" w:space="0" w:color="auto"/>
            </w:tcBorders>
            <w:shd w:val="clear" w:color="000000" w:fill="BDD7EE"/>
            <w:noWrap/>
            <w:vAlign w:val="bottom"/>
            <w:hideMark/>
          </w:tcPr>
          <w:p w14:paraId="14FEC0FC" w14:textId="77777777" w:rsidR="00F87E58" w:rsidRPr="002B636D" w:rsidRDefault="00F87E58" w:rsidP="00F87E58">
            <w:pPr>
              <w:pStyle w:val="cuadroCabe"/>
              <w:jc w:val="left"/>
              <w:rPr>
                <w:sz w:val="12"/>
                <w:szCs w:val="12"/>
              </w:rPr>
            </w:pPr>
            <w:r>
              <w:rPr>
                <w:sz w:val="12"/>
              </w:rPr>
              <w:t xml:space="preserve"> </w:t>
            </w:r>
          </w:p>
        </w:tc>
        <w:tc>
          <w:tcPr>
            <w:tcW w:w="837" w:type="dxa"/>
            <w:tcBorders>
              <w:top w:val="single" w:sz="4" w:space="0" w:color="auto"/>
              <w:bottom w:val="single" w:sz="4" w:space="0" w:color="auto"/>
            </w:tcBorders>
            <w:shd w:val="clear" w:color="000000" w:fill="BDD7EE"/>
            <w:noWrap/>
            <w:vAlign w:val="bottom"/>
            <w:hideMark/>
          </w:tcPr>
          <w:p w14:paraId="0C3E3BD2"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bottom w:val="single" w:sz="4" w:space="0" w:color="auto"/>
            </w:tcBorders>
            <w:shd w:val="clear" w:color="000000" w:fill="BDD7EE"/>
            <w:vAlign w:val="bottom"/>
            <w:hideMark/>
          </w:tcPr>
          <w:p w14:paraId="4A89AA93" w14:textId="77777777" w:rsidR="00F87E58" w:rsidRPr="002B636D" w:rsidRDefault="00F87E58" w:rsidP="00F87E58">
            <w:pPr>
              <w:pStyle w:val="cuadroCabe"/>
              <w:jc w:val="right"/>
              <w:rPr>
                <w:sz w:val="12"/>
                <w:szCs w:val="12"/>
              </w:rPr>
            </w:pPr>
            <w:r>
              <w:rPr>
                <w:sz w:val="12"/>
              </w:rPr>
              <w:t xml:space="preserve"> </w:t>
            </w:r>
          </w:p>
        </w:tc>
        <w:tc>
          <w:tcPr>
            <w:tcW w:w="861" w:type="dxa"/>
            <w:tcBorders>
              <w:top w:val="single" w:sz="4" w:space="0" w:color="auto"/>
              <w:bottom w:val="single" w:sz="4" w:space="0" w:color="auto"/>
              <w:right w:val="single" w:sz="2" w:space="0" w:color="auto"/>
            </w:tcBorders>
            <w:shd w:val="clear" w:color="000000" w:fill="BDD7EE"/>
            <w:vAlign w:val="bottom"/>
            <w:hideMark/>
          </w:tcPr>
          <w:p w14:paraId="1E61A797" w14:textId="77777777" w:rsidR="00F87E58" w:rsidRPr="002B636D" w:rsidRDefault="00F87E58" w:rsidP="00F87E58">
            <w:pPr>
              <w:pStyle w:val="cuadroCabe"/>
              <w:jc w:val="right"/>
              <w:rPr>
                <w:sz w:val="12"/>
                <w:szCs w:val="12"/>
              </w:rPr>
            </w:pPr>
            <w:r>
              <w:rPr>
                <w:sz w:val="12"/>
              </w:rPr>
              <w:t xml:space="preserve"> </w:t>
            </w:r>
          </w:p>
        </w:tc>
        <w:tc>
          <w:tcPr>
            <w:tcW w:w="1233"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23670BB2"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43387C36"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69020792"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0DE951B8"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4AF0C5FA" w14:textId="77777777" w:rsidR="00F87E58" w:rsidRPr="002B636D" w:rsidRDefault="00F87E58" w:rsidP="00F87E58">
            <w:pPr>
              <w:pStyle w:val="cuadroCabe"/>
              <w:jc w:val="right"/>
              <w:rPr>
                <w:b/>
                <w:bCs/>
                <w:sz w:val="12"/>
                <w:szCs w:val="12"/>
              </w:rPr>
            </w:pPr>
            <w:r>
              <w:rPr>
                <w:b/>
                <w:sz w:val="12"/>
              </w:rPr>
              <w:t xml:space="preserve">PARTAIDETZA</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11E7E243" w14:textId="77777777" w:rsidR="00F87E58" w:rsidRPr="002B636D" w:rsidRDefault="00F87E58" w:rsidP="00F87E58">
            <w:pPr>
              <w:pStyle w:val="cuadroCabe"/>
              <w:jc w:val="right"/>
              <w:rPr>
                <w:b/>
                <w:bCs/>
                <w:sz w:val="12"/>
                <w:szCs w:val="12"/>
              </w:rPr>
            </w:pPr>
            <w:r>
              <w:rPr>
                <w:b/>
                <w:sz w:val="12"/>
              </w:rPr>
              <w:t xml:space="preserve"> </w:t>
            </w:r>
          </w:p>
        </w:tc>
        <w:tc>
          <w:tcPr>
            <w:tcW w:w="1395" w:type="dxa"/>
            <w:tcBorders>
              <w:top w:val="single" w:sz="4" w:space="0" w:color="auto"/>
              <w:left w:val="single" w:sz="2" w:space="0" w:color="auto"/>
              <w:bottom w:val="single" w:sz="4" w:space="0" w:color="auto"/>
            </w:tcBorders>
            <w:shd w:val="clear" w:color="000000" w:fill="BDD7EE"/>
            <w:vAlign w:val="center"/>
            <w:hideMark/>
          </w:tcPr>
          <w:p w14:paraId="07DFE109" w14:textId="77777777" w:rsidR="00F87E58" w:rsidRPr="002B636D" w:rsidRDefault="00F87E58" w:rsidP="00F87E58">
            <w:pPr>
              <w:pStyle w:val="cuadroCabe"/>
              <w:jc w:val="right"/>
              <w:rPr>
                <w:b/>
                <w:bCs/>
                <w:sz w:val="12"/>
                <w:szCs w:val="12"/>
              </w:rPr>
            </w:pPr>
            <w:r>
              <w:rPr>
                <w:b/>
                <w:sz w:val="12"/>
              </w:rPr>
              <w:t xml:space="preserve"> </w:t>
            </w:r>
          </w:p>
        </w:tc>
        <w:tc>
          <w:tcPr>
            <w:tcW w:w="1255" w:type="dxa"/>
            <w:tcBorders>
              <w:top w:val="single" w:sz="4" w:space="0" w:color="auto"/>
              <w:bottom w:val="single" w:sz="4" w:space="0" w:color="auto"/>
            </w:tcBorders>
            <w:shd w:val="clear" w:color="000000" w:fill="BDD7EE"/>
            <w:vAlign w:val="bottom"/>
            <w:hideMark/>
          </w:tcPr>
          <w:p w14:paraId="32C8CEB1" w14:textId="77777777" w:rsidR="00F87E58" w:rsidRPr="002B636D" w:rsidRDefault="00F87E58" w:rsidP="00F87E58">
            <w:pPr>
              <w:pStyle w:val="cuadroCabe"/>
              <w:jc w:val="right"/>
              <w:rPr>
                <w:b/>
                <w:bCs/>
                <w:sz w:val="12"/>
                <w:szCs w:val="12"/>
              </w:rPr>
            </w:pPr>
            <w:r>
              <w:rPr>
                <w:b/>
                <w:sz w:val="12"/>
              </w:rPr>
              <w:t xml:space="preserve"> </w:t>
            </w:r>
          </w:p>
        </w:tc>
        <w:tc>
          <w:tcPr>
            <w:tcW w:w="1395" w:type="dxa"/>
            <w:tcBorders>
              <w:top w:val="single" w:sz="4" w:space="0" w:color="auto"/>
              <w:bottom w:val="single" w:sz="4" w:space="0" w:color="auto"/>
            </w:tcBorders>
            <w:shd w:val="clear" w:color="000000" w:fill="BDD7EE"/>
            <w:vAlign w:val="bottom"/>
            <w:hideMark/>
          </w:tcPr>
          <w:p w14:paraId="5CAE2D86" w14:textId="77777777" w:rsidR="00F87E58" w:rsidRPr="002B636D" w:rsidRDefault="00F87E58" w:rsidP="00F87E58">
            <w:pPr>
              <w:pStyle w:val="cuadroCabe"/>
              <w:jc w:val="right"/>
              <w:rPr>
                <w:b/>
                <w:bCs/>
                <w:sz w:val="12"/>
                <w:szCs w:val="12"/>
              </w:rPr>
            </w:pPr>
            <w:r>
              <w:rPr>
                <w:b/>
                <w:sz w:val="12"/>
              </w:rPr>
              <w:t xml:space="preserve"> </w:t>
            </w:r>
          </w:p>
        </w:tc>
      </w:tr>
      <w:tr w:rsidR="00F87E58" w:rsidRPr="007B2311" w14:paraId="59784CC6" w14:textId="77777777" w:rsidTr="00321B53">
        <w:trPr>
          <w:trHeight w:val="198"/>
          <w:jc w:val="center"/>
        </w:trPr>
        <w:tc>
          <w:tcPr>
            <w:tcW w:w="548" w:type="dxa"/>
            <w:tcBorders>
              <w:top w:val="nil"/>
              <w:bottom w:val="single" w:sz="4" w:space="0" w:color="auto"/>
              <w:right w:val="single" w:sz="4" w:space="0" w:color="auto"/>
            </w:tcBorders>
            <w:shd w:val="clear" w:color="auto" w:fill="auto"/>
            <w:noWrap/>
            <w:vAlign w:val="center"/>
            <w:hideMark/>
          </w:tcPr>
          <w:p w14:paraId="47D011B7" w14:textId="77777777" w:rsidR="00F87E58" w:rsidRPr="007B2311" w:rsidRDefault="00F87E58" w:rsidP="00E118C0">
            <w:pPr>
              <w:pStyle w:val="cuatexto"/>
              <w:jc w:val="left"/>
              <w:rPr>
                <w:sz w:val="13"/>
                <w:szCs w:val="13"/>
              </w:rPr>
            </w:pPr>
            <w:r>
              <w:rPr>
                <w:sz w:val="13"/>
              </w:rPr>
              <w:t xml:space="preserve">2001</w:t>
            </w:r>
          </w:p>
        </w:tc>
        <w:tc>
          <w:tcPr>
            <w:tcW w:w="837" w:type="dxa"/>
            <w:tcBorders>
              <w:top w:val="nil"/>
              <w:left w:val="nil"/>
              <w:bottom w:val="single" w:sz="4" w:space="0" w:color="auto"/>
              <w:right w:val="single" w:sz="4" w:space="0" w:color="auto"/>
            </w:tcBorders>
            <w:shd w:val="clear" w:color="auto" w:fill="auto"/>
            <w:noWrap/>
            <w:vAlign w:val="bottom"/>
            <w:hideMark/>
          </w:tcPr>
          <w:p w14:paraId="144462FD"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1E963EA8" w14:textId="77777777" w:rsidR="00F87E58" w:rsidRPr="007B2311" w:rsidRDefault="00F87E58" w:rsidP="00E118C0">
            <w:pPr>
              <w:pStyle w:val="cuatexto"/>
              <w:jc w:val="right"/>
              <w:rPr>
                <w:sz w:val="13"/>
                <w:szCs w:val="13"/>
              </w:rPr>
            </w:pPr>
            <w:r>
              <w:rPr>
                <w:sz w:val="13"/>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04EE7619" w14:textId="77777777" w:rsidR="00F87E58" w:rsidRPr="007B2311" w:rsidRDefault="00F87E58" w:rsidP="00E118C0">
            <w:pPr>
              <w:pStyle w:val="cuatexto"/>
              <w:jc w:val="right"/>
              <w:rPr>
                <w:sz w:val="13"/>
                <w:szCs w:val="13"/>
              </w:rPr>
            </w:pPr>
            <w:r>
              <w:rPr>
                <w:sz w:val="13"/>
              </w:rPr>
              <w:t xml:space="preserve">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B354000" w14:textId="77777777" w:rsidR="00F87E58" w:rsidRPr="007B2311" w:rsidRDefault="00F87E58" w:rsidP="00E118C0">
            <w:pPr>
              <w:pStyle w:val="cuatexto"/>
              <w:jc w:val="right"/>
              <w:rPr>
                <w:sz w:val="13"/>
                <w:szCs w:val="13"/>
              </w:rPr>
            </w:pPr>
            <w:r>
              <w:rPr>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4E50C33"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211F650" w14:textId="77777777" w:rsidR="00F87E58" w:rsidRPr="007B2311" w:rsidRDefault="00F87E58" w:rsidP="00E118C0">
            <w:pPr>
              <w:pStyle w:val="cuatexto"/>
              <w:jc w:val="right"/>
              <w:rPr>
                <w:sz w:val="13"/>
                <w:szCs w:val="13"/>
              </w:rPr>
            </w:pPr>
            <w:r>
              <w:rPr>
                <w:sz w:val="13"/>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6234995" w14:textId="77777777" w:rsidR="00F87E58" w:rsidRPr="007B2311" w:rsidRDefault="00F87E58" w:rsidP="00E118C0">
            <w:pPr>
              <w:pStyle w:val="cuatexto"/>
              <w:jc w:val="right"/>
              <w:rPr>
                <w:sz w:val="13"/>
                <w:szCs w:val="13"/>
              </w:rPr>
            </w:pPr>
            <w:r>
              <w:rPr>
                <w:sz w:val="13"/>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2CAAFFA" w14:textId="77777777" w:rsidR="00F87E58" w:rsidRPr="007B2311" w:rsidRDefault="00F87E58" w:rsidP="00E118C0">
            <w:pPr>
              <w:pStyle w:val="cuatexto"/>
              <w:jc w:val="right"/>
              <w:rPr>
                <w:b/>
                <w:bCs/>
                <w:sz w:val="13"/>
                <w:szCs w:val="13"/>
              </w:rPr>
            </w:pPr>
            <w:r>
              <w:rPr>
                <w:b/>
                <w:sz w:val="13"/>
              </w:rPr>
              <w:t xml:space="preserve">1.377.000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4CDAAF1"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1239DF8" w14:textId="77777777" w:rsidR="00F87E58" w:rsidRPr="007B2311" w:rsidRDefault="00F87E58" w:rsidP="00E118C0">
            <w:pPr>
              <w:pStyle w:val="cuatexto"/>
              <w:jc w:val="right"/>
              <w:rPr>
                <w:sz w:val="13"/>
                <w:szCs w:val="13"/>
              </w:rPr>
            </w:pPr>
            <w:r>
              <w:rPr>
                <w:sz w:val="13"/>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14:paraId="5E700956"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nil"/>
              <w:bottom w:val="single" w:sz="4" w:space="0" w:color="auto"/>
            </w:tcBorders>
            <w:shd w:val="clear" w:color="auto" w:fill="auto"/>
            <w:noWrap/>
            <w:vAlign w:val="bottom"/>
            <w:hideMark/>
          </w:tcPr>
          <w:p w14:paraId="0B2304B5" w14:textId="77777777" w:rsidR="00F87E58" w:rsidRPr="007B2311" w:rsidRDefault="00F87E58" w:rsidP="00E118C0">
            <w:pPr>
              <w:pStyle w:val="cuatexto"/>
              <w:jc w:val="right"/>
              <w:rPr>
                <w:sz w:val="13"/>
                <w:szCs w:val="13"/>
              </w:rPr>
            </w:pPr>
            <w:r>
              <w:rPr>
                <w:sz w:val="13"/>
              </w:rPr>
              <w:t xml:space="preserve"> </w:t>
            </w:r>
          </w:p>
        </w:tc>
      </w:tr>
      <w:tr w:rsidR="00F87E58" w:rsidRPr="007B2311" w14:paraId="64A0D831" w14:textId="77777777" w:rsidTr="00321B53">
        <w:trPr>
          <w:trHeight w:val="198"/>
          <w:jc w:val="center"/>
        </w:trPr>
        <w:tc>
          <w:tcPr>
            <w:tcW w:w="548" w:type="dxa"/>
            <w:tcBorders>
              <w:top w:val="nil"/>
              <w:bottom w:val="single" w:sz="4" w:space="0" w:color="auto"/>
              <w:right w:val="single" w:sz="4" w:space="0" w:color="auto"/>
            </w:tcBorders>
            <w:shd w:val="clear" w:color="auto" w:fill="auto"/>
            <w:noWrap/>
            <w:vAlign w:val="center"/>
            <w:hideMark/>
          </w:tcPr>
          <w:p w14:paraId="77262A88" w14:textId="77777777" w:rsidR="00F87E58" w:rsidRPr="007B2311" w:rsidRDefault="00F87E58" w:rsidP="00E118C0">
            <w:pPr>
              <w:pStyle w:val="cuatexto"/>
              <w:jc w:val="left"/>
              <w:rPr>
                <w:sz w:val="13"/>
                <w:szCs w:val="13"/>
              </w:rPr>
            </w:pPr>
            <w:r>
              <w:rPr>
                <w:sz w:val="13"/>
              </w:rPr>
              <w:t xml:space="preserve">2002</w:t>
            </w:r>
          </w:p>
        </w:tc>
        <w:tc>
          <w:tcPr>
            <w:tcW w:w="837" w:type="dxa"/>
            <w:tcBorders>
              <w:top w:val="nil"/>
              <w:left w:val="nil"/>
              <w:bottom w:val="single" w:sz="4" w:space="0" w:color="auto"/>
              <w:right w:val="single" w:sz="4" w:space="0" w:color="auto"/>
            </w:tcBorders>
            <w:shd w:val="clear" w:color="auto" w:fill="auto"/>
            <w:noWrap/>
            <w:vAlign w:val="bottom"/>
            <w:hideMark/>
          </w:tcPr>
          <w:p w14:paraId="0E3AA51C"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7ADCE6D4" w14:textId="77777777" w:rsidR="00F87E58" w:rsidRPr="007B2311" w:rsidRDefault="00F87E58" w:rsidP="00E118C0">
            <w:pPr>
              <w:pStyle w:val="cuatexto"/>
              <w:jc w:val="right"/>
              <w:rPr>
                <w:sz w:val="13"/>
                <w:szCs w:val="13"/>
              </w:rPr>
            </w:pPr>
            <w:r>
              <w:rPr>
                <w:sz w:val="13"/>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0790540C" w14:textId="77777777" w:rsidR="00F87E58" w:rsidRPr="007B2311" w:rsidRDefault="00F87E58" w:rsidP="00E118C0">
            <w:pPr>
              <w:pStyle w:val="cuatexto"/>
              <w:jc w:val="right"/>
              <w:rPr>
                <w:sz w:val="13"/>
                <w:szCs w:val="13"/>
              </w:rPr>
            </w:pPr>
            <w:r>
              <w:rPr>
                <w:sz w:val="13"/>
              </w:rPr>
              <w:t xml:space="preserve">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6F4FBBE" w14:textId="77777777" w:rsidR="00F87E58" w:rsidRPr="007B2311" w:rsidRDefault="00F87E58" w:rsidP="00E118C0">
            <w:pPr>
              <w:pStyle w:val="cuatexto"/>
              <w:jc w:val="right"/>
              <w:rPr>
                <w:sz w:val="13"/>
                <w:szCs w:val="13"/>
              </w:rPr>
            </w:pPr>
            <w:r>
              <w:rPr>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F6A8862" w14:textId="77777777" w:rsidR="00F87E58" w:rsidRPr="007B2311" w:rsidRDefault="00F87E58" w:rsidP="00E118C0">
            <w:pPr>
              <w:pStyle w:val="cuatexto"/>
              <w:jc w:val="right"/>
              <w:rPr>
                <w:sz w:val="13"/>
                <w:szCs w:val="13"/>
              </w:rPr>
            </w:pP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4FEE1B4" w14:textId="77777777" w:rsidR="00F87E58" w:rsidRPr="007B2311" w:rsidRDefault="00F87E58" w:rsidP="00E118C0">
            <w:pPr>
              <w:pStyle w:val="cuatexto"/>
              <w:jc w:val="right"/>
              <w:rPr>
                <w:sz w:val="13"/>
                <w:szCs w:val="13"/>
              </w:rPr>
            </w:pPr>
            <w:r>
              <w:rPr>
                <w:sz w:val="13"/>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125A8E1" w14:textId="77777777" w:rsidR="00F87E58" w:rsidRPr="007B2311" w:rsidRDefault="00F87E58" w:rsidP="00E118C0">
            <w:pPr>
              <w:pStyle w:val="cuatexto"/>
              <w:jc w:val="right"/>
              <w:rPr>
                <w:sz w:val="13"/>
                <w:szCs w:val="13"/>
              </w:rPr>
            </w:pPr>
            <w:r>
              <w:rPr>
                <w:sz w:val="13"/>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4CCCAE8F" w14:textId="77777777" w:rsidR="00F87E58" w:rsidRPr="007B2311" w:rsidRDefault="00F87E58" w:rsidP="00E118C0">
            <w:pPr>
              <w:pStyle w:val="cuatexto"/>
              <w:jc w:val="right"/>
              <w:rPr>
                <w:b/>
                <w:bCs/>
                <w:sz w:val="13"/>
                <w:szCs w:val="13"/>
              </w:rPr>
            </w:pPr>
            <w:r>
              <w:rPr>
                <w:b/>
                <w:sz w:val="13"/>
              </w:rPr>
              <w:t xml:space="preserve">2.673.000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351704D"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464E1755" w14:textId="77777777" w:rsidR="00F87E58" w:rsidRPr="007B2311" w:rsidRDefault="00F87E58" w:rsidP="00E118C0">
            <w:pPr>
              <w:pStyle w:val="cuatexto"/>
              <w:jc w:val="right"/>
              <w:rPr>
                <w:sz w:val="13"/>
                <w:szCs w:val="13"/>
              </w:rPr>
            </w:pPr>
            <w:r>
              <w:rPr>
                <w:sz w:val="13"/>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14:paraId="3CE1FE28"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nil"/>
              <w:bottom w:val="single" w:sz="4" w:space="0" w:color="auto"/>
            </w:tcBorders>
            <w:shd w:val="clear" w:color="auto" w:fill="auto"/>
            <w:noWrap/>
            <w:vAlign w:val="bottom"/>
            <w:hideMark/>
          </w:tcPr>
          <w:p w14:paraId="44E01C0C" w14:textId="77777777" w:rsidR="00F87E58" w:rsidRPr="007B2311" w:rsidRDefault="00F87E58" w:rsidP="00E118C0">
            <w:pPr>
              <w:pStyle w:val="cuatexto"/>
              <w:jc w:val="right"/>
              <w:rPr>
                <w:sz w:val="13"/>
                <w:szCs w:val="13"/>
              </w:rPr>
            </w:pPr>
            <w:r>
              <w:rPr>
                <w:sz w:val="13"/>
              </w:rPr>
              <w:t xml:space="preserve"> </w:t>
            </w:r>
          </w:p>
        </w:tc>
      </w:tr>
      <w:tr w:rsidR="00F87E58" w:rsidRPr="007B2311" w14:paraId="17FBF80C" w14:textId="77777777" w:rsidTr="004663EF">
        <w:trPr>
          <w:trHeight w:val="78"/>
          <w:jc w:val="center"/>
        </w:trPr>
        <w:tc>
          <w:tcPr>
            <w:tcW w:w="548" w:type="dxa"/>
            <w:tcBorders>
              <w:top w:val="nil"/>
              <w:bottom w:val="single" w:sz="4" w:space="0" w:color="auto"/>
              <w:right w:val="single" w:sz="4" w:space="0" w:color="auto"/>
            </w:tcBorders>
            <w:shd w:val="clear" w:color="auto" w:fill="auto"/>
            <w:noWrap/>
            <w:vAlign w:val="center"/>
            <w:hideMark/>
          </w:tcPr>
          <w:p w14:paraId="0992B5DB" w14:textId="77777777" w:rsidR="00F87E58" w:rsidRPr="007B2311" w:rsidRDefault="00F87E58" w:rsidP="00E118C0">
            <w:pPr>
              <w:pStyle w:val="cuatexto"/>
              <w:jc w:val="left"/>
              <w:rPr>
                <w:sz w:val="13"/>
                <w:szCs w:val="13"/>
              </w:rPr>
            </w:pPr>
            <w:r>
              <w:rPr>
                <w:sz w:val="13"/>
              </w:rPr>
              <w:t xml:space="preserve">2003</w:t>
            </w:r>
          </w:p>
        </w:tc>
        <w:tc>
          <w:tcPr>
            <w:tcW w:w="837" w:type="dxa"/>
            <w:tcBorders>
              <w:top w:val="nil"/>
              <w:left w:val="nil"/>
              <w:bottom w:val="single" w:sz="4" w:space="0" w:color="auto"/>
              <w:right w:val="single" w:sz="4" w:space="0" w:color="auto"/>
            </w:tcBorders>
            <w:shd w:val="clear" w:color="auto" w:fill="auto"/>
            <w:noWrap/>
            <w:vAlign w:val="center"/>
            <w:hideMark/>
          </w:tcPr>
          <w:p w14:paraId="5C57552B"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1D6B3ED2" w14:textId="77777777" w:rsidR="00F87E58" w:rsidRPr="007B2311" w:rsidRDefault="00F87E58" w:rsidP="00E118C0">
            <w:pPr>
              <w:pStyle w:val="cuatexto"/>
              <w:jc w:val="right"/>
              <w:rPr>
                <w:sz w:val="13"/>
                <w:szCs w:val="13"/>
              </w:rPr>
            </w:pPr>
            <w:r>
              <w:rPr>
                <w:sz w:val="13"/>
              </w:rPr>
              <w:t xml:space="preserve"> </w:t>
            </w:r>
          </w:p>
        </w:tc>
        <w:tc>
          <w:tcPr>
            <w:tcW w:w="861" w:type="dxa"/>
            <w:tcBorders>
              <w:top w:val="nil"/>
              <w:left w:val="nil"/>
              <w:bottom w:val="single" w:sz="4" w:space="0" w:color="auto"/>
              <w:right w:val="single" w:sz="2" w:space="0" w:color="auto"/>
            </w:tcBorders>
            <w:shd w:val="clear" w:color="auto" w:fill="auto"/>
            <w:noWrap/>
            <w:vAlign w:val="center"/>
            <w:hideMark/>
          </w:tcPr>
          <w:p w14:paraId="3655BCDB" w14:textId="77777777" w:rsidR="00F87E58" w:rsidRPr="007B2311" w:rsidRDefault="00F87E58" w:rsidP="00E118C0">
            <w:pPr>
              <w:pStyle w:val="cuatexto"/>
              <w:jc w:val="right"/>
              <w:rPr>
                <w:sz w:val="13"/>
                <w:szCs w:val="13"/>
              </w:rPr>
            </w:pPr>
            <w:r>
              <w:rPr>
                <w:sz w:val="13"/>
              </w:rPr>
              <w:t xml:space="preserve">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123AEABD" w14:textId="77777777" w:rsidR="00F87E58" w:rsidRPr="007B2311" w:rsidRDefault="00F87E58" w:rsidP="00E118C0">
            <w:pPr>
              <w:pStyle w:val="cuatexto"/>
              <w:jc w:val="right"/>
              <w:rPr>
                <w:sz w:val="13"/>
                <w:szCs w:val="13"/>
              </w:rPr>
            </w:pPr>
            <w:r>
              <w:rPr>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94C0B94"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7565326F" w14:textId="77777777" w:rsidR="00F87E58" w:rsidRPr="007B2311" w:rsidRDefault="00F87E58" w:rsidP="00E118C0">
            <w:pPr>
              <w:pStyle w:val="cuatexto"/>
              <w:jc w:val="right"/>
              <w:rPr>
                <w:sz w:val="13"/>
                <w:szCs w:val="13"/>
              </w:rPr>
            </w:pPr>
            <w:r>
              <w:rPr>
                <w:sz w:val="13"/>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64CCE53" w14:textId="77777777" w:rsidR="00F87E58" w:rsidRPr="007B2311" w:rsidRDefault="00F87E58" w:rsidP="00E118C0">
            <w:pPr>
              <w:pStyle w:val="cuatexto"/>
              <w:jc w:val="right"/>
              <w:rPr>
                <w:sz w:val="13"/>
                <w:szCs w:val="13"/>
              </w:rPr>
            </w:pPr>
            <w:r>
              <w:rPr>
                <w:sz w:val="13"/>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bottom"/>
            <w:hideMark/>
          </w:tcPr>
          <w:p w14:paraId="0B9425B0" w14:textId="77777777" w:rsidR="00F87E58" w:rsidRPr="007B2311" w:rsidRDefault="00F87E58" w:rsidP="00E118C0">
            <w:pPr>
              <w:pStyle w:val="cuatexto"/>
              <w:jc w:val="right"/>
              <w:rPr>
                <w:b/>
                <w:bCs/>
                <w:sz w:val="13"/>
                <w:szCs w:val="13"/>
              </w:rPr>
            </w:pPr>
            <w:r>
              <w:rPr>
                <w:b/>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D769B1E"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A29A0FE" w14:textId="77777777" w:rsidR="00F87E58" w:rsidRPr="007B2311" w:rsidRDefault="00F87E58" w:rsidP="00E118C0">
            <w:pPr>
              <w:pStyle w:val="cuatexto"/>
              <w:jc w:val="right"/>
              <w:rPr>
                <w:sz w:val="13"/>
                <w:szCs w:val="13"/>
              </w:rPr>
            </w:pPr>
            <w:r>
              <w:rPr>
                <w:sz w:val="13"/>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14:paraId="0A121AFA"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nil"/>
              <w:bottom w:val="single" w:sz="4" w:space="0" w:color="auto"/>
            </w:tcBorders>
            <w:shd w:val="clear" w:color="auto" w:fill="auto"/>
            <w:noWrap/>
            <w:vAlign w:val="bottom"/>
            <w:hideMark/>
          </w:tcPr>
          <w:p w14:paraId="73A18F1B" w14:textId="77777777" w:rsidR="00F87E58" w:rsidRPr="007B2311" w:rsidRDefault="00F87E58" w:rsidP="00E118C0">
            <w:pPr>
              <w:pStyle w:val="cuatexto"/>
              <w:jc w:val="right"/>
              <w:rPr>
                <w:sz w:val="13"/>
                <w:szCs w:val="13"/>
              </w:rPr>
            </w:pPr>
            <w:r>
              <w:rPr>
                <w:sz w:val="13"/>
              </w:rPr>
              <w:t xml:space="preserve"> </w:t>
            </w:r>
          </w:p>
        </w:tc>
      </w:tr>
      <w:tr w:rsidR="00F87E58" w:rsidRPr="007B2311" w14:paraId="15A6283D" w14:textId="77777777" w:rsidTr="004663EF">
        <w:trPr>
          <w:trHeight w:val="70"/>
          <w:jc w:val="center"/>
        </w:trPr>
        <w:tc>
          <w:tcPr>
            <w:tcW w:w="548" w:type="dxa"/>
            <w:tcBorders>
              <w:top w:val="nil"/>
              <w:bottom w:val="single" w:sz="4" w:space="0" w:color="auto"/>
              <w:right w:val="single" w:sz="4" w:space="0" w:color="auto"/>
            </w:tcBorders>
            <w:shd w:val="clear" w:color="auto" w:fill="auto"/>
            <w:noWrap/>
            <w:vAlign w:val="center"/>
            <w:hideMark/>
          </w:tcPr>
          <w:p w14:paraId="386793F1" w14:textId="77777777" w:rsidR="00F87E58" w:rsidRPr="007B2311" w:rsidRDefault="00F87E58" w:rsidP="00E118C0">
            <w:pPr>
              <w:pStyle w:val="cuatexto"/>
              <w:jc w:val="left"/>
              <w:rPr>
                <w:sz w:val="13"/>
                <w:szCs w:val="13"/>
              </w:rPr>
            </w:pPr>
            <w:r>
              <w:rPr>
                <w:sz w:val="13"/>
              </w:rPr>
              <w:t xml:space="preserve">2004</w:t>
            </w:r>
          </w:p>
        </w:tc>
        <w:tc>
          <w:tcPr>
            <w:tcW w:w="837" w:type="dxa"/>
            <w:tcBorders>
              <w:top w:val="nil"/>
              <w:left w:val="nil"/>
              <w:bottom w:val="single" w:sz="4" w:space="0" w:color="auto"/>
              <w:right w:val="single" w:sz="4" w:space="0" w:color="auto"/>
            </w:tcBorders>
            <w:shd w:val="clear" w:color="auto" w:fill="auto"/>
            <w:noWrap/>
            <w:vAlign w:val="center"/>
            <w:hideMark/>
          </w:tcPr>
          <w:p w14:paraId="78A34523"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2AA03F96" w14:textId="77777777" w:rsidR="00F87E58" w:rsidRPr="007B2311" w:rsidRDefault="00F87E58" w:rsidP="00E118C0">
            <w:pPr>
              <w:pStyle w:val="cuatexto"/>
              <w:jc w:val="right"/>
              <w:rPr>
                <w:sz w:val="13"/>
                <w:szCs w:val="13"/>
              </w:rPr>
            </w:pPr>
            <w:r>
              <w:rPr>
                <w:sz w:val="13"/>
              </w:rPr>
              <w:t xml:space="preserve"> </w:t>
            </w:r>
          </w:p>
        </w:tc>
        <w:tc>
          <w:tcPr>
            <w:tcW w:w="861" w:type="dxa"/>
            <w:tcBorders>
              <w:top w:val="nil"/>
              <w:left w:val="nil"/>
              <w:bottom w:val="single" w:sz="4" w:space="0" w:color="auto"/>
              <w:right w:val="single" w:sz="2" w:space="0" w:color="auto"/>
            </w:tcBorders>
            <w:shd w:val="clear" w:color="auto" w:fill="auto"/>
            <w:noWrap/>
            <w:vAlign w:val="center"/>
            <w:hideMark/>
          </w:tcPr>
          <w:p w14:paraId="60B4184F" w14:textId="77777777" w:rsidR="00F87E58" w:rsidRPr="007B2311" w:rsidRDefault="00F87E58" w:rsidP="00E118C0">
            <w:pPr>
              <w:pStyle w:val="cuatexto"/>
              <w:jc w:val="right"/>
              <w:rPr>
                <w:sz w:val="13"/>
                <w:szCs w:val="13"/>
              </w:rPr>
            </w:pPr>
            <w:r>
              <w:rPr>
                <w:sz w:val="13"/>
              </w:rPr>
              <w:t xml:space="preserve">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8157F17" w14:textId="77777777" w:rsidR="00F87E58" w:rsidRPr="007B2311" w:rsidRDefault="00F87E58" w:rsidP="00E118C0">
            <w:pPr>
              <w:pStyle w:val="cuatexto"/>
              <w:jc w:val="right"/>
              <w:rPr>
                <w:sz w:val="13"/>
                <w:szCs w:val="13"/>
              </w:rPr>
            </w:pPr>
            <w:r>
              <w:rPr>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6BB980E0" w14:textId="77777777" w:rsidR="00F87E58" w:rsidRPr="007B2311" w:rsidRDefault="00F87E58" w:rsidP="00E118C0">
            <w:pPr>
              <w:pStyle w:val="cuatexto"/>
              <w:jc w:val="right"/>
              <w:rPr>
                <w:sz w:val="13"/>
                <w:szCs w:val="13"/>
              </w:rPr>
            </w:pPr>
            <w:r>
              <w:rPr>
                <w:sz w:val="13"/>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46920464" w14:textId="77777777" w:rsidR="00F87E58" w:rsidRPr="007B2311" w:rsidRDefault="00F87E58" w:rsidP="00E118C0">
            <w:pPr>
              <w:pStyle w:val="cuatexto"/>
              <w:jc w:val="right"/>
              <w:rPr>
                <w:sz w:val="13"/>
                <w:szCs w:val="13"/>
              </w:rPr>
            </w:pPr>
            <w:r>
              <w:rPr>
                <w:sz w:val="13"/>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6ABF4345" w14:textId="77777777" w:rsidR="00F87E58" w:rsidRPr="007B2311" w:rsidRDefault="00F87E58" w:rsidP="00E118C0">
            <w:pPr>
              <w:pStyle w:val="cuatexto"/>
              <w:jc w:val="right"/>
              <w:rPr>
                <w:sz w:val="13"/>
                <w:szCs w:val="13"/>
              </w:rPr>
            </w:pPr>
            <w:r>
              <w:rPr>
                <w:sz w:val="13"/>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bottom"/>
            <w:hideMark/>
          </w:tcPr>
          <w:p w14:paraId="4684B131" w14:textId="77777777" w:rsidR="00F87E58" w:rsidRPr="007B2311" w:rsidRDefault="00F87E58" w:rsidP="00E118C0">
            <w:pPr>
              <w:pStyle w:val="cuatexto"/>
              <w:jc w:val="right"/>
              <w:rPr>
                <w:b/>
                <w:bCs/>
                <w:sz w:val="13"/>
                <w:szCs w:val="13"/>
              </w:rPr>
            </w:pPr>
            <w:r>
              <w:rPr>
                <w:b/>
                <w:sz w:val="13"/>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8E79B1"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3DF73C9" w14:textId="77777777" w:rsidR="00F87E58" w:rsidRPr="007B2311" w:rsidRDefault="00F87E58" w:rsidP="00E118C0">
            <w:pPr>
              <w:pStyle w:val="cuatexto"/>
              <w:jc w:val="right"/>
              <w:rPr>
                <w:sz w:val="13"/>
                <w:szCs w:val="13"/>
              </w:rPr>
            </w:pPr>
            <w:r>
              <w:rPr>
                <w:sz w:val="13"/>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14:paraId="3E69C2DB" w14:textId="77777777" w:rsidR="00F87E58" w:rsidRPr="007B2311" w:rsidRDefault="00F87E58" w:rsidP="00E118C0">
            <w:pPr>
              <w:pStyle w:val="cuatexto"/>
              <w:jc w:val="right"/>
              <w:rPr>
                <w:sz w:val="13"/>
                <w:szCs w:val="13"/>
              </w:rPr>
            </w:pPr>
            <w:r>
              <w:rPr>
                <w:sz w:val="13"/>
              </w:rPr>
              <w:t xml:space="preserve"> </w:t>
            </w:r>
          </w:p>
        </w:tc>
        <w:tc>
          <w:tcPr>
            <w:tcW w:w="1395" w:type="dxa"/>
            <w:tcBorders>
              <w:top w:val="nil"/>
              <w:left w:val="nil"/>
              <w:bottom w:val="single" w:sz="4" w:space="0" w:color="auto"/>
            </w:tcBorders>
            <w:shd w:val="clear" w:color="auto" w:fill="auto"/>
            <w:noWrap/>
            <w:vAlign w:val="bottom"/>
            <w:hideMark/>
          </w:tcPr>
          <w:p w14:paraId="7A65276B" w14:textId="77777777" w:rsidR="00F87E58" w:rsidRPr="007B2311" w:rsidRDefault="00F87E58" w:rsidP="00E118C0">
            <w:pPr>
              <w:pStyle w:val="cuatexto"/>
              <w:jc w:val="right"/>
              <w:rPr>
                <w:sz w:val="13"/>
                <w:szCs w:val="13"/>
              </w:rPr>
            </w:pPr>
            <w:r>
              <w:rPr>
                <w:sz w:val="13"/>
              </w:rPr>
              <w:t xml:space="preserve"> </w:t>
            </w:r>
          </w:p>
        </w:tc>
      </w:tr>
      <w:tr w:rsidR="00F87E58" w:rsidRPr="002B636D" w14:paraId="6DE608BC"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22626316" w14:textId="77777777" w:rsidR="00F87E58" w:rsidRPr="002B636D" w:rsidRDefault="00F87E58" w:rsidP="00F87E58">
            <w:pPr>
              <w:pStyle w:val="cuadroCabe"/>
              <w:jc w:val="left"/>
              <w:rPr>
                <w:sz w:val="12"/>
                <w:szCs w:val="12"/>
              </w:rPr>
            </w:pPr>
            <w:r>
              <w:rPr>
                <w:sz w:val="12"/>
              </w:rPr>
              <w:t xml:space="preserve">Guztira</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37FFBF0"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4FF101D3" w14:textId="77777777" w:rsidR="00F87E58" w:rsidRPr="002B636D" w:rsidRDefault="00F87E58" w:rsidP="00F87E58">
            <w:pPr>
              <w:pStyle w:val="cuadroCabe"/>
              <w:jc w:val="right"/>
              <w:rPr>
                <w:sz w:val="12"/>
                <w:szCs w:val="12"/>
              </w:rPr>
            </w:pPr>
            <w:r>
              <w:rPr>
                <w:sz w:val="12"/>
              </w:rPr>
              <w:t xml:space="preserve"> </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6BDFDB1C" w14:textId="77777777" w:rsidR="00F87E58" w:rsidRPr="002B636D" w:rsidRDefault="00F87E58" w:rsidP="00F87E58">
            <w:pPr>
              <w:pStyle w:val="cuadroCabe"/>
              <w:jc w:val="right"/>
              <w:rPr>
                <w:sz w:val="12"/>
                <w:szCs w:val="12"/>
              </w:rPr>
            </w:pPr>
            <w:r>
              <w:rPr>
                <w:sz w:val="12"/>
              </w:rPr>
              <w:t xml:space="preserve"> </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05E5AAC0"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6D438AD"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268F3624"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F1CCF21"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F430CD6" w14:textId="77777777" w:rsidR="00F87E58" w:rsidRPr="002B636D" w:rsidRDefault="00F87E58" w:rsidP="00F87E58">
            <w:pPr>
              <w:pStyle w:val="cuadroCabe"/>
              <w:jc w:val="right"/>
              <w:rPr>
                <w:b/>
                <w:bCs/>
                <w:sz w:val="12"/>
                <w:szCs w:val="12"/>
              </w:rPr>
            </w:pPr>
            <w:r>
              <w:rPr>
                <w:b/>
                <w:sz w:val="12"/>
              </w:rPr>
              <w:t xml:space="preserve">4.050.000</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A506480"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bottom"/>
            <w:hideMark/>
          </w:tcPr>
          <w:p w14:paraId="792C7EF4" w14:textId="77777777" w:rsidR="00F87E58" w:rsidRPr="002B636D" w:rsidRDefault="00F87E58" w:rsidP="00F87E58">
            <w:pPr>
              <w:pStyle w:val="cuadroCabe"/>
              <w:jc w:val="right"/>
              <w:rPr>
                <w:sz w:val="12"/>
                <w:szCs w:val="12"/>
              </w:rPr>
            </w:pPr>
            <w:r>
              <w:rPr>
                <w:sz w:val="12"/>
              </w:rPr>
              <w:t xml:space="preserve"> </w:t>
            </w:r>
          </w:p>
        </w:tc>
        <w:tc>
          <w:tcPr>
            <w:tcW w:w="1255" w:type="dxa"/>
            <w:tcBorders>
              <w:top w:val="single" w:sz="4" w:space="0" w:color="auto"/>
              <w:left w:val="nil"/>
              <w:bottom w:val="single" w:sz="4" w:space="0" w:color="auto"/>
              <w:right w:val="single" w:sz="4" w:space="0" w:color="auto"/>
            </w:tcBorders>
            <w:shd w:val="clear" w:color="000000" w:fill="BDD7EE"/>
            <w:noWrap/>
            <w:vAlign w:val="bottom"/>
            <w:hideMark/>
          </w:tcPr>
          <w:p w14:paraId="3B0F4B9B"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nil"/>
              <w:bottom w:val="single" w:sz="4" w:space="0" w:color="auto"/>
            </w:tcBorders>
            <w:shd w:val="clear" w:color="000000" w:fill="BDD7EE"/>
            <w:noWrap/>
            <w:vAlign w:val="bottom"/>
            <w:hideMark/>
          </w:tcPr>
          <w:p w14:paraId="54D4419D" w14:textId="77777777" w:rsidR="00F87E58" w:rsidRPr="002B636D" w:rsidRDefault="00F87E58" w:rsidP="00F87E58">
            <w:pPr>
              <w:pStyle w:val="cuadroCabe"/>
              <w:jc w:val="right"/>
              <w:rPr>
                <w:sz w:val="12"/>
                <w:szCs w:val="12"/>
              </w:rPr>
            </w:pPr>
            <w:r>
              <w:rPr>
                <w:sz w:val="12"/>
              </w:rPr>
              <w:t xml:space="preserve"> </w:t>
            </w:r>
          </w:p>
        </w:tc>
      </w:tr>
      <w:tr w:rsidR="00F87E58" w:rsidRPr="002B636D" w14:paraId="79FAEB5A" w14:textId="77777777" w:rsidTr="00321B53">
        <w:trPr>
          <w:trHeight w:val="252"/>
          <w:jc w:val="center"/>
        </w:trPr>
        <w:tc>
          <w:tcPr>
            <w:tcW w:w="548" w:type="dxa"/>
            <w:tcBorders>
              <w:top w:val="single" w:sz="4" w:space="0" w:color="auto"/>
              <w:bottom w:val="single" w:sz="4" w:space="0" w:color="auto"/>
              <w:right w:val="single" w:sz="2" w:space="0" w:color="auto"/>
            </w:tcBorders>
            <w:shd w:val="clear" w:color="000000" w:fill="BDD7EE"/>
            <w:noWrap/>
            <w:vAlign w:val="center"/>
            <w:hideMark/>
          </w:tcPr>
          <w:p w14:paraId="2CEA194C" w14:textId="77777777" w:rsidR="00F87E58" w:rsidRPr="002B636D" w:rsidRDefault="00F87E58" w:rsidP="00F87E58">
            <w:pPr>
              <w:pStyle w:val="cuadroCabe"/>
              <w:jc w:val="left"/>
              <w:rPr>
                <w:sz w:val="12"/>
                <w:szCs w:val="12"/>
              </w:rPr>
            </w:pPr>
            <w:r>
              <w:rPr>
                <w:sz w:val="12"/>
              </w:rPr>
              <w:t xml:space="preserve"> </w:t>
            </w:r>
          </w:p>
        </w:tc>
        <w:tc>
          <w:tcPr>
            <w:tcW w:w="3907" w:type="dxa"/>
            <w:gridSpan w:val="4"/>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2BD93BF9" w14:textId="77777777" w:rsidR="00F87E58" w:rsidRPr="002B636D" w:rsidRDefault="00F87E58" w:rsidP="00F87E58">
            <w:pPr>
              <w:pStyle w:val="cuadroCabe"/>
              <w:jc w:val="right"/>
              <w:rPr>
                <w:sz w:val="12"/>
                <w:szCs w:val="12"/>
              </w:rPr>
            </w:pPr>
            <w:r>
              <w:rPr>
                <w:sz w:val="12"/>
              </w:rPr>
              <w:t xml:space="preserve">FINANTZAKETAREN XEHAKAPENA</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47DE7E3F"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D9E18F8"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7530B303"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85080E2" w14:textId="77777777" w:rsidR="00F87E58" w:rsidRPr="002B636D" w:rsidRDefault="00F87E58" w:rsidP="00F87E58">
            <w:pPr>
              <w:pStyle w:val="cuadroCabe"/>
              <w:jc w:val="right"/>
              <w:rPr>
                <w:b/>
                <w:bCs/>
                <w:sz w:val="12"/>
                <w:szCs w:val="12"/>
              </w:rPr>
            </w:pPr>
            <w:r>
              <w:rPr>
                <w:b/>
                <w:sz w:val="12"/>
              </w:rPr>
              <w:t xml:space="preserve">MAILEGUAK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36D559C"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bottom"/>
            <w:hideMark/>
          </w:tcPr>
          <w:p w14:paraId="447A3702" w14:textId="77777777" w:rsidR="00F87E58" w:rsidRPr="002B636D" w:rsidRDefault="00F87E58" w:rsidP="00F87E58">
            <w:pPr>
              <w:pStyle w:val="cuadroCabe"/>
              <w:jc w:val="right"/>
              <w:rPr>
                <w:sz w:val="12"/>
                <w:szCs w:val="12"/>
              </w:rPr>
            </w:pPr>
            <w:r>
              <w:rPr>
                <w:sz w:val="12"/>
              </w:rPr>
              <w:t xml:space="preserve"> </w:t>
            </w:r>
          </w:p>
        </w:tc>
        <w:tc>
          <w:tcPr>
            <w:tcW w:w="1255" w:type="dxa"/>
            <w:tcBorders>
              <w:top w:val="single" w:sz="4" w:space="0" w:color="auto"/>
              <w:left w:val="nil"/>
              <w:bottom w:val="single" w:sz="4" w:space="0" w:color="auto"/>
              <w:right w:val="single" w:sz="4" w:space="0" w:color="auto"/>
            </w:tcBorders>
            <w:shd w:val="clear" w:color="000000" w:fill="BDD7EE"/>
            <w:noWrap/>
            <w:vAlign w:val="bottom"/>
            <w:hideMark/>
          </w:tcPr>
          <w:p w14:paraId="1F9D32F4"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nil"/>
              <w:bottom w:val="single" w:sz="4" w:space="0" w:color="auto"/>
            </w:tcBorders>
            <w:shd w:val="clear" w:color="000000" w:fill="BDD7EE"/>
            <w:noWrap/>
            <w:vAlign w:val="bottom"/>
            <w:hideMark/>
          </w:tcPr>
          <w:p w14:paraId="6CB86B57" w14:textId="77777777" w:rsidR="00F87E58" w:rsidRPr="002B636D" w:rsidRDefault="00F87E58" w:rsidP="00F87E58">
            <w:pPr>
              <w:pStyle w:val="cuadroCabe"/>
              <w:jc w:val="right"/>
              <w:rPr>
                <w:sz w:val="12"/>
                <w:szCs w:val="12"/>
              </w:rPr>
            </w:pPr>
            <w:r>
              <w:rPr>
                <w:sz w:val="12"/>
              </w:rPr>
              <w:t xml:space="preserve"> </w:t>
            </w:r>
          </w:p>
        </w:tc>
      </w:tr>
      <w:tr w:rsidR="00F87E58" w:rsidRPr="002B636D" w14:paraId="380D22B0"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2A23DA8D" w14:textId="77777777" w:rsidR="00F87E58" w:rsidRPr="002B636D" w:rsidRDefault="00F87E58" w:rsidP="00E118C0">
            <w:pPr>
              <w:pStyle w:val="cuadroCabe"/>
              <w:spacing w:line="240" w:lineRule="auto"/>
              <w:jc w:val="left"/>
              <w:rPr>
                <w:sz w:val="12"/>
                <w:szCs w:val="12"/>
              </w:rPr>
            </w:pPr>
            <w:r>
              <w:rPr>
                <w:sz w:val="12"/>
              </w:rPr>
              <w:t xml:space="preserve"> </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C841AA1" w14:textId="77777777" w:rsidR="00F87E58" w:rsidRPr="002B636D" w:rsidRDefault="00F87E58" w:rsidP="00E118C0">
            <w:pPr>
              <w:pStyle w:val="cuadroCabe"/>
              <w:spacing w:line="240" w:lineRule="auto"/>
              <w:jc w:val="right"/>
              <w:rPr>
                <w:sz w:val="12"/>
                <w:szCs w:val="12"/>
              </w:rPr>
            </w:pPr>
            <w:r>
              <w:rPr>
                <w:sz w:val="12"/>
              </w:rPr>
              <w:t xml:space="preserve">Inbertsioak</w:t>
            </w:r>
          </w:p>
        </w:tc>
        <w:tc>
          <w:tcPr>
            <w:tcW w:w="976" w:type="dxa"/>
            <w:tcBorders>
              <w:top w:val="single" w:sz="4" w:space="0" w:color="auto"/>
              <w:left w:val="nil"/>
              <w:bottom w:val="single" w:sz="4" w:space="0" w:color="auto"/>
              <w:right w:val="single" w:sz="4" w:space="0" w:color="auto"/>
            </w:tcBorders>
            <w:shd w:val="clear" w:color="000000" w:fill="BDD7EE"/>
            <w:vAlign w:val="center"/>
            <w:hideMark/>
          </w:tcPr>
          <w:p w14:paraId="32FE704D" w14:textId="77777777" w:rsidR="00F87E58" w:rsidRPr="002B636D" w:rsidRDefault="00F87E58" w:rsidP="00E118C0">
            <w:pPr>
              <w:pStyle w:val="cuadroCabe"/>
              <w:spacing w:line="240" w:lineRule="auto"/>
              <w:jc w:val="right"/>
              <w:rPr>
                <w:sz w:val="12"/>
                <w:szCs w:val="12"/>
              </w:rPr>
            </w:pPr>
            <w:r>
              <w:rPr>
                <w:sz w:val="12"/>
              </w:rPr>
              <w:t xml:space="preserve">Zorraren amortizazioa</w:t>
            </w:r>
          </w:p>
        </w:tc>
        <w:tc>
          <w:tcPr>
            <w:tcW w:w="861" w:type="dxa"/>
            <w:tcBorders>
              <w:top w:val="single" w:sz="4" w:space="0" w:color="auto"/>
              <w:left w:val="nil"/>
              <w:bottom w:val="single" w:sz="4" w:space="0" w:color="auto"/>
              <w:right w:val="single" w:sz="2" w:space="0" w:color="auto"/>
            </w:tcBorders>
            <w:shd w:val="clear" w:color="000000" w:fill="BDD7EE"/>
            <w:vAlign w:val="center"/>
            <w:hideMark/>
          </w:tcPr>
          <w:p w14:paraId="6626FD55" w14:textId="77777777" w:rsidR="00F87E58" w:rsidRPr="002B636D" w:rsidRDefault="00F87E58" w:rsidP="00E118C0">
            <w:pPr>
              <w:pStyle w:val="cuadroCabe"/>
              <w:spacing w:line="240" w:lineRule="auto"/>
              <w:jc w:val="right"/>
              <w:rPr>
                <w:sz w:val="12"/>
                <w:szCs w:val="12"/>
              </w:rPr>
            </w:pPr>
            <w:r>
              <w:rPr>
                <w:sz w:val="12"/>
              </w:rPr>
              <w:t xml:space="preserve">Diruzaintza-</w:t>
            </w:r>
          </w:p>
          <w:p w14:paraId="00D18B09" w14:textId="77777777" w:rsidR="00F87E58" w:rsidRPr="002B636D" w:rsidRDefault="00F87E58" w:rsidP="00E118C0">
            <w:pPr>
              <w:pStyle w:val="cuadroCabe"/>
              <w:spacing w:line="240" w:lineRule="auto"/>
              <w:jc w:val="right"/>
              <w:rPr>
                <w:sz w:val="12"/>
                <w:szCs w:val="12"/>
              </w:rPr>
            </w:pPr>
            <w:r>
              <w:rPr>
                <w:sz w:val="12"/>
              </w:rPr>
              <w:t xml:space="preserve"> </w:t>
            </w:r>
            <w:r>
              <w:rPr>
                <w:sz w:val="12"/>
              </w:rPr>
              <w:t xml:space="preserve">defizita</w:t>
            </w:r>
            <w:r>
              <w:rPr>
                <w:sz w:val="12"/>
              </w:rPr>
              <w:t xml:space="preserve"> </w:t>
            </w:r>
          </w:p>
        </w:tc>
        <w:tc>
          <w:tcPr>
            <w:tcW w:w="1233"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01CF93FE" w14:textId="77777777" w:rsidR="00F87E58" w:rsidRPr="002B636D" w:rsidRDefault="00F87E58" w:rsidP="00E118C0">
            <w:pPr>
              <w:pStyle w:val="cuadroCabe"/>
              <w:spacing w:line="240" w:lineRule="auto"/>
              <w:jc w:val="right"/>
              <w:rPr>
                <w:sz w:val="12"/>
                <w:szCs w:val="12"/>
              </w:rPr>
            </w:pPr>
            <w:r>
              <w:rPr>
                <w:sz w:val="12"/>
              </w:rPr>
              <w:t xml:space="preserve">FINANTZAKETA,</w:t>
            </w:r>
          </w:p>
          <w:p w14:paraId="136D21D6" w14:textId="77777777" w:rsidR="00F87E58" w:rsidRPr="002B636D" w:rsidRDefault="00F87E58" w:rsidP="00E118C0">
            <w:pPr>
              <w:pStyle w:val="cuadroCabe"/>
              <w:spacing w:line="240" w:lineRule="auto"/>
              <w:jc w:val="right"/>
              <w:rPr>
                <w:sz w:val="12"/>
                <w:szCs w:val="12"/>
              </w:rPr>
            </w:pPr>
            <w:r>
              <w:rPr>
                <w:sz w:val="12"/>
              </w:rPr>
              <w:t xml:space="preserve"> </w:t>
            </w:r>
            <w:r>
              <w:rPr>
                <w:sz w:val="12"/>
              </w:rPr>
              <w:t xml:space="preserve">GUZTIRA</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5CB7D44F" w14:textId="77777777" w:rsidR="00F87E58" w:rsidRDefault="00F87E58" w:rsidP="00E118C0">
            <w:pPr>
              <w:pStyle w:val="cuadroCabe"/>
              <w:spacing w:line="240" w:lineRule="auto"/>
              <w:jc w:val="right"/>
              <w:rPr>
                <w:sz w:val="12"/>
                <w:szCs w:val="12"/>
              </w:rPr>
            </w:pPr>
            <w:r>
              <w:rPr>
                <w:sz w:val="12"/>
              </w:rPr>
              <w:t xml:space="preserve">INBERTSIO PLANA 2020-2022</w:t>
            </w:r>
          </w:p>
          <w:p w14:paraId="1358C9C9" w14:textId="77777777" w:rsidR="00F87E58" w:rsidRPr="002B636D" w:rsidRDefault="00F87E58" w:rsidP="00E118C0">
            <w:pPr>
              <w:pStyle w:val="cuadroCabe"/>
              <w:spacing w:line="240" w:lineRule="auto"/>
              <w:jc w:val="right"/>
              <w:rPr>
                <w:sz w:val="12"/>
                <w:szCs w:val="12"/>
              </w:rPr>
            </w:pPr>
            <w:r>
              <w:rPr>
                <w:sz w:val="12"/>
              </w:rPr>
              <w:t xml:space="preserve"> </w:t>
            </w:r>
            <w:r>
              <w:rPr>
                <w:sz w:val="12"/>
              </w:rPr>
              <w:t xml:space="preserve">(mailegua, 3,8 MM)</w:t>
            </w:r>
          </w:p>
        </w:tc>
        <w:tc>
          <w:tcPr>
            <w:tcW w:w="976"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5041CF2D" w14:textId="77777777" w:rsidR="00F87E58" w:rsidRDefault="00F87E58" w:rsidP="00E118C0">
            <w:pPr>
              <w:pStyle w:val="cuadroCabe"/>
              <w:spacing w:line="240" w:lineRule="auto"/>
              <w:jc w:val="right"/>
              <w:rPr>
                <w:sz w:val="12"/>
                <w:szCs w:val="12"/>
              </w:rPr>
            </w:pPr>
            <w:r>
              <w:rPr>
                <w:sz w:val="12"/>
              </w:rPr>
              <w:t xml:space="preserve">Sutearen ondoren</w:t>
            </w:r>
          </w:p>
          <w:p w14:paraId="07B5E32B" w14:textId="77777777" w:rsidR="00F87E58" w:rsidRPr="002B636D" w:rsidRDefault="00F87E58" w:rsidP="00E118C0">
            <w:pPr>
              <w:pStyle w:val="cuadroCabe"/>
              <w:spacing w:line="240" w:lineRule="auto"/>
              <w:jc w:val="right"/>
              <w:rPr>
                <w:sz w:val="12"/>
                <w:szCs w:val="12"/>
              </w:rPr>
            </w:pPr>
            <w:r>
              <w:rPr>
                <w:sz w:val="12"/>
              </w:rPr>
              <w:t xml:space="preserve"> </w:t>
            </w:r>
            <w:r>
              <w:rPr>
                <w:sz w:val="12"/>
              </w:rPr>
              <w:t xml:space="preserve">irekitzeko gastua</w:t>
            </w:r>
          </w:p>
        </w:tc>
        <w:tc>
          <w:tcPr>
            <w:tcW w:w="1257"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67D898B9" w14:textId="77777777" w:rsidR="00F87E58" w:rsidRDefault="00F87E58" w:rsidP="00E118C0">
            <w:pPr>
              <w:pStyle w:val="cuadroCabe"/>
              <w:spacing w:line="240" w:lineRule="auto"/>
              <w:jc w:val="right"/>
              <w:rPr>
                <w:sz w:val="12"/>
                <w:szCs w:val="12"/>
              </w:rPr>
            </w:pPr>
            <w:r>
              <w:rPr>
                <w:sz w:val="12"/>
              </w:rPr>
              <w:t xml:space="preserve"> </w:t>
            </w:r>
            <w:r>
              <w:rPr>
                <w:sz w:val="12"/>
              </w:rPr>
              <w:t xml:space="preserve">INBERTSIOAK, SUTEA DELA-ETA</w:t>
            </w:r>
            <w:r>
              <w:rPr>
                <w:sz w:val="12"/>
              </w:rPr>
              <w:t xml:space="preserve"> </w:t>
            </w:r>
          </w:p>
          <w:p w14:paraId="7B67E292" w14:textId="77777777" w:rsidR="00F87E58" w:rsidRPr="002B636D" w:rsidRDefault="00F87E58" w:rsidP="00E118C0">
            <w:pPr>
              <w:pStyle w:val="cuadroCabe"/>
              <w:spacing w:line="240" w:lineRule="auto"/>
              <w:jc w:val="right"/>
              <w:rPr>
                <w:sz w:val="12"/>
                <w:szCs w:val="12"/>
              </w:rPr>
            </w:pPr>
            <w:r>
              <w:rPr>
                <w:sz w:val="12"/>
              </w:rPr>
              <w:t xml:space="preserve">(mailegua, 1,5 MM)</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5B6BF46C" w14:textId="77777777" w:rsidR="00F87E58" w:rsidRPr="002B636D" w:rsidRDefault="00F87E58" w:rsidP="00E118C0">
            <w:pPr>
              <w:pStyle w:val="cuadroCabe"/>
              <w:spacing w:line="240" w:lineRule="auto"/>
              <w:jc w:val="right"/>
              <w:rPr>
                <w:b/>
                <w:bCs/>
                <w:sz w:val="12"/>
                <w:szCs w:val="12"/>
              </w:rPr>
            </w:pPr>
            <w:r>
              <w:rPr>
                <w:b/>
                <w:sz w:val="12"/>
              </w:rPr>
              <w:t xml:space="preserve"> </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tcPr>
          <w:p w14:paraId="578CB6F6" w14:textId="77777777" w:rsidR="00F87E58" w:rsidRPr="002B636D" w:rsidRDefault="00F87E58" w:rsidP="00E118C0">
            <w:pPr>
              <w:pStyle w:val="cuadroCabe"/>
              <w:spacing w:line="240" w:lineRule="auto"/>
              <w:jc w:val="right"/>
              <w:rPr>
                <w:b/>
                <w:bCs/>
                <w:sz w:val="12"/>
                <w:szCs w:val="12"/>
              </w:rPr>
            </w:pPr>
            <w:r>
              <w:rPr>
                <w:b/>
                <w:sz w:val="12"/>
              </w:rPr>
              <w:t xml:space="preserve">MAILEGU METATUA, GUZTIRA</w:t>
            </w:r>
          </w:p>
        </w:tc>
        <w:tc>
          <w:tcPr>
            <w:tcW w:w="1395" w:type="dxa"/>
            <w:tcBorders>
              <w:top w:val="single" w:sz="4" w:space="0" w:color="auto"/>
              <w:left w:val="single" w:sz="2" w:space="0" w:color="auto"/>
              <w:bottom w:val="single" w:sz="4" w:space="0" w:color="auto"/>
              <w:right w:val="single" w:sz="4" w:space="0" w:color="auto"/>
            </w:tcBorders>
            <w:shd w:val="clear" w:color="000000" w:fill="BDD7EE"/>
            <w:vAlign w:val="center"/>
          </w:tcPr>
          <w:p w14:paraId="4C53F281" w14:textId="77777777" w:rsidR="00F87E58" w:rsidRPr="002B636D" w:rsidRDefault="00F87E58" w:rsidP="00E118C0">
            <w:pPr>
              <w:pStyle w:val="cuadroCabe"/>
              <w:spacing w:line="240" w:lineRule="auto"/>
              <w:jc w:val="right"/>
              <w:rPr>
                <w:b/>
                <w:bCs/>
                <w:sz w:val="12"/>
                <w:szCs w:val="12"/>
              </w:rPr>
            </w:pPr>
            <w:r>
              <w:rPr>
                <w:b/>
                <w:sz w:val="12"/>
              </w:rPr>
              <w:t xml:space="preserve">URTEKO PARTAIDETZA-MAILEGUA</w:t>
            </w:r>
          </w:p>
        </w:tc>
        <w:tc>
          <w:tcPr>
            <w:tcW w:w="1255" w:type="dxa"/>
            <w:tcBorders>
              <w:top w:val="single" w:sz="4" w:space="0" w:color="auto"/>
              <w:left w:val="nil"/>
              <w:bottom w:val="single" w:sz="4" w:space="0" w:color="auto"/>
              <w:right w:val="single" w:sz="4" w:space="0" w:color="auto"/>
            </w:tcBorders>
            <w:shd w:val="clear" w:color="000000" w:fill="BDD7EE"/>
            <w:vAlign w:val="center"/>
          </w:tcPr>
          <w:p w14:paraId="4B8B115C" w14:textId="77777777" w:rsidR="00F87E58" w:rsidRDefault="00F87E58" w:rsidP="00E118C0">
            <w:pPr>
              <w:pStyle w:val="cuadroCabe"/>
              <w:spacing w:line="240" w:lineRule="auto"/>
              <w:jc w:val="right"/>
              <w:rPr>
                <w:b/>
                <w:bCs/>
                <w:sz w:val="12"/>
                <w:szCs w:val="12"/>
              </w:rPr>
            </w:pPr>
            <w:r>
              <w:rPr>
                <w:b/>
                <w:sz w:val="12"/>
              </w:rPr>
              <w:t xml:space="preserve">PARTAIDETZA-</w:t>
            </w:r>
            <w:r>
              <w:rPr>
                <w:b/>
                <w:sz w:val="12"/>
              </w:rPr>
              <w:t xml:space="preserve"> </w:t>
            </w:r>
          </w:p>
          <w:p w14:paraId="3125CFBD" w14:textId="77777777" w:rsidR="00F87E58" w:rsidRDefault="00F87E58" w:rsidP="00E118C0">
            <w:pPr>
              <w:pStyle w:val="cuadroCabe"/>
              <w:spacing w:line="240" w:lineRule="auto"/>
              <w:jc w:val="right"/>
              <w:rPr>
                <w:b/>
                <w:bCs/>
                <w:sz w:val="12"/>
                <w:szCs w:val="12"/>
              </w:rPr>
            </w:pPr>
            <w:r>
              <w:rPr>
                <w:b/>
                <w:sz w:val="12"/>
              </w:rPr>
              <w:t xml:space="preserve">MAILEGU</w:t>
            </w:r>
            <w:r>
              <w:rPr>
                <w:b/>
                <w:sz w:val="12"/>
              </w:rPr>
              <w:t xml:space="preserve"> </w:t>
            </w:r>
          </w:p>
          <w:p w14:paraId="129F4CEC" w14:textId="77777777" w:rsidR="00F87E58" w:rsidRPr="002B636D" w:rsidRDefault="00F87E58" w:rsidP="00E118C0">
            <w:pPr>
              <w:pStyle w:val="cuadroCabe"/>
              <w:spacing w:line="240" w:lineRule="auto"/>
              <w:jc w:val="right"/>
              <w:rPr>
                <w:b/>
                <w:bCs/>
                <w:sz w:val="12"/>
                <w:szCs w:val="12"/>
              </w:rPr>
            </w:pPr>
            <w:r>
              <w:rPr>
                <w:b/>
                <w:sz w:val="12"/>
              </w:rPr>
              <w:t xml:space="preserve">METATUA</w:t>
            </w:r>
          </w:p>
        </w:tc>
        <w:tc>
          <w:tcPr>
            <w:tcW w:w="1395" w:type="dxa"/>
            <w:tcBorders>
              <w:top w:val="single" w:sz="4" w:space="0" w:color="auto"/>
              <w:left w:val="nil"/>
              <w:bottom w:val="single" w:sz="4" w:space="0" w:color="auto"/>
            </w:tcBorders>
            <w:shd w:val="clear" w:color="000000" w:fill="BDD7EE"/>
            <w:vAlign w:val="center"/>
          </w:tcPr>
          <w:p w14:paraId="0456A340" w14:textId="77777777" w:rsidR="00F87E58" w:rsidRDefault="00F87E58" w:rsidP="00E118C0">
            <w:pPr>
              <w:pStyle w:val="cuadroCabe"/>
              <w:spacing w:line="240" w:lineRule="auto"/>
              <w:jc w:val="right"/>
              <w:rPr>
                <w:b/>
                <w:bCs/>
                <w:sz w:val="12"/>
                <w:szCs w:val="12"/>
              </w:rPr>
            </w:pPr>
            <w:r>
              <w:rPr>
                <w:b/>
                <w:sz w:val="12"/>
              </w:rPr>
              <w:t xml:space="preserve">PARTAIDETZAZKOA EZ DEN</w:t>
            </w:r>
            <w:r>
              <w:rPr>
                <w:b/>
                <w:sz w:val="12"/>
              </w:rPr>
              <w:t xml:space="preserve"> </w:t>
            </w:r>
          </w:p>
          <w:p w14:paraId="0AC1737E" w14:textId="77777777" w:rsidR="00F87E58" w:rsidRDefault="00F87E58" w:rsidP="00E118C0">
            <w:pPr>
              <w:pStyle w:val="cuadroCabe"/>
              <w:spacing w:line="240" w:lineRule="auto"/>
              <w:jc w:val="right"/>
              <w:rPr>
                <w:b/>
                <w:bCs/>
                <w:sz w:val="12"/>
                <w:szCs w:val="12"/>
              </w:rPr>
            </w:pPr>
            <w:r>
              <w:rPr>
                <w:b/>
                <w:sz w:val="12"/>
              </w:rPr>
              <w:t xml:space="preserve">MAILEGU</w:t>
            </w:r>
            <w:r>
              <w:rPr>
                <w:b/>
                <w:sz w:val="12"/>
              </w:rPr>
              <w:t xml:space="preserve"> </w:t>
            </w:r>
          </w:p>
          <w:p w14:paraId="3A7866D1" w14:textId="77777777" w:rsidR="00F87E58" w:rsidRPr="002B636D" w:rsidRDefault="00F87E58" w:rsidP="00E118C0">
            <w:pPr>
              <w:pStyle w:val="cuadroCabe"/>
              <w:spacing w:line="240" w:lineRule="auto"/>
              <w:jc w:val="right"/>
              <w:rPr>
                <w:b/>
                <w:bCs/>
                <w:sz w:val="12"/>
                <w:szCs w:val="12"/>
              </w:rPr>
            </w:pPr>
            <w:r>
              <w:rPr>
                <w:b/>
                <w:sz w:val="12"/>
              </w:rPr>
              <w:t xml:space="preserve">METATUA</w:t>
            </w:r>
          </w:p>
        </w:tc>
      </w:tr>
      <w:tr w:rsidR="00F87E58" w:rsidRPr="002B636D" w14:paraId="3CA4A711" w14:textId="77777777" w:rsidTr="00321B53">
        <w:trPr>
          <w:trHeight w:val="196"/>
          <w:jc w:val="center"/>
        </w:trPr>
        <w:tc>
          <w:tcPr>
            <w:tcW w:w="548" w:type="dxa"/>
            <w:tcBorders>
              <w:top w:val="single" w:sz="4" w:space="0" w:color="auto"/>
              <w:bottom w:val="single" w:sz="4" w:space="0" w:color="auto"/>
              <w:right w:val="single" w:sz="4" w:space="0" w:color="auto"/>
            </w:tcBorders>
            <w:shd w:val="clear" w:color="auto" w:fill="auto"/>
            <w:noWrap/>
            <w:vAlign w:val="center"/>
            <w:hideMark/>
          </w:tcPr>
          <w:p w14:paraId="6AF88DB4" w14:textId="77777777" w:rsidR="00F87E58" w:rsidRPr="002B636D" w:rsidRDefault="00F87E58" w:rsidP="00F87E58">
            <w:pPr>
              <w:pStyle w:val="cuatexto"/>
              <w:jc w:val="left"/>
              <w:rPr>
                <w:sz w:val="14"/>
                <w:szCs w:val="14"/>
              </w:rPr>
            </w:pPr>
            <w:r>
              <w:rPr>
                <w:sz w:val="14"/>
              </w:rPr>
              <w:t xml:space="preserve">2005</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5C613570" w14:textId="77777777" w:rsidR="00F87E58" w:rsidRPr="002B636D" w:rsidRDefault="00F87E58" w:rsidP="00F87E58">
            <w:pPr>
              <w:pStyle w:val="cuatexto"/>
              <w:jc w:val="right"/>
              <w:rPr>
                <w:sz w:val="14"/>
                <w:szCs w:val="14"/>
              </w:rPr>
            </w:pPr>
            <w:r>
              <w:rPr>
                <w:sz w:val="14"/>
              </w:rPr>
              <w:t xml:space="preserve">6.057.302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184BFE0E" w14:textId="77777777" w:rsidR="00F87E58" w:rsidRPr="002B636D" w:rsidRDefault="00F87E58" w:rsidP="00F87E58">
            <w:pPr>
              <w:pStyle w:val="cuatexto"/>
              <w:jc w:val="right"/>
              <w:rPr>
                <w:sz w:val="14"/>
                <w:szCs w:val="14"/>
              </w:rPr>
            </w:pPr>
            <w:r>
              <w:rPr>
                <w:sz w:val="14"/>
              </w:rPr>
              <w:t xml:space="preserve">525.000</w:t>
            </w:r>
          </w:p>
        </w:tc>
        <w:tc>
          <w:tcPr>
            <w:tcW w:w="861" w:type="dxa"/>
            <w:tcBorders>
              <w:top w:val="single" w:sz="4" w:space="0" w:color="auto"/>
              <w:left w:val="nil"/>
              <w:bottom w:val="single" w:sz="4" w:space="0" w:color="auto"/>
              <w:right w:val="single" w:sz="2" w:space="0" w:color="auto"/>
            </w:tcBorders>
            <w:shd w:val="clear" w:color="auto" w:fill="auto"/>
            <w:noWrap/>
            <w:vAlign w:val="bottom"/>
            <w:hideMark/>
          </w:tcPr>
          <w:p w14:paraId="365E15EF" w14:textId="77777777" w:rsidR="00F87E58" w:rsidRPr="002B636D" w:rsidRDefault="00F87E58" w:rsidP="00F87E58">
            <w:pPr>
              <w:pStyle w:val="cuatexto"/>
              <w:jc w:val="right"/>
              <w:rPr>
                <w:sz w:val="14"/>
                <w:szCs w:val="14"/>
              </w:rPr>
            </w:pPr>
            <w:r>
              <w:rPr>
                <w:sz w:val="14"/>
              </w:rPr>
              <w:t xml:space="preserve">3.515.149</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27C4A2A" w14:textId="77777777" w:rsidR="00F87E58" w:rsidRPr="002B636D" w:rsidRDefault="00F87E58" w:rsidP="00F87E58">
            <w:pPr>
              <w:pStyle w:val="cuatexto"/>
              <w:jc w:val="right"/>
              <w:rPr>
                <w:sz w:val="14"/>
                <w:szCs w:val="14"/>
              </w:rPr>
            </w:pPr>
            <w:r>
              <w:rPr>
                <w:sz w:val="14"/>
              </w:rPr>
              <w:t xml:space="preserve">10.097.452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360D05" w14:textId="77777777" w:rsidR="00F87E58" w:rsidRPr="002B636D" w:rsidRDefault="00F87E58" w:rsidP="00F87E58">
            <w:pPr>
              <w:pStyle w:val="cuatexto"/>
              <w:jc w:val="right"/>
              <w:rPr>
                <w:sz w:val="14"/>
                <w:szCs w:val="14"/>
              </w:rPr>
            </w:pPr>
            <w:r>
              <w:rPr>
                <w:sz w:val="14"/>
              </w:rPr>
              <w:t xml:space="preserve"> </w:t>
            </w:r>
          </w:p>
        </w:tc>
        <w:tc>
          <w:tcPr>
            <w:tcW w:w="976"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9E318B"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0DF41DE" w14:textId="77777777" w:rsidR="00F87E58" w:rsidRPr="002B636D" w:rsidRDefault="00F87E58" w:rsidP="00F87E58">
            <w:pPr>
              <w:pStyle w:val="cuatexto"/>
              <w:jc w:val="right"/>
              <w:rPr>
                <w:sz w:val="14"/>
                <w:szCs w:val="14"/>
              </w:rPr>
            </w:pPr>
            <w:r>
              <w:rPr>
                <w:sz w:val="14"/>
              </w:rPr>
              <w:t xml:space="preserve"> </w:t>
            </w:r>
          </w:p>
        </w:tc>
        <w:tc>
          <w:tcPr>
            <w:tcW w:w="1982"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FEEA71C" w14:textId="77777777" w:rsidR="00F87E58" w:rsidRPr="002B636D" w:rsidRDefault="00F87E58" w:rsidP="00F87E58">
            <w:pPr>
              <w:pStyle w:val="cuatexto"/>
              <w:jc w:val="right"/>
              <w:rPr>
                <w:b/>
                <w:bCs/>
                <w:sz w:val="14"/>
                <w:szCs w:val="14"/>
              </w:rPr>
            </w:pPr>
            <w:r>
              <w:rPr>
                <w:b/>
                <w:sz w:val="14"/>
              </w:rPr>
              <w:t xml:space="preserve">10.097.452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18D9F42" w14:textId="77777777" w:rsidR="00F87E58" w:rsidRPr="002B636D" w:rsidRDefault="00F87E58" w:rsidP="00F87E58">
            <w:pPr>
              <w:pStyle w:val="cuatexto"/>
              <w:jc w:val="right"/>
              <w:rPr>
                <w:b/>
                <w:bCs/>
                <w:sz w:val="14"/>
                <w:szCs w:val="14"/>
              </w:rPr>
            </w:pPr>
            <w:r>
              <w:rPr>
                <w:b/>
                <w:sz w:val="14"/>
              </w:rPr>
              <w:t xml:space="preserve">10.097.452</w:t>
            </w:r>
          </w:p>
        </w:tc>
        <w:tc>
          <w:tcPr>
            <w:tcW w:w="1395" w:type="dxa"/>
            <w:tcBorders>
              <w:top w:val="single" w:sz="4" w:space="0" w:color="auto"/>
              <w:left w:val="single" w:sz="2" w:space="0" w:color="auto"/>
              <w:bottom w:val="single" w:sz="4" w:space="0" w:color="auto"/>
              <w:right w:val="single" w:sz="4" w:space="0" w:color="auto"/>
            </w:tcBorders>
            <w:shd w:val="clear" w:color="auto" w:fill="auto"/>
            <w:noWrap/>
            <w:vAlign w:val="bottom"/>
          </w:tcPr>
          <w:p w14:paraId="612388C2" w14:textId="77777777" w:rsidR="00F87E58" w:rsidRPr="002B636D" w:rsidRDefault="00F87E58" w:rsidP="00F87E58">
            <w:pPr>
              <w:pStyle w:val="cuatexto"/>
              <w:jc w:val="right"/>
              <w:rPr>
                <w:sz w:val="14"/>
                <w:szCs w:val="14"/>
              </w:rPr>
            </w:pPr>
            <w:r>
              <w:rPr>
                <w:sz w:val="14"/>
              </w:rPr>
              <w:t xml:space="preserve">0</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2B4255F7" w14:textId="77777777" w:rsidR="00F87E58" w:rsidRPr="002B636D" w:rsidRDefault="00F87E58" w:rsidP="00F87E58">
            <w:pPr>
              <w:pStyle w:val="cuatexto"/>
              <w:jc w:val="right"/>
              <w:rPr>
                <w:sz w:val="14"/>
                <w:szCs w:val="14"/>
              </w:rPr>
            </w:pPr>
            <w:r>
              <w:rPr>
                <w:sz w:val="14"/>
              </w:rPr>
              <w:t xml:space="preserve">0</w:t>
            </w:r>
          </w:p>
        </w:tc>
        <w:tc>
          <w:tcPr>
            <w:tcW w:w="1395" w:type="dxa"/>
            <w:tcBorders>
              <w:top w:val="single" w:sz="4" w:space="0" w:color="auto"/>
              <w:left w:val="nil"/>
              <w:bottom w:val="single" w:sz="4" w:space="0" w:color="auto"/>
            </w:tcBorders>
            <w:shd w:val="clear" w:color="auto" w:fill="auto"/>
            <w:noWrap/>
            <w:vAlign w:val="bottom"/>
          </w:tcPr>
          <w:p w14:paraId="2AE8B641" w14:textId="77777777" w:rsidR="00F87E58" w:rsidRPr="002B636D" w:rsidRDefault="00F87E58" w:rsidP="00F87E58">
            <w:pPr>
              <w:pStyle w:val="cuatexto"/>
              <w:jc w:val="right"/>
              <w:rPr>
                <w:sz w:val="14"/>
                <w:szCs w:val="14"/>
              </w:rPr>
            </w:pPr>
            <w:r>
              <w:rPr>
                <w:sz w:val="14"/>
              </w:rPr>
              <w:t xml:space="preserve">10.097.452</w:t>
            </w:r>
          </w:p>
        </w:tc>
      </w:tr>
      <w:tr w:rsidR="00F87E58" w:rsidRPr="002B636D" w14:paraId="215B554D"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3AA0DA5" w14:textId="77777777" w:rsidR="00F87E58" w:rsidRPr="002B636D" w:rsidRDefault="00F87E58" w:rsidP="00F87E58">
            <w:pPr>
              <w:pStyle w:val="cuatexto"/>
              <w:jc w:val="left"/>
              <w:rPr>
                <w:sz w:val="14"/>
                <w:szCs w:val="14"/>
              </w:rPr>
            </w:pPr>
            <w:r>
              <w:rPr>
                <w:sz w:val="14"/>
              </w:rPr>
              <w:t xml:space="preserve">2006</w:t>
            </w:r>
          </w:p>
        </w:tc>
        <w:tc>
          <w:tcPr>
            <w:tcW w:w="837" w:type="dxa"/>
            <w:tcBorders>
              <w:top w:val="nil"/>
              <w:left w:val="nil"/>
              <w:bottom w:val="single" w:sz="4" w:space="0" w:color="auto"/>
              <w:right w:val="single" w:sz="4" w:space="0" w:color="auto"/>
            </w:tcBorders>
            <w:shd w:val="clear" w:color="auto" w:fill="auto"/>
            <w:noWrap/>
            <w:vAlign w:val="bottom"/>
            <w:hideMark/>
          </w:tcPr>
          <w:p w14:paraId="7DDA3DF1" w14:textId="77777777" w:rsidR="00F87E58" w:rsidRPr="002B636D" w:rsidRDefault="00F87E58" w:rsidP="00F87E58">
            <w:pPr>
              <w:pStyle w:val="cuatexto"/>
              <w:jc w:val="right"/>
              <w:rPr>
                <w:sz w:val="14"/>
                <w:szCs w:val="14"/>
              </w:rPr>
            </w:pPr>
            <w:r>
              <w:rPr>
                <w:sz w:val="14"/>
              </w:rPr>
              <w:t xml:space="preserve">6.693.568</w:t>
            </w:r>
          </w:p>
        </w:tc>
        <w:tc>
          <w:tcPr>
            <w:tcW w:w="976" w:type="dxa"/>
            <w:tcBorders>
              <w:top w:val="nil"/>
              <w:left w:val="nil"/>
              <w:bottom w:val="single" w:sz="4" w:space="0" w:color="auto"/>
              <w:right w:val="single" w:sz="4" w:space="0" w:color="auto"/>
            </w:tcBorders>
            <w:shd w:val="clear" w:color="auto" w:fill="auto"/>
            <w:noWrap/>
            <w:vAlign w:val="bottom"/>
            <w:hideMark/>
          </w:tcPr>
          <w:p w14:paraId="38873FEF" w14:textId="77777777" w:rsidR="00F87E58" w:rsidRPr="002B636D" w:rsidRDefault="00F87E58" w:rsidP="00F87E58">
            <w:pPr>
              <w:pStyle w:val="cuatexto"/>
              <w:jc w:val="right"/>
              <w:rPr>
                <w:sz w:val="14"/>
                <w:szCs w:val="14"/>
              </w:rPr>
            </w:pPr>
            <w:r>
              <w:rPr>
                <w:sz w:val="14"/>
              </w:rPr>
              <w:t xml:space="preserve">1.435.709</w:t>
            </w:r>
          </w:p>
        </w:tc>
        <w:tc>
          <w:tcPr>
            <w:tcW w:w="861" w:type="dxa"/>
            <w:tcBorders>
              <w:top w:val="nil"/>
              <w:left w:val="nil"/>
              <w:bottom w:val="single" w:sz="4" w:space="0" w:color="auto"/>
              <w:right w:val="single" w:sz="2" w:space="0" w:color="auto"/>
            </w:tcBorders>
            <w:shd w:val="clear" w:color="auto" w:fill="auto"/>
            <w:noWrap/>
            <w:vAlign w:val="bottom"/>
            <w:hideMark/>
          </w:tcPr>
          <w:p w14:paraId="37AC978E" w14:textId="77777777" w:rsidR="00F87E58" w:rsidRPr="002B636D" w:rsidRDefault="00F87E58" w:rsidP="00F87E58">
            <w:pPr>
              <w:pStyle w:val="cuatexto"/>
              <w:jc w:val="right"/>
              <w:rPr>
                <w:sz w:val="14"/>
                <w:szCs w:val="14"/>
              </w:rPr>
            </w:pPr>
            <w:r>
              <w:rPr>
                <w:sz w:val="14"/>
              </w:rPr>
              <w:t xml:space="preserve">944.091</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33EF35B" w14:textId="77777777" w:rsidR="00F87E58" w:rsidRPr="002B636D" w:rsidRDefault="00F87E58" w:rsidP="00F87E58">
            <w:pPr>
              <w:pStyle w:val="cuatexto"/>
              <w:jc w:val="right"/>
              <w:rPr>
                <w:sz w:val="14"/>
                <w:szCs w:val="14"/>
              </w:rPr>
            </w:pPr>
            <w:r>
              <w:rPr>
                <w:sz w:val="14"/>
              </w:rPr>
              <w:t xml:space="preserve">9.073.369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10AE2EB"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29B02AC3"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6654910"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6B0DCED" w14:textId="77777777" w:rsidR="00F87E58" w:rsidRPr="002B636D" w:rsidRDefault="00F87E58" w:rsidP="00F87E58">
            <w:pPr>
              <w:pStyle w:val="cuatexto"/>
              <w:jc w:val="right"/>
              <w:rPr>
                <w:b/>
                <w:bCs/>
                <w:sz w:val="14"/>
                <w:szCs w:val="14"/>
              </w:rPr>
            </w:pPr>
            <w:r>
              <w:rPr>
                <w:b/>
                <w:sz w:val="14"/>
              </w:rPr>
              <w:t xml:space="preserve">9.073.369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A186270" w14:textId="77777777" w:rsidR="00F87E58" w:rsidRPr="002B636D" w:rsidRDefault="00F87E58" w:rsidP="00F87E58">
            <w:pPr>
              <w:pStyle w:val="cuatexto"/>
              <w:jc w:val="right"/>
              <w:rPr>
                <w:b/>
                <w:bCs/>
                <w:sz w:val="14"/>
                <w:szCs w:val="14"/>
              </w:rPr>
            </w:pPr>
            <w:r>
              <w:rPr>
                <w:b/>
                <w:sz w:val="14"/>
              </w:rPr>
              <w:t xml:space="preserve">19.170.821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4854391" w14:textId="77777777" w:rsidR="00F87E58" w:rsidRPr="002B636D" w:rsidRDefault="00F87E58" w:rsidP="00F87E58">
            <w:pPr>
              <w:pStyle w:val="cuatexto"/>
              <w:jc w:val="right"/>
              <w:rPr>
                <w:sz w:val="14"/>
                <w:szCs w:val="14"/>
              </w:rPr>
            </w:pPr>
            <w:r>
              <w:rPr>
                <w:sz w:val="14"/>
              </w:rPr>
              <w:t xml:space="preserve">4.300.000</w:t>
            </w:r>
          </w:p>
        </w:tc>
        <w:tc>
          <w:tcPr>
            <w:tcW w:w="1255" w:type="dxa"/>
            <w:tcBorders>
              <w:top w:val="nil"/>
              <w:left w:val="nil"/>
              <w:bottom w:val="single" w:sz="4" w:space="0" w:color="auto"/>
              <w:right w:val="single" w:sz="4" w:space="0" w:color="auto"/>
            </w:tcBorders>
            <w:shd w:val="clear" w:color="auto" w:fill="auto"/>
            <w:noWrap/>
            <w:vAlign w:val="bottom"/>
          </w:tcPr>
          <w:p w14:paraId="377E0C8F" w14:textId="77777777" w:rsidR="00F87E58" w:rsidRPr="002B636D" w:rsidRDefault="00F87E58" w:rsidP="00F87E58">
            <w:pPr>
              <w:pStyle w:val="cuatexto"/>
              <w:jc w:val="right"/>
              <w:rPr>
                <w:sz w:val="14"/>
                <w:szCs w:val="14"/>
              </w:rPr>
            </w:pPr>
            <w:r>
              <w:rPr>
                <w:sz w:val="14"/>
              </w:rPr>
              <w:t xml:space="preserve">4.300.000</w:t>
            </w:r>
          </w:p>
        </w:tc>
        <w:tc>
          <w:tcPr>
            <w:tcW w:w="1395" w:type="dxa"/>
            <w:tcBorders>
              <w:top w:val="nil"/>
              <w:left w:val="nil"/>
              <w:bottom w:val="single" w:sz="4" w:space="0" w:color="auto"/>
            </w:tcBorders>
            <w:shd w:val="clear" w:color="auto" w:fill="auto"/>
            <w:noWrap/>
            <w:vAlign w:val="bottom"/>
          </w:tcPr>
          <w:p w14:paraId="79B49F97" w14:textId="77777777" w:rsidR="00F87E58" w:rsidRPr="002B636D" w:rsidRDefault="00F87E58" w:rsidP="00F87E58">
            <w:pPr>
              <w:pStyle w:val="cuatexto"/>
              <w:jc w:val="right"/>
              <w:rPr>
                <w:sz w:val="14"/>
                <w:szCs w:val="14"/>
              </w:rPr>
            </w:pPr>
            <w:r>
              <w:rPr>
                <w:sz w:val="14"/>
              </w:rPr>
              <w:t xml:space="preserve">14.870.821</w:t>
            </w:r>
          </w:p>
        </w:tc>
      </w:tr>
      <w:tr w:rsidR="00F87E58" w:rsidRPr="002B636D" w14:paraId="0F629720"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7E41EBF" w14:textId="77777777" w:rsidR="00F87E58" w:rsidRPr="002B636D" w:rsidRDefault="00F87E58" w:rsidP="00F87E58">
            <w:pPr>
              <w:pStyle w:val="cuatexto"/>
              <w:jc w:val="left"/>
              <w:rPr>
                <w:sz w:val="14"/>
                <w:szCs w:val="14"/>
              </w:rPr>
            </w:pPr>
            <w:r>
              <w:rPr>
                <w:sz w:val="14"/>
              </w:rPr>
              <w:t xml:space="preserve">2007</w:t>
            </w:r>
          </w:p>
        </w:tc>
        <w:tc>
          <w:tcPr>
            <w:tcW w:w="837" w:type="dxa"/>
            <w:tcBorders>
              <w:top w:val="nil"/>
              <w:left w:val="nil"/>
              <w:bottom w:val="single" w:sz="4" w:space="0" w:color="auto"/>
              <w:right w:val="single" w:sz="4" w:space="0" w:color="auto"/>
            </w:tcBorders>
            <w:shd w:val="clear" w:color="auto" w:fill="auto"/>
            <w:noWrap/>
            <w:vAlign w:val="bottom"/>
            <w:hideMark/>
          </w:tcPr>
          <w:p w14:paraId="157C72EF" w14:textId="77777777" w:rsidR="00F87E58" w:rsidRPr="002B636D" w:rsidRDefault="00F87E58" w:rsidP="00F87E58">
            <w:pPr>
              <w:pStyle w:val="cuatexto"/>
              <w:jc w:val="right"/>
              <w:rPr>
                <w:sz w:val="14"/>
                <w:szCs w:val="14"/>
              </w:rPr>
            </w:pPr>
            <w:r>
              <w:rPr>
                <w:sz w:val="14"/>
              </w:rPr>
              <w:t xml:space="preserve">5.622.327</w:t>
            </w:r>
          </w:p>
        </w:tc>
        <w:tc>
          <w:tcPr>
            <w:tcW w:w="976" w:type="dxa"/>
            <w:tcBorders>
              <w:top w:val="nil"/>
              <w:left w:val="nil"/>
              <w:bottom w:val="single" w:sz="4" w:space="0" w:color="auto"/>
              <w:right w:val="single" w:sz="4" w:space="0" w:color="auto"/>
            </w:tcBorders>
            <w:shd w:val="clear" w:color="auto" w:fill="auto"/>
            <w:noWrap/>
            <w:vAlign w:val="bottom"/>
            <w:hideMark/>
          </w:tcPr>
          <w:p w14:paraId="625203BA" w14:textId="77777777" w:rsidR="00F87E58" w:rsidRPr="002B636D" w:rsidRDefault="00F87E58" w:rsidP="00F87E58">
            <w:pPr>
              <w:pStyle w:val="cuatexto"/>
              <w:jc w:val="right"/>
              <w:rPr>
                <w:sz w:val="14"/>
                <w:szCs w:val="14"/>
              </w:rPr>
            </w:pPr>
            <w:r>
              <w:rPr>
                <w:sz w:val="14"/>
              </w:rPr>
              <w:t xml:space="preserve">1.911.200</w:t>
            </w:r>
          </w:p>
        </w:tc>
        <w:tc>
          <w:tcPr>
            <w:tcW w:w="861" w:type="dxa"/>
            <w:tcBorders>
              <w:top w:val="nil"/>
              <w:left w:val="nil"/>
              <w:bottom w:val="single" w:sz="4" w:space="0" w:color="auto"/>
              <w:right w:val="single" w:sz="2" w:space="0" w:color="auto"/>
            </w:tcBorders>
            <w:shd w:val="clear" w:color="auto" w:fill="auto"/>
            <w:noWrap/>
            <w:vAlign w:val="bottom"/>
            <w:hideMark/>
          </w:tcPr>
          <w:p w14:paraId="7F65ECA7" w14:textId="77777777" w:rsidR="00F87E58" w:rsidRPr="002B636D" w:rsidRDefault="00F87E58" w:rsidP="00F87E58">
            <w:pPr>
              <w:pStyle w:val="cuatexto"/>
              <w:jc w:val="right"/>
              <w:rPr>
                <w:sz w:val="14"/>
                <w:szCs w:val="14"/>
              </w:rPr>
            </w:pPr>
            <w:r>
              <w:rPr>
                <w:sz w:val="14"/>
              </w:rPr>
              <w:t xml:space="preserve">2.101.264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434CD11" w14:textId="77777777" w:rsidR="00F87E58" w:rsidRPr="002B636D" w:rsidRDefault="00F87E58" w:rsidP="00F87E58">
            <w:pPr>
              <w:pStyle w:val="cuatexto"/>
              <w:jc w:val="right"/>
              <w:rPr>
                <w:sz w:val="14"/>
                <w:szCs w:val="14"/>
              </w:rPr>
            </w:pPr>
            <w:r>
              <w:rPr>
                <w:sz w:val="14"/>
              </w:rPr>
              <w:t xml:space="preserve">9.634.792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8ABA52B"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BEC51F6"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4114792"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5F399F6" w14:textId="77777777" w:rsidR="00F87E58" w:rsidRPr="002B636D" w:rsidRDefault="00F87E58" w:rsidP="00F87E58">
            <w:pPr>
              <w:pStyle w:val="cuatexto"/>
              <w:jc w:val="right"/>
              <w:rPr>
                <w:b/>
                <w:bCs/>
                <w:sz w:val="14"/>
                <w:szCs w:val="14"/>
              </w:rPr>
            </w:pPr>
            <w:r>
              <w:rPr>
                <w:b/>
                <w:sz w:val="14"/>
              </w:rPr>
              <w:t xml:space="preserve">9.634.792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6D6637C0" w14:textId="77777777" w:rsidR="00F87E58" w:rsidRPr="002B636D" w:rsidRDefault="00F87E58" w:rsidP="00F87E58">
            <w:pPr>
              <w:pStyle w:val="cuatexto"/>
              <w:jc w:val="right"/>
              <w:rPr>
                <w:b/>
                <w:bCs/>
                <w:sz w:val="14"/>
                <w:szCs w:val="14"/>
              </w:rPr>
            </w:pPr>
            <w:r>
              <w:rPr>
                <w:b/>
                <w:sz w:val="14"/>
              </w:rPr>
              <w:t xml:space="preserve">28.805.613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575A23C" w14:textId="77777777" w:rsidR="00F87E58" w:rsidRPr="002B636D" w:rsidRDefault="00F87E58" w:rsidP="00F87E58">
            <w:pPr>
              <w:pStyle w:val="cuatexto"/>
              <w:jc w:val="right"/>
              <w:rPr>
                <w:sz w:val="14"/>
                <w:szCs w:val="14"/>
              </w:rPr>
            </w:pPr>
            <w:r>
              <w:rPr>
                <w:sz w:val="14"/>
              </w:rPr>
              <w:t xml:space="preserve">4.400.000</w:t>
            </w:r>
          </w:p>
        </w:tc>
        <w:tc>
          <w:tcPr>
            <w:tcW w:w="1255" w:type="dxa"/>
            <w:tcBorders>
              <w:top w:val="nil"/>
              <w:left w:val="nil"/>
              <w:bottom w:val="single" w:sz="4" w:space="0" w:color="auto"/>
              <w:right w:val="single" w:sz="4" w:space="0" w:color="auto"/>
            </w:tcBorders>
            <w:shd w:val="clear" w:color="auto" w:fill="auto"/>
            <w:noWrap/>
            <w:vAlign w:val="bottom"/>
          </w:tcPr>
          <w:p w14:paraId="0CDD976A" w14:textId="77777777" w:rsidR="00F87E58" w:rsidRPr="002B636D" w:rsidRDefault="00F87E58" w:rsidP="00F87E58">
            <w:pPr>
              <w:pStyle w:val="cuatexto"/>
              <w:jc w:val="right"/>
              <w:rPr>
                <w:sz w:val="14"/>
                <w:szCs w:val="14"/>
              </w:rPr>
            </w:pPr>
            <w:r>
              <w:rPr>
                <w:sz w:val="14"/>
              </w:rPr>
              <w:t xml:space="preserve">8.700.000</w:t>
            </w:r>
          </w:p>
        </w:tc>
        <w:tc>
          <w:tcPr>
            <w:tcW w:w="1395" w:type="dxa"/>
            <w:tcBorders>
              <w:top w:val="nil"/>
              <w:left w:val="nil"/>
              <w:bottom w:val="single" w:sz="4" w:space="0" w:color="auto"/>
            </w:tcBorders>
            <w:shd w:val="clear" w:color="auto" w:fill="auto"/>
            <w:noWrap/>
            <w:vAlign w:val="bottom"/>
          </w:tcPr>
          <w:p w14:paraId="2C067927" w14:textId="77777777" w:rsidR="00F87E58" w:rsidRPr="002B636D" w:rsidRDefault="00F87E58" w:rsidP="00F87E58">
            <w:pPr>
              <w:pStyle w:val="cuatexto"/>
              <w:jc w:val="right"/>
              <w:rPr>
                <w:sz w:val="14"/>
                <w:szCs w:val="14"/>
              </w:rPr>
            </w:pPr>
            <w:r>
              <w:rPr>
                <w:sz w:val="14"/>
              </w:rPr>
              <w:t xml:space="preserve">20.105.613</w:t>
            </w:r>
          </w:p>
        </w:tc>
      </w:tr>
      <w:tr w:rsidR="00F87E58" w:rsidRPr="002B636D" w14:paraId="556B6B1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44C64D1" w14:textId="77777777" w:rsidR="00F87E58" w:rsidRPr="002B636D" w:rsidRDefault="00F87E58" w:rsidP="00F87E58">
            <w:pPr>
              <w:pStyle w:val="cuatexto"/>
              <w:jc w:val="left"/>
              <w:rPr>
                <w:sz w:val="14"/>
                <w:szCs w:val="14"/>
              </w:rPr>
            </w:pPr>
            <w:r>
              <w:rPr>
                <w:sz w:val="14"/>
              </w:rPr>
              <w:t xml:space="preserve">2008</w:t>
            </w:r>
          </w:p>
        </w:tc>
        <w:tc>
          <w:tcPr>
            <w:tcW w:w="837" w:type="dxa"/>
            <w:tcBorders>
              <w:top w:val="nil"/>
              <w:left w:val="nil"/>
              <w:bottom w:val="single" w:sz="4" w:space="0" w:color="auto"/>
              <w:right w:val="single" w:sz="4" w:space="0" w:color="auto"/>
            </w:tcBorders>
            <w:shd w:val="clear" w:color="auto" w:fill="auto"/>
            <w:noWrap/>
            <w:vAlign w:val="bottom"/>
            <w:hideMark/>
          </w:tcPr>
          <w:p w14:paraId="11C476A0" w14:textId="77777777" w:rsidR="00F87E58" w:rsidRPr="002B636D" w:rsidRDefault="00F87E58" w:rsidP="00F87E58">
            <w:pPr>
              <w:pStyle w:val="cuatexto"/>
              <w:jc w:val="right"/>
              <w:rPr>
                <w:sz w:val="14"/>
                <w:szCs w:val="14"/>
              </w:rPr>
            </w:pPr>
            <w:r>
              <w:rPr>
                <w:sz w:val="14"/>
              </w:rPr>
              <w:t xml:space="preserve">2.014.009</w:t>
            </w:r>
          </w:p>
        </w:tc>
        <w:tc>
          <w:tcPr>
            <w:tcW w:w="976" w:type="dxa"/>
            <w:tcBorders>
              <w:top w:val="nil"/>
              <w:left w:val="nil"/>
              <w:bottom w:val="single" w:sz="4" w:space="0" w:color="auto"/>
              <w:right w:val="single" w:sz="4" w:space="0" w:color="auto"/>
            </w:tcBorders>
            <w:shd w:val="clear" w:color="auto" w:fill="auto"/>
            <w:noWrap/>
            <w:vAlign w:val="bottom"/>
            <w:hideMark/>
          </w:tcPr>
          <w:p w14:paraId="3907A3A7" w14:textId="77777777" w:rsidR="00F87E58" w:rsidRPr="002B636D" w:rsidRDefault="00F87E58" w:rsidP="00F87E58">
            <w:pPr>
              <w:pStyle w:val="cuatexto"/>
              <w:jc w:val="right"/>
              <w:rPr>
                <w:sz w:val="14"/>
                <w:szCs w:val="14"/>
              </w:rPr>
            </w:pPr>
            <w:r>
              <w:rPr>
                <w:sz w:val="14"/>
              </w:rPr>
              <w:t xml:space="preserve">1.978.433</w:t>
            </w:r>
          </w:p>
        </w:tc>
        <w:tc>
          <w:tcPr>
            <w:tcW w:w="861" w:type="dxa"/>
            <w:tcBorders>
              <w:top w:val="nil"/>
              <w:left w:val="nil"/>
              <w:bottom w:val="single" w:sz="4" w:space="0" w:color="auto"/>
              <w:right w:val="single" w:sz="2" w:space="0" w:color="auto"/>
            </w:tcBorders>
            <w:shd w:val="clear" w:color="auto" w:fill="auto"/>
            <w:noWrap/>
            <w:vAlign w:val="bottom"/>
            <w:hideMark/>
          </w:tcPr>
          <w:p w14:paraId="751E1B1A" w14:textId="77777777" w:rsidR="00F87E58" w:rsidRPr="002B636D" w:rsidRDefault="00F87E58" w:rsidP="00F87E58">
            <w:pPr>
              <w:pStyle w:val="cuatexto"/>
              <w:jc w:val="right"/>
              <w:rPr>
                <w:sz w:val="14"/>
                <w:szCs w:val="14"/>
              </w:rPr>
            </w:pPr>
            <w:r>
              <w:rPr>
                <w:sz w:val="14"/>
              </w:rPr>
              <w:t xml:space="preserve">1.848.127</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F02A1B1" w14:textId="77777777" w:rsidR="00F87E58" w:rsidRPr="002B636D" w:rsidRDefault="00F87E58" w:rsidP="00F87E58">
            <w:pPr>
              <w:pStyle w:val="cuatexto"/>
              <w:jc w:val="right"/>
              <w:rPr>
                <w:sz w:val="14"/>
                <w:szCs w:val="14"/>
              </w:rPr>
            </w:pPr>
            <w:r>
              <w:rPr>
                <w:sz w:val="14"/>
              </w:rPr>
              <w:t xml:space="preserve">5.840.569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301D6D9"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389C0A9D"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5500353"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799C5C45" w14:textId="77777777" w:rsidR="00F87E58" w:rsidRPr="002B636D" w:rsidRDefault="00F87E58" w:rsidP="00F87E58">
            <w:pPr>
              <w:pStyle w:val="cuatexto"/>
              <w:jc w:val="right"/>
              <w:rPr>
                <w:b/>
                <w:bCs/>
                <w:sz w:val="14"/>
                <w:szCs w:val="14"/>
              </w:rPr>
            </w:pPr>
            <w:r>
              <w:rPr>
                <w:b/>
                <w:sz w:val="14"/>
              </w:rPr>
              <w:t xml:space="preserve">5.840.569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E8CAA17" w14:textId="77777777" w:rsidR="00F87E58" w:rsidRPr="002B636D" w:rsidRDefault="00F87E58" w:rsidP="00F87E58">
            <w:pPr>
              <w:pStyle w:val="cuatexto"/>
              <w:jc w:val="right"/>
              <w:rPr>
                <w:b/>
                <w:bCs/>
                <w:sz w:val="14"/>
                <w:szCs w:val="14"/>
              </w:rPr>
            </w:pPr>
            <w:r>
              <w:rPr>
                <w:b/>
                <w:sz w:val="14"/>
              </w:rPr>
              <w:t xml:space="preserve">34.646.181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5662B44" w14:textId="77777777" w:rsidR="00F87E58" w:rsidRPr="002B636D" w:rsidRDefault="00F87E58" w:rsidP="00F87E58">
            <w:pPr>
              <w:pStyle w:val="cuatexto"/>
              <w:jc w:val="right"/>
              <w:rPr>
                <w:sz w:val="14"/>
                <w:szCs w:val="14"/>
              </w:rPr>
            </w:pPr>
            <w:r>
              <w:rPr>
                <w:sz w:val="14"/>
              </w:rPr>
              <w:t xml:space="preserve">4.200.000</w:t>
            </w:r>
          </w:p>
        </w:tc>
        <w:tc>
          <w:tcPr>
            <w:tcW w:w="1255" w:type="dxa"/>
            <w:tcBorders>
              <w:top w:val="nil"/>
              <w:left w:val="nil"/>
              <w:bottom w:val="single" w:sz="4" w:space="0" w:color="auto"/>
              <w:right w:val="single" w:sz="4" w:space="0" w:color="auto"/>
            </w:tcBorders>
            <w:shd w:val="clear" w:color="auto" w:fill="auto"/>
            <w:noWrap/>
            <w:vAlign w:val="bottom"/>
          </w:tcPr>
          <w:p w14:paraId="6B96B3BB" w14:textId="77777777" w:rsidR="00F87E58" w:rsidRPr="002B636D" w:rsidRDefault="00F87E58" w:rsidP="00F87E58">
            <w:pPr>
              <w:pStyle w:val="cuatexto"/>
              <w:jc w:val="right"/>
              <w:rPr>
                <w:sz w:val="14"/>
                <w:szCs w:val="14"/>
              </w:rPr>
            </w:pPr>
            <w:r>
              <w:rPr>
                <w:sz w:val="14"/>
              </w:rPr>
              <w:t xml:space="preserve">12.900.000</w:t>
            </w:r>
          </w:p>
        </w:tc>
        <w:tc>
          <w:tcPr>
            <w:tcW w:w="1395" w:type="dxa"/>
            <w:tcBorders>
              <w:top w:val="nil"/>
              <w:left w:val="nil"/>
              <w:bottom w:val="single" w:sz="4" w:space="0" w:color="auto"/>
            </w:tcBorders>
            <w:shd w:val="clear" w:color="auto" w:fill="auto"/>
            <w:noWrap/>
            <w:vAlign w:val="bottom"/>
          </w:tcPr>
          <w:p w14:paraId="0F79F9A8" w14:textId="77777777" w:rsidR="00F87E58" w:rsidRPr="002B636D" w:rsidRDefault="00F87E58" w:rsidP="00F87E58">
            <w:pPr>
              <w:pStyle w:val="cuatexto"/>
              <w:jc w:val="right"/>
              <w:rPr>
                <w:sz w:val="14"/>
                <w:szCs w:val="14"/>
              </w:rPr>
            </w:pPr>
            <w:r>
              <w:rPr>
                <w:sz w:val="14"/>
              </w:rPr>
              <w:t xml:space="preserve">21.746.181</w:t>
            </w:r>
          </w:p>
        </w:tc>
      </w:tr>
      <w:tr w:rsidR="00F87E58" w:rsidRPr="002B636D" w14:paraId="41FC0457"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4F808A8" w14:textId="77777777" w:rsidR="00F87E58" w:rsidRPr="002B636D" w:rsidRDefault="00F87E58" w:rsidP="00F87E58">
            <w:pPr>
              <w:pStyle w:val="cuatexto"/>
              <w:jc w:val="left"/>
              <w:rPr>
                <w:sz w:val="14"/>
                <w:szCs w:val="14"/>
              </w:rPr>
            </w:pPr>
            <w:r>
              <w:rPr>
                <w:sz w:val="14"/>
              </w:rPr>
              <w:t xml:space="preserve">2009</w:t>
            </w:r>
          </w:p>
        </w:tc>
        <w:tc>
          <w:tcPr>
            <w:tcW w:w="837" w:type="dxa"/>
            <w:tcBorders>
              <w:top w:val="nil"/>
              <w:left w:val="nil"/>
              <w:bottom w:val="single" w:sz="4" w:space="0" w:color="auto"/>
              <w:right w:val="single" w:sz="4" w:space="0" w:color="auto"/>
            </w:tcBorders>
            <w:shd w:val="clear" w:color="auto" w:fill="auto"/>
            <w:noWrap/>
            <w:vAlign w:val="bottom"/>
            <w:hideMark/>
          </w:tcPr>
          <w:p w14:paraId="0A70CA75" w14:textId="77777777" w:rsidR="00F87E58" w:rsidRPr="002B636D" w:rsidRDefault="00F87E58" w:rsidP="00F87E58">
            <w:pPr>
              <w:pStyle w:val="cuatexto"/>
              <w:jc w:val="right"/>
              <w:rPr>
                <w:sz w:val="14"/>
                <w:szCs w:val="14"/>
              </w:rPr>
            </w:pPr>
            <w:r>
              <w:rPr>
                <w:sz w:val="14"/>
              </w:rPr>
              <w:t xml:space="preserve">3.225.475</w:t>
            </w:r>
          </w:p>
        </w:tc>
        <w:tc>
          <w:tcPr>
            <w:tcW w:w="976" w:type="dxa"/>
            <w:tcBorders>
              <w:top w:val="nil"/>
              <w:left w:val="nil"/>
              <w:bottom w:val="single" w:sz="4" w:space="0" w:color="auto"/>
              <w:right w:val="single" w:sz="4" w:space="0" w:color="auto"/>
            </w:tcBorders>
            <w:shd w:val="clear" w:color="auto" w:fill="auto"/>
            <w:noWrap/>
            <w:vAlign w:val="bottom"/>
            <w:hideMark/>
          </w:tcPr>
          <w:p w14:paraId="2413B18A" w14:textId="77777777" w:rsidR="00F87E58" w:rsidRPr="002B636D" w:rsidRDefault="00F87E58" w:rsidP="00F87E58">
            <w:pPr>
              <w:pStyle w:val="cuatexto"/>
              <w:jc w:val="right"/>
              <w:rPr>
                <w:sz w:val="14"/>
                <w:szCs w:val="14"/>
              </w:rPr>
            </w:pPr>
            <w:r>
              <w:rPr>
                <w:sz w:val="14"/>
              </w:rPr>
              <w:t xml:space="preserve">1.766.754</w:t>
            </w:r>
          </w:p>
        </w:tc>
        <w:tc>
          <w:tcPr>
            <w:tcW w:w="861" w:type="dxa"/>
            <w:tcBorders>
              <w:top w:val="nil"/>
              <w:left w:val="nil"/>
              <w:bottom w:val="single" w:sz="4" w:space="0" w:color="auto"/>
              <w:right w:val="single" w:sz="2" w:space="0" w:color="auto"/>
            </w:tcBorders>
            <w:shd w:val="clear" w:color="auto" w:fill="auto"/>
            <w:noWrap/>
            <w:vAlign w:val="bottom"/>
            <w:hideMark/>
          </w:tcPr>
          <w:p w14:paraId="228EB61A" w14:textId="77777777" w:rsidR="00F87E58" w:rsidRPr="002B636D" w:rsidRDefault="00F87E58" w:rsidP="00F87E58">
            <w:pPr>
              <w:pStyle w:val="cuatexto"/>
              <w:jc w:val="right"/>
              <w:rPr>
                <w:sz w:val="14"/>
                <w:szCs w:val="14"/>
              </w:rPr>
            </w:pPr>
            <w:r>
              <w:rPr>
                <w:sz w:val="14"/>
              </w:rPr>
              <w:t xml:space="preserve">986.154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7ECDB69" w14:textId="77777777" w:rsidR="00F87E58" w:rsidRPr="002B636D" w:rsidRDefault="00F87E58" w:rsidP="00F87E58">
            <w:pPr>
              <w:pStyle w:val="cuatexto"/>
              <w:jc w:val="right"/>
              <w:rPr>
                <w:sz w:val="14"/>
                <w:szCs w:val="14"/>
              </w:rPr>
            </w:pPr>
            <w:r>
              <w:rPr>
                <w:sz w:val="14"/>
              </w:rPr>
              <w:t xml:space="preserve">5.978.384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4AA2E6D"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FC3D8EC"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765C0F6"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35A84E25" w14:textId="77777777" w:rsidR="00F87E58" w:rsidRPr="002B636D" w:rsidRDefault="00F87E58" w:rsidP="00F87E58">
            <w:pPr>
              <w:pStyle w:val="cuatexto"/>
              <w:jc w:val="right"/>
              <w:rPr>
                <w:b/>
                <w:bCs/>
                <w:sz w:val="14"/>
                <w:szCs w:val="14"/>
              </w:rPr>
            </w:pPr>
            <w:r>
              <w:rPr>
                <w:b/>
                <w:sz w:val="14"/>
              </w:rPr>
              <w:t xml:space="preserve">5.978.384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14CAC4CD" w14:textId="77777777" w:rsidR="00F87E58" w:rsidRPr="002B636D" w:rsidRDefault="00F87E58" w:rsidP="00F87E58">
            <w:pPr>
              <w:pStyle w:val="cuatexto"/>
              <w:jc w:val="right"/>
              <w:rPr>
                <w:b/>
                <w:bCs/>
                <w:sz w:val="14"/>
                <w:szCs w:val="14"/>
              </w:rPr>
            </w:pPr>
            <w:r>
              <w:rPr>
                <w:b/>
                <w:sz w:val="14"/>
              </w:rPr>
              <w:t xml:space="preserve">40.624.565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1EC9A67" w14:textId="77777777" w:rsidR="00F87E58" w:rsidRPr="002B636D" w:rsidRDefault="00F87E58" w:rsidP="00F87E58">
            <w:pPr>
              <w:pStyle w:val="cuatexto"/>
              <w:jc w:val="right"/>
              <w:rPr>
                <w:sz w:val="14"/>
                <w:szCs w:val="14"/>
              </w:rPr>
            </w:pPr>
            <w:r>
              <w:rPr>
                <w:sz w:val="14"/>
              </w:rPr>
              <w:t xml:space="preserve">3.850.000</w:t>
            </w:r>
          </w:p>
        </w:tc>
        <w:tc>
          <w:tcPr>
            <w:tcW w:w="1255" w:type="dxa"/>
            <w:tcBorders>
              <w:top w:val="nil"/>
              <w:left w:val="nil"/>
              <w:bottom w:val="single" w:sz="4" w:space="0" w:color="auto"/>
              <w:right w:val="single" w:sz="4" w:space="0" w:color="auto"/>
            </w:tcBorders>
            <w:shd w:val="clear" w:color="auto" w:fill="auto"/>
            <w:noWrap/>
            <w:vAlign w:val="bottom"/>
          </w:tcPr>
          <w:p w14:paraId="2CEC4885" w14:textId="77777777" w:rsidR="00F87E58" w:rsidRPr="002B636D" w:rsidRDefault="00F87E58" w:rsidP="00F87E58">
            <w:pPr>
              <w:pStyle w:val="cuatexto"/>
              <w:jc w:val="right"/>
              <w:rPr>
                <w:sz w:val="14"/>
                <w:szCs w:val="14"/>
              </w:rPr>
            </w:pPr>
            <w:r>
              <w:rPr>
                <w:sz w:val="14"/>
              </w:rPr>
              <w:t xml:space="preserve">16.750.000</w:t>
            </w:r>
          </w:p>
        </w:tc>
        <w:tc>
          <w:tcPr>
            <w:tcW w:w="1395" w:type="dxa"/>
            <w:tcBorders>
              <w:top w:val="nil"/>
              <w:left w:val="nil"/>
              <w:bottom w:val="single" w:sz="4" w:space="0" w:color="auto"/>
            </w:tcBorders>
            <w:shd w:val="clear" w:color="auto" w:fill="auto"/>
            <w:noWrap/>
            <w:vAlign w:val="bottom"/>
          </w:tcPr>
          <w:p w14:paraId="7FA6EDC1" w14:textId="77777777" w:rsidR="00F87E58" w:rsidRPr="002B636D" w:rsidRDefault="00F87E58" w:rsidP="00F87E58">
            <w:pPr>
              <w:pStyle w:val="cuatexto"/>
              <w:jc w:val="right"/>
              <w:rPr>
                <w:sz w:val="14"/>
                <w:szCs w:val="14"/>
              </w:rPr>
            </w:pPr>
            <w:r>
              <w:rPr>
                <w:sz w:val="14"/>
              </w:rPr>
              <w:t xml:space="preserve">23.874.565</w:t>
            </w:r>
          </w:p>
        </w:tc>
      </w:tr>
      <w:tr w:rsidR="00F87E58" w:rsidRPr="002B636D" w14:paraId="56FFD88B"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7C3F67ED" w14:textId="77777777" w:rsidR="00F87E58" w:rsidRPr="002B636D" w:rsidRDefault="00F87E58" w:rsidP="00F87E58">
            <w:pPr>
              <w:pStyle w:val="cuatexto"/>
              <w:jc w:val="left"/>
              <w:rPr>
                <w:sz w:val="14"/>
                <w:szCs w:val="14"/>
              </w:rPr>
            </w:pPr>
            <w:r>
              <w:rPr>
                <w:sz w:val="14"/>
              </w:rPr>
              <w:t xml:space="preserve">2010</w:t>
            </w:r>
          </w:p>
        </w:tc>
        <w:tc>
          <w:tcPr>
            <w:tcW w:w="837" w:type="dxa"/>
            <w:tcBorders>
              <w:top w:val="nil"/>
              <w:left w:val="nil"/>
              <w:bottom w:val="single" w:sz="4" w:space="0" w:color="auto"/>
              <w:right w:val="single" w:sz="4" w:space="0" w:color="auto"/>
            </w:tcBorders>
            <w:shd w:val="clear" w:color="auto" w:fill="auto"/>
            <w:noWrap/>
            <w:vAlign w:val="bottom"/>
            <w:hideMark/>
          </w:tcPr>
          <w:p w14:paraId="2782E5A3" w14:textId="77777777" w:rsidR="00F87E58" w:rsidRPr="002B636D" w:rsidRDefault="00F87E58" w:rsidP="00F87E58">
            <w:pPr>
              <w:pStyle w:val="cuatexto"/>
              <w:jc w:val="right"/>
              <w:rPr>
                <w:sz w:val="14"/>
                <w:szCs w:val="14"/>
              </w:rPr>
            </w:pPr>
            <w:r>
              <w:rPr>
                <w:sz w:val="14"/>
              </w:rPr>
              <w:t xml:space="preserve">1.233.136</w:t>
            </w:r>
          </w:p>
        </w:tc>
        <w:tc>
          <w:tcPr>
            <w:tcW w:w="976" w:type="dxa"/>
            <w:tcBorders>
              <w:top w:val="nil"/>
              <w:left w:val="nil"/>
              <w:bottom w:val="single" w:sz="4" w:space="0" w:color="auto"/>
              <w:right w:val="single" w:sz="4" w:space="0" w:color="auto"/>
            </w:tcBorders>
            <w:shd w:val="clear" w:color="auto" w:fill="auto"/>
            <w:noWrap/>
            <w:vAlign w:val="bottom"/>
            <w:hideMark/>
          </w:tcPr>
          <w:p w14:paraId="63B05F7A" w14:textId="77777777" w:rsidR="00F87E58" w:rsidRPr="002B636D" w:rsidRDefault="00F87E58" w:rsidP="00F87E58">
            <w:pPr>
              <w:pStyle w:val="cuatexto"/>
              <w:jc w:val="right"/>
              <w:rPr>
                <w:sz w:val="14"/>
                <w:szCs w:val="14"/>
              </w:rPr>
            </w:pPr>
            <w:r>
              <w:rPr>
                <w:sz w:val="14"/>
              </w:rPr>
              <w:t xml:space="preserve">1.438.889</w:t>
            </w:r>
          </w:p>
        </w:tc>
        <w:tc>
          <w:tcPr>
            <w:tcW w:w="861" w:type="dxa"/>
            <w:tcBorders>
              <w:top w:val="nil"/>
              <w:left w:val="nil"/>
              <w:bottom w:val="single" w:sz="4" w:space="0" w:color="auto"/>
              <w:right w:val="single" w:sz="2" w:space="0" w:color="auto"/>
            </w:tcBorders>
            <w:shd w:val="clear" w:color="auto" w:fill="auto"/>
            <w:noWrap/>
            <w:vAlign w:val="bottom"/>
            <w:hideMark/>
          </w:tcPr>
          <w:p w14:paraId="004BAD2E" w14:textId="77777777" w:rsidR="00F87E58" w:rsidRPr="002B636D" w:rsidRDefault="00F87E58" w:rsidP="00F87E58">
            <w:pPr>
              <w:pStyle w:val="cuatexto"/>
              <w:jc w:val="right"/>
              <w:rPr>
                <w:sz w:val="14"/>
                <w:szCs w:val="14"/>
              </w:rPr>
            </w:pPr>
            <w:r>
              <w:rPr>
                <w:sz w:val="14"/>
              </w:rPr>
              <w:t xml:space="preserve">1.377.558</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23F79BA" w14:textId="77777777" w:rsidR="00F87E58" w:rsidRPr="002B636D" w:rsidRDefault="00F87E58" w:rsidP="00F87E58">
            <w:pPr>
              <w:pStyle w:val="cuatexto"/>
              <w:jc w:val="right"/>
              <w:rPr>
                <w:sz w:val="14"/>
                <w:szCs w:val="14"/>
              </w:rPr>
            </w:pPr>
            <w:r>
              <w:rPr>
                <w:sz w:val="14"/>
              </w:rPr>
              <w:t xml:space="preserve">4.049.582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82DC15F"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5E60117B"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68B8FD3"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31959F5" w14:textId="77777777" w:rsidR="00F87E58" w:rsidRPr="002B636D" w:rsidRDefault="00F87E58" w:rsidP="00F87E58">
            <w:pPr>
              <w:pStyle w:val="cuatexto"/>
              <w:jc w:val="right"/>
              <w:rPr>
                <w:b/>
                <w:bCs/>
                <w:sz w:val="14"/>
                <w:szCs w:val="14"/>
              </w:rPr>
            </w:pPr>
            <w:r>
              <w:rPr>
                <w:b/>
                <w:sz w:val="14"/>
              </w:rPr>
              <w:t xml:space="preserve">4.049.582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0E9CF0B6" w14:textId="77777777" w:rsidR="00F87E58" w:rsidRPr="002B636D" w:rsidRDefault="00F87E58" w:rsidP="00F87E58">
            <w:pPr>
              <w:pStyle w:val="cuatexto"/>
              <w:jc w:val="right"/>
              <w:rPr>
                <w:b/>
                <w:bCs/>
                <w:sz w:val="14"/>
                <w:szCs w:val="14"/>
              </w:rPr>
            </w:pPr>
            <w:r>
              <w:rPr>
                <w:b/>
                <w:sz w:val="14"/>
              </w:rPr>
              <w:t xml:space="preserve">44.674.148</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35CB2E64" w14:textId="77777777" w:rsidR="00F87E58" w:rsidRPr="002B636D" w:rsidRDefault="00F87E58" w:rsidP="00F87E58">
            <w:pPr>
              <w:pStyle w:val="cuatexto"/>
              <w:jc w:val="right"/>
              <w:rPr>
                <w:sz w:val="14"/>
                <w:szCs w:val="14"/>
              </w:rPr>
            </w:pPr>
            <w:r>
              <w:rPr>
                <w:sz w:val="14"/>
              </w:rPr>
              <w:t xml:space="preserve">4.300.000</w:t>
            </w:r>
          </w:p>
        </w:tc>
        <w:tc>
          <w:tcPr>
            <w:tcW w:w="1255" w:type="dxa"/>
            <w:tcBorders>
              <w:top w:val="nil"/>
              <w:left w:val="nil"/>
              <w:bottom w:val="single" w:sz="4" w:space="0" w:color="auto"/>
              <w:right w:val="single" w:sz="4" w:space="0" w:color="auto"/>
            </w:tcBorders>
            <w:shd w:val="clear" w:color="auto" w:fill="auto"/>
            <w:noWrap/>
            <w:vAlign w:val="bottom"/>
          </w:tcPr>
          <w:p w14:paraId="4EBF759D" w14:textId="77777777" w:rsidR="00F87E58" w:rsidRPr="002B636D" w:rsidRDefault="00F87E58" w:rsidP="00F87E58">
            <w:pPr>
              <w:pStyle w:val="cuatexto"/>
              <w:jc w:val="right"/>
              <w:rPr>
                <w:sz w:val="14"/>
                <w:szCs w:val="14"/>
              </w:rPr>
            </w:pPr>
            <w:r>
              <w:rPr>
                <w:sz w:val="14"/>
              </w:rPr>
              <w:t xml:space="preserve">21.050.000</w:t>
            </w:r>
          </w:p>
        </w:tc>
        <w:tc>
          <w:tcPr>
            <w:tcW w:w="1395" w:type="dxa"/>
            <w:tcBorders>
              <w:top w:val="nil"/>
              <w:left w:val="nil"/>
              <w:bottom w:val="single" w:sz="4" w:space="0" w:color="auto"/>
            </w:tcBorders>
            <w:shd w:val="clear" w:color="auto" w:fill="auto"/>
            <w:noWrap/>
            <w:vAlign w:val="bottom"/>
          </w:tcPr>
          <w:p w14:paraId="220FE639" w14:textId="77777777" w:rsidR="00F87E58" w:rsidRPr="002B636D" w:rsidRDefault="00F87E58" w:rsidP="00F87E58">
            <w:pPr>
              <w:pStyle w:val="cuatexto"/>
              <w:jc w:val="right"/>
              <w:rPr>
                <w:sz w:val="14"/>
                <w:szCs w:val="14"/>
              </w:rPr>
            </w:pPr>
            <w:r>
              <w:rPr>
                <w:sz w:val="14"/>
              </w:rPr>
              <w:t xml:space="preserve">23.624.148</w:t>
            </w:r>
          </w:p>
        </w:tc>
      </w:tr>
      <w:tr w:rsidR="00F87E58" w:rsidRPr="002B636D" w14:paraId="5F60096D"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30234369" w14:textId="77777777" w:rsidR="00F87E58" w:rsidRPr="002B636D" w:rsidRDefault="00F87E58" w:rsidP="00F87E58">
            <w:pPr>
              <w:pStyle w:val="cuatexto"/>
              <w:jc w:val="left"/>
              <w:rPr>
                <w:sz w:val="14"/>
                <w:szCs w:val="14"/>
              </w:rPr>
            </w:pPr>
            <w:r>
              <w:rPr>
                <w:sz w:val="14"/>
              </w:rPr>
              <w:t xml:space="preserve">2011</w:t>
            </w:r>
          </w:p>
        </w:tc>
        <w:tc>
          <w:tcPr>
            <w:tcW w:w="837" w:type="dxa"/>
            <w:tcBorders>
              <w:top w:val="nil"/>
              <w:left w:val="nil"/>
              <w:bottom w:val="single" w:sz="4" w:space="0" w:color="auto"/>
              <w:right w:val="single" w:sz="4" w:space="0" w:color="auto"/>
            </w:tcBorders>
            <w:shd w:val="clear" w:color="auto" w:fill="auto"/>
            <w:noWrap/>
            <w:vAlign w:val="bottom"/>
            <w:hideMark/>
          </w:tcPr>
          <w:p w14:paraId="53DDD0BC" w14:textId="77777777" w:rsidR="00F87E58" w:rsidRPr="002B636D" w:rsidRDefault="00F87E58" w:rsidP="00F87E58">
            <w:pPr>
              <w:pStyle w:val="cuatexto"/>
              <w:jc w:val="right"/>
              <w:rPr>
                <w:sz w:val="14"/>
                <w:szCs w:val="14"/>
              </w:rPr>
            </w:pPr>
            <w:r>
              <w:rPr>
                <w:sz w:val="14"/>
              </w:rPr>
              <w:t xml:space="preserve">575.258</w:t>
            </w:r>
          </w:p>
        </w:tc>
        <w:tc>
          <w:tcPr>
            <w:tcW w:w="976" w:type="dxa"/>
            <w:tcBorders>
              <w:top w:val="nil"/>
              <w:left w:val="nil"/>
              <w:bottom w:val="single" w:sz="4" w:space="0" w:color="auto"/>
              <w:right w:val="single" w:sz="4" w:space="0" w:color="auto"/>
            </w:tcBorders>
            <w:shd w:val="clear" w:color="auto" w:fill="auto"/>
            <w:noWrap/>
            <w:vAlign w:val="bottom"/>
            <w:hideMark/>
          </w:tcPr>
          <w:p w14:paraId="7F9DA1F9" w14:textId="77777777" w:rsidR="00F87E58" w:rsidRPr="002B636D" w:rsidRDefault="00F87E58" w:rsidP="00F87E58">
            <w:pPr>
              <w:pStyle w:val="cuatexto"/>
              <w:jc w:val="right"/>
              <w:rPr>
                <w:sz w:val="14"/>
                <w:szCs w:val="14"/>
              </w:rPr>
            </w:pPr>
            <w:r>
              <w:rPr>
                <w:sz w:val="14"/>
              </w:rPr>
              <w:t xml:space="preserve">1.613.186</w:t>
            </w:r>
          </w:p>
        </w:tc>
        <w:tc>
          <w:tcPr>
            <w:tcW w:w="861" w:type="dxa"/>
            <w:tcBorders>
              <w:top w:val="nil"/>
              <w:left w:val="nil"/>
              <w:bottom w:val="single" w:sz="4" w:space="0" w:color="auto"/>
              <w:right w:val="single" w:sz="2" w:space="0" w:color="auto"/>
            </w:tcBorders>
            <w:shd w:val="clear" w:color="auto" w:fill="auto"/>
            <w:noWrap/>
            <w:vAlign w:val="bottom"/>
            <w:hideMark/>
          </w:tcPr>
          <w:p w14:paraId="5D5BB9F4" w14:textId="77777777" w:rsidR="00F87E58" w:rsidRPr="002B636D" w:rsidRDefault="00F87E58" w:rsidP="00F87E58">
            <w:pPr>
              <w:pStyle w:val="cuatexto"/>
              <w:jc w:val="right"/>
              <w:rPr>
                <w:sz w:val="14"/>
                <w:szCs w:val="14"/>
              </w:rPr>
            </w:pPr>
            <w:r>
              <w:rPr>
                <w:sz w:val="14"/>
              </w:rPr>
              <w:t xml:space="preserve">1.811.864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2F9A015" w14:textId="77777777" w:rsidR="00F87E58" w:rsidRPr="002B636D" w:rsidRDefault="00F87E58" w:rsidP="00F87E58">
            <w:pPr>
              <w:pStyle w:val="cuatexto"/>
              <w:jc w:val="right"/>
              <w:rPr>
                <w:sz w:val="14"/>
                <w:szCs w:val="14"/>
              </w:rPr>
            </w:pPr>
            <w:r>
              <w:rPr>
                <w:sz w:val="14"/>
              </w:rPr>
              <w:t xml:space="preserve">4.000.308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D7F0252"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C88E292"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A68F2A0"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730BA12" w14:textId="77777777" w:rsidR="00F87E58" w:rsidRPr="002B636D" w:rsidRDefault="00F87E58" w:rsidP="00F87E58">
            <w:pPr>
              <w:pStyle w:val="cuatexto"/>
              <w:jc w:val="right"/>
              <w:rPr>
                <w:b/>
                <w:bCs/>
                <w:sz w:val="14"/>
                <w:szCs w:val="14"/>
              </w:rPr>
            </w:pPr>
            <w:r>
              <w:rPr>
                <w:b/>
                <w:sz w:val="14"/>
              </w:rPr>
              <w:t xml:space="preserve">4.000.309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35F0520" w14:textId="77777777" w:rsidR="00F87E58" w:rsidRPr="002B636D" w:rsidRDefault="00F87E58" w:rsidP="00F87E58">
            <w:pPr>
              <w:pStyle w:val="cuatexto"/>
              <w:jc w:val="right"/>
              <w:rPr>
                <w:b/>
                <w:bCs/>
                <w:sz w:val="14"/>
                <w:szCs w:val="14"/>
              </w:rPr>
            </w:pPr>
            <w:r>
              <w:rPr>
                <w:b/>
                <w:sz w:val="14"/>
              </w:rPr>
              <w:t xml:space="preserve">48.674.456</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1F548C7F" w14:textId="77777777" w:rsidR="00F87E58" w:rsidRPr="002B636D" w:rsidRDefault="00F87E58" w:rsidP="00F87E58">
            <w:pPr>
              <w:pStyle w:val="cuatexto"/>
              <w:jc w:val="right"/>
              <w:rPr>
                <w:sz w:val="14"/>
                <w:szCs w:val="14"/>
              </w:rPr>
            </w:pPr>
            <w:r>
              <w:rPr>
                <w:sz w:val="14"/>
              </w:rPr>
              <w:t xml:space="preserve">4.325.000</w:t>
            </w:r>
          </w:p>
        </w:tc>
        <w:tc>
          <w:tcPr>
            <w:tcW w:w="1255" w:type="dxa"/>
            <w:tcBorders>
              <w:top w:val="nil"/>
              <w:left w:val="nil"/>
              <w:bottom w:val="single" w:sz="4" w:space="0" w:color="auto"/>
              <w:right w:val="single" w:sz="4" w:space="0" w:color="auto"/>
            </w:tcBorders>
            <w:shd w:val="clear" w:color="auto" w:fill="auto"/>
            <w:noWrap/>
            <w:vAlign w:val="bottom"/>
          </w:tcPr>
          <w:p w14:paraId="099E9EF6" w14:textId="77777777" w:rsidR="00F87E58" w:rsidRPr="002B636D" w:rsidRDefault="00F87E58" w:rsidP="00F87E58">
            <w:pPr>
              <w:pStyle w:val="cuatexto"/>
              <w:jc w:val="right"/>
              <w:rPr>
                <w:sz w:val="14"/>
                <w:szCs w:val="14"/>
              </w:rPr>
            </w:pPr>
            <w:r>
              <w:rPr>
                <w:sz w:val="14"/>
              </w:rPr>
              <w:t xml:space="preserve">25.375.000</w:t>
            </w:r>
          </w:p>
        </w:tc>
        <w:tc>
          <w:tcPr>
            <w:tcW w:w="1395" w:type="dxa"/>
            <w:tcBorders>
              <w:top w:val="nil"/>
              <w:left w:val="nil"/>
              <w:bottom w:val="single" w:sz="4" w:space="0" w:color="auto"/>
            </w:tcBorders>
            <w:shd w:val="clear" w:color="auto" w:fill="auto"/>
            <w:noWrap/>
            <w:vAlign w:val="bottom"/>
          </w:tcPr>
          <w:p w14:paraId="2544E709" w14:textId="77777777" w:rsidR="00F87E58" w:rsidRPr="002B636D" w:rsidRDefault="00F87E58" w:rsidP="00F87E58">
            <w:pPr>
              <w:pStyle w:val="cuatexto"/>
              <w:jc w:val="right"/>
              <w:rPr>
                <w:sz w:val="14"/>
                <w:szCs w:val="14"/>
              </w:rPr>
            </w:pPr>
            <w:r>
              <w:rPr>
                <w:sz w:val="14"/>
              </w:rPr>
              <w:t xml:space="preserve">23.299.456</w:t>
            </w:r>
          </w:p>
        </w:tc>
      </w:tr>
      <w:tr w:rsidR="00F87E58" w:rsidRPr="002B636D" w14:paraId="134B43EC"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02568D8B" w14:textId="77777777" w:rsidR="00F87E58" w:rsidRPr="002B636D" w:rsidRDefault="00F87E58" w:rsidP="00F87E58">
            <w:pPr>
              <w:pStyle w:val="cuatexto"/>
              <w:jc w:val="left"/>
              <w:rPr>
                <w:sz w:val="14"/>
                <w:szCs w:val="14"/>
              </w:rPr>
            </w:pPr>
            <w:r>
              <w:rPr>
                <w:sz w:val="14"/>
              </w:rPr>
              <w:t xml:space="preserve">2012</w:t>
            </w:r>
          </w:p>
        </w:tc>
        <w:tc>
          <w:tcPr>
            <w:tcW w:w="837" w:type="dxa"/>
            <w:tcBorders>
              <w:top w:val="nil"/>
              <w:left w:val="nil"/>
              <w:bottom w:val="single" w:sz="4" w:space="0" w:color="auto"/>
              <w:right w:val="single" w:sz="4" w:space="0" w:color="auto"/>
            </w:tcBorders>
            <w:shd w:val="clear" w:color="auto" w:fill="auto"/>
            <w:noWrap/>
            <w:vAlign w:val="bottom"/>
            <w:hideMark/>
          </w:tcPr>
          <w:p w14:paraId="4D80B309" w14:textId="77777777" w:rsidR="00F87E58" w:rsidRPr="002B636D" w:rsidRDefault="00F87E58" w:rsidP="00F87E58">
            <w:pPr>
              <w:pStyle w:val="cuatexto"/>
              <w:jc w:val="right"/>
              <w:rPr>
                <w:sz w:val="14"/>
                <w:szCs w:val="14"/>
              </w:rPr>
            </w:pPr>
            <w:r>
              <w:rPr>
                <w:sz w:val="14"/>
              </w:rPr>
              <w:t xml:space="preserve">196.512</w:t>
            </w:r>
          </w:p>
        </w:tc>
        <w:tc>
          <w:tcPr>
            <w:tcW w:w="976" w:type="dxa"/>
            <w:tcBorders>
              <w:top w:val="nil"/>
              <w:left w:val="nil"/>
              <w:bottom w:val="single" w:sz="4" w:space="0" w:color="auto"/>
              <w:right w:val="single" w:sz="4" w:space="0" w:color="auto"/>
            </w:tcBorders>
            <w:shd w:val="clear" w:color="auto" w:fill="auto"/>
            <w:noWrap/>
            <w:vAlign w:val="bottom"/>
            <w:hideMark/>
          </w:tcPr>
          <w:p w14:paraId="5D613A2F" w14:textId="77777777" w:rsidR="00F87E58" w:rsidRPr="002B636D" w:rsidRDefault="00F87E58" w:rsidP="00F87E58">
            <w:pPr>
              <w:pStyle w:val="cuatexto"/>
              <w:jc w:val="right"/>
              <w:rPr>
                <w:sz w:val="14"/>
                <w:szCs w:val="14"/>
              </w:rPr>
            </w:pPr>
            <w:r>
              <w:rPr>
                <w:sz w:val="14"/>
              </w:rPr>
              <w:t xml:space="preserve">1.571.234</w:t>
            </w:r>
          </w:p>
        </w:tc>
        <w:tc>
          <w:tcPr>
            <w:tcW w:w="861" w:type="dxa"/>
            <w:tcBorders>
              <w:top w:val="nil"/>
              <w:left w:val="nil"/>
              <w:bottom w:val="single" w:sz="4" w:space="0" w:color="auto"/>
              <w:right w:val="single" w:sz="2" w:space="0" w:color="auto"/>
            </w:tcBorders>
            <w:shd w:val="clear" w:color="auto" w:fill="auto"/>
            <w:noWrap/>
            <w:vAlign w:val="bottom"/>
            <w:hideMark/>
          </w:tcPr>
          <w:p w14:paraId="76020CB7" w14:textId="77777777" w:rsidR="00F87E58" w:rsidRPr="002B636D" w:rsidRDefault="00F87E58" w:rsidP="00F87E58">
            <w:pPr>
              <w:pStyle w:val="cuatexto"/>
              <w:jc w:val="right"/>
              <w:rPr>
                <w:sz w:val="14"/>
                <w:szCs w:val="14"/>
              </w:rPr>
            </w:pPr>
            <w:r>
              <w:rPr>
                <w:sz w:val="14"/>
              </w:rPr>
              <w:t xml:space="preserve">1.568.540</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7AEBB0C" w14:textId="77777777" w:rsidR="00F87E58" w:rsidRPr="002B636D" w:rsidRDefault="00F87E58" w:rsidP="00F87E58">
            <w:pPr>
              <w:pStyle w:val="cuatexto"/>
              <w:jc w:val="right"/>
              <w:rPr>
                <w:sz w:val="14"/>
                <w:szCs w:val="14"/>
              </w:rPr>
            </w:pPr>
            <w:r>
              <w:rPr>
                <w:sz w:val="14"/>
              </w:rPr>
              <w:t xml:space="preserve">3.336.286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54A8ADC"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7BDE90B"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BA24401"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B17C19E" w14:textId="77777777" w:rsidR="00F87E58" w:rsidRPr="002B636D" w:rsidRDefault="00F87E58" w:rsidP="00F87E58">
            <w:pPr>
              <w:pStyle w:val="cuatexto"/>
              <w:jc w:val="right"/>
              <w:rPr>
                <w:b/>
                <w:bCs/>
                <w:sz w:val="14"/>
                <w:szCs w:val="14"/>
              </w:rPr>
            </w:pPr>
            <w:r>
              <w:rPr>
                <w:b/>
                <w:sz w:val="14"/>
              </w:rPr>
              <w:t xml:space="preserve">3.336.286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96B898F" w14:textId="77777777" w:rsidR="00F87E58" w:rsidRPr="002B636D" w:rsidRDefault="00F87E58" w:rsidP="00F87E58">
            <w:pPr>
              <w:pStyle w:val="cuatexto"/>
              <w:jc w:val="right"/>
              <w:rPr>
                <w:b/>
                <w:bCs/>
                <w:sz w:val="14"/>
                <w:szCs w:val="14"/>
              </w:rPr>
            </w:pPr>
            <w:r>
              <w:rPr>
                <w:b/>
                <w:sz w:val="14"/>
              </w:rPr>
              <w:t xml:space="preserve">52.010.742</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2D8937E0" w14:textId="77777777" w:rsidR="00F87E58" w:rsidRPr="002B636D" w:rsidRDefault="00F87E58" w:rsidP="00F87E58">
            <w:pPr>
              <w:pStyle w:val="cuatexto"/>
              <w:jc w:val="right"/>
              <w:rPr>
                <w:sz w:val="14"/>
                <w:szCs w:val="14"/>
              </w:rPr>
            </w:pPr>
            <w:r>
              <w:rPr>
                <w:sz w:val="14"/>
              </w:rPr>
              <w:t xml:space="preserve">4.050.000</w:t>
            </w:r>
          </w:p>
        </w:tc>
        <w:tc>
          <w:tcPr>
            <w:tcW w:w="1255" w:type="dxa"/>
            <w:tcBorders>
              <w:top w:val="nil"/>
              <w:left w:val="nil"/>
              <w:bottom w:val="single" w:sz="4" w:space="0" w:color="auto"/>
              <w:right w:val="single" w:sz="4" w:space="0" w:color="auto"/>
            </w:tcBorders>
            <w:shd w:val="clear" w:color="auto" w:fill="auto"/>
            <w:noWrap/>
            <w:vAlign w:val="bottom"/>
          </w:tcPr>
          <w:p w14:paraId="043148D9" w14:textId="77777777" w:rsidR="00F87E58" w:rsidRPr="002B636D" w:rsidRDefault="00F87E58" w:rsidP="00F87E58">
            <w:pPr>
              <w:pStyle w:val="cuatexto"/>
              <w:jc w:val="right"/>
              <w:rPr>
                <w:sz w:val="14"/>
                <w:szCs w:val="14"/>
              </w:rPr>
            </w:pPr>
            <w:r>
              <w:rPr>
                <w:sz w:val="14"/>
              </w:rPr>
              <w:t xml:space="preserve">29.425.000</w:t>
            </w:r>
          </w:p>
        </w:tc>
        <w:tc>
          <w:tcPr>
            <w:tcW w:w="1395" w:type="dxa"/>
            <w:tcBorders>
              <w:top w:val="nil"/>
              <w:left w:val="nil"/>
              <w:bottom w:val="single" w:sz="4" w:space="0" w:color="auto"/>
            </w:tcBorders>
            <w:shd w:val="clear" w:color="auto" w:fill="auto"/>
            <w:noWrap/>
            <w:vAlign w:val="bottom"/>
          </w:tcPr>
          <w:p w14:paraId="71C45058" w14:textId="77777777" w:rsidR="00F87E58" w:rsidRPr="002B636D" w:rsidRDefault="00F87E58" w:rsidP="00F87E58">
            <w:pPr>
              <w:pStyle w:val="cuatexto"/>
              <w:jc w:val="right"/>
              <w:rPr>
                <w:sz w:val="14"/>
                <w:szCs w:val="14"/>
              </w:rPr>
            </w:pPr>
            <w:r>
              <w:rPr>
                <w:sz w:val="14"/>
              </w:rPr>
              <w:t xml:space="preserve">22.585.742</w:t>
            </w:r>
          </w:p>
        </w:tc>
      </w:tr>
      <w:tr w:rsidR="00F87E58" w:rsidRPr="002B636D" w14:paraId="679EC234"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9796344" w14:textId="77777777" w:rsidR="00F87E58" w:rsidRPr="002B636D" w:rsidRDefault="00F87E58" w:rsidP="00F87E58">
            <w:pPr>
              <w:pStyle w:val="cuatexto"/>
              <w:jc w:val="left"/>
              <w:rPr>
                <w:sz w:val="14"/>
                <w:szCs w:val="14"/>
              </w:rPr>
            </w:pPr>
            <w:r>
              <w:rPr>
                <w:sz w:val="14"/>
              </w:rPr>
              <w:t xml:space="preserve">2013</w:t>
            </w:r>
          </w:p>
        </w:tc>
        <w:tc>
          <w:tcPr>
            <w:tcW w:w="837" w:type="dxa"/>
            <w:tcBorders>
              <w:top w:val="nil"/>
              <w:left w:val="nil"/>
              <w:bottom w:val="single" w:sz="4" w:space="0" w:color="auto"/>
              <w:right w:val="single" w:sz="4" w:space="0" w:color="auto"/>
            </w:tcBorders>
            <w:shd w:val="clear" w:color="auto" w:fill="auto"/>
            <w:noWrap/>
            <w:vAlign w:val="bottom"/>
            <w:hideMark/>
          </w:tcPr>
          <w:p w14:paraId="50E1F9D3" w14:textId="77777777" w:rsidR="00F87E58" w:rsidRPr="002B636D" w:rsidRDefault="00F87E58" w:rsidP="00F87E58">
            <w:pPr>
              <w:pStyle w:val="cuatexto"/>
              <w:jc w:val="right"/>
              <w:rPr>
                <w:sz w:val="14"/>
                <w:szCs w:val="14"/>
              </w:rPr>
            </w:pPr>
            <w:r>
              <w:rPr>
                <w:sz w:val="14"/>
              </w:rPr>
              <w:t xml:space="preserve">186.618</w:t>
            </w:r>
          </w:p>
        </w:tc>
        <w:tc>
          <w:tcPr>
            <w:tcW w:w="976" w:type="dxa"/>
            <w:tcBorders>
              <w:top w:val="nil"/>
              <w:left w:val="nil"/>
              <w:bottom w:val="single" w:sz="4" w:space="0" w:color="auto"/>
              <w:right w:val="single" w:sz="4" w:space="0" w:color="auto"/>
            </w:tcBorders>
            <w:shd w:val="clear" w:color="auto" w:fill="auto"/>
            <w:noWrap/>
            <w:vAlign w:val="bottom"/>
            <w:hideMark/>
          </w:tcPr>
          <w:p w14:paraId="0839F07E" w14:textId="77777777" w:rsidR="00F87E58" w:rsidRPr="002B636D" w:rsidRDefault="00F87E58" w:rsidP="00F87E58">
            <w:pPr>
              <w:pStyle w:val="cuatexto"/>
              <w:jc w:val="right"/>
              <w:rPr>
                <w:sz w:val="14"/>
                <w:szCs w:val="14"/>
              </w:rPr>
            </w:pPr>
            <w:r>
              <w:rPr>
                <w:sz w:val="14"/>
              </w:rPr>
              <w:t xml:space="preserve">1.525.145</w:t>
            </w:r>
          </w:p>
        </w:tc>
        <w:tc>
          <w:tcPr>
            <w:tcW w:w="861" w:type="dxa"/>
            <w:tcBorders>
              <w:top w:val="nil"/>
              <w:left w:val="nil"/>
              <w:bottom w:val="single" w:sz="4" w:space="0" w:color="auto"/>
              <w:right w:val="single" w:sz="2" w:space="0" w:color="auto"/>
            </w:tcBorders>
            <w:shd w:val="clear" w:color="auto" w:fill="auto"/>
            <w:noWrap/>
            <w:vAlign w:val="bottom"/>
            <w:hideMark/>
          </w:tcPr>
          <w:p w14:paraId="31CBC746" w14:textId="77777777" w:rsidR="00F87E58" w:rsidRPr="002B636D" w:rsidRDefault="00F87E58" w:rsidP="00F87E58">
            <w:pPr>
              <w:pStyle w:val="cuatexto"/>
              <w:jc w:val="right"/>
              <w:rPr>
                <w:sz w:val="14"/>
                <w:szCs w:val="14"/>
              </w:rPr>
            </w:pPr>
            <w:r>
              <w:rPr>
                <w:sz w:val="14"/>
              </w:rPr>
              <w:t xml:space="preserve">1.704.645</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1A8966D" w14:textId="77777777" w:rsidR="00F87E58" w:rsidRPr="002B636D" w:rsidRDefault="00F87E58" w:rsidP="00F87E58">
            <w:pPr>
              <w:pStyle w:val="cuatexto"/>
              <w:jc w:val="right"/>
              <w:rPr>
                <w:sz w:val="14"/>
                <w:szCs w:val="14"/>
              </w:rPr>
            </w:pPr>
            <w:r>
              <w:rPr>
                <w:sz w:val="14"/>
              </w:rPr>
              <w:t xml:space="preserve">3.416.408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9FD72B"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E0E8B53"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F03CEFC"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0287FAD" w14:textId="77777777" w:rsidR="00F87E58" w:rsidRPr="002B636D" w:rsidRDefault="00F87E58" w:rsidP="00F87E58">
            <w:pPr>
              <w:pStyle w:val="cuatexto"/>
              <w:jc w:val="right"/>
              <w:rPr>
                <w:b/>
                <w:bCs/>
                <w:sz w:val="14"/>
                <w:szCs w:val="14"/>
              </w:rPr>
            </w:pPr>
            <w:r>
              <w:rPr>
                <w:b/>
                <w:sz w:val="14"/>
              </w:rPr>
              <w:t xml:space="preserve">3.416.408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CB6D96D" w14:textId="77777777" w:rsidR="00F87E58" w:rsidRPr="002B636D" w:rsidRDefault="00F87E58" w:rsidP="00F87E58">
            <w:pPr>
              <w:pStyle w:val="cuatexto"/>
              <w:jc w:val="right"/>
              <w:rPr>
                <w:b/>
                <w:bCs/>
                <w:sz w:val="14"/>
                <w:szCs w:val="14"/>
              </w:rPr>
            </w:pPr>
            <w:r>
              <w:rPr>
                <w:b/>
                <w:sz w:val="14"/>
              </w:rPr>
              <w:t xml:space="preserve">55.427.151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DC012AD" w14:textId="77777777" w:rsidR="00F87E58" w:rsidRPr="002B636D" w:rsidRDefault="00F87E58" w:rsidP="00F87E58">
            <w:pPr>
              <w:pStyle w:val="cuatexto"/>
              <w:jc w:val="right"/>
              <w:rPr>
                <w:sz w:val="14"/>
                <w:szCs w:val="14"/>
              </w:rPr>
            </w:pPr>
            <w:r>
              <w:rPr>
                <w:sz w:val="14"/>
              </w:rPr>
              <w:t xml:space="preserve">3.850.000</w:t>
            </w:r>
          </w:p>
        </w:tc>
        <w:tc>
          <w:tcPr>
            <w:tcW w:w="1255" w:type="dxa"/>
            <w:tcBorders>
              <w:top w:val="nil"/>
              <w:left w:val="nil"/>
              <w:bottom w:val="single" w:sz="4" w:space="0" w:color="auto"/>
              <w:right w:val="single" w:sz="4" w:space="0" w:color="auto"/>
            </w:tcBorders>
            <w:shd w:val="clear" w:color="auto" w:fill="auto"/>
            <w:noWrap/>
            <w:vAlign w:val="bottom"/>
          </w:tcPr>
          <w:p w14:paraId="1C9935DD" w14:textId="77777777" w:rsidR="00F87E58" w:rsidRPr="002B636D" w:rsidRDefault="00F87E58" w:rsidP="00F87E58">
            <w:pPr>
              <w:pStyle w:val="cuatexto"/>
              <w:jc w:val="right"/>
              <w:rPr>
                <w:sz w:val="14"/>
                <w:szCs w:val="14"/>
              </w:rPr>
            </w:pPr>
            <w:r>
              <w:rPr>
                <w:sz w:val="14"/>
              </w:rPr>
              <w:t xml:space="preserve">33.275.000</w:t>
            </w:r>
          </w:p>
        </w:tc>
        <w:tc>
          <w:tcPr>
            <w:tcW w:w="1395" w:type="dxa"/>
            <w:tcBorders>
              <w:top w:val="nil"/>
              <w:left w:val="nil"/>
              <w:bottom w:val="single" w:sz="4" w:space="0" w:color="auto"/>
            </w:tcBorders>
            <w:shd w:val="clear" w:color="auto" w:fill="auto"/>
            <w:noWrap/>
            <w:vAlign w:val="bottom"/>
          </w:tcPr>
          <w:p w14:paraId="3CB42FE9" w14:textId="77777777" w:rsidR="00F87E58" w:rsidRPr="002B636D" w:rsidRDefault="00F87E58" w:rsidP="00F87E58">
            <w:pPr>
              <w:pStyle w:val="cuatexto"/>
              <w:jc w:val="right"/>
              <w:rPr>
                <w:sz w:val="14"/>
                <w:szCs w:val="14"/>
              </w:rPr>
            </w:pPr>
            <w:r>
              <w:rPr>
                <w:sz w:val="14"/>
              </w:rPr>
              <w:t xml:space="preserve">22.152.151</w:t>
            </w:r>
          </w:p>
        </w:tc>
      </w:tr>
      <w:tr w:rsidR="00F87E58" w:rsidRPr="002B636D" w14:paraId="5104D34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08D2672" w14:textId="77777777" w:rsidR="00F87E58" w:rsidRPr="002B636D" w:rsidRDefault="00F87E58" w:rsidP="00F87E58">
            <w:pPr>
              <w:pStyle w:val="cuatexto"/>
              <w:jc w:val="left"/>
              <w:rPr>
                <w:sz w:val="14"/>
                <w:szCs w:val="14"/>
              </w:rPr>
            </w:pPr>
            <w:r>
              <w:rPr>
                <w:sz w:val="14"/>
              </w:rPr>
              <w:t xml:space="preserve">2014</w:t>
            </w:r>
          </w:p>
        </w:tc>
        <w:tc>
          <w:tcPr>
            <w:tcW w:w="837" w:type="dxa"/>
            <w:tcBorders>
              <w:top w:val="nil"/>
              <w:left w:val="nil"/>
              <w:bottom w:val="single" w:sz="4" w:space="0" w:color="auto"/>
              <w:right w:val="single" w:sz="4" w:space="0" w:color="auto"/>
            </w:tcBorders>
            <w:shd w:val="clear" w:color="auto" w:fill="auto"/>
            <w:noWrap/>
            <w:vAlign w:val="bottom"/>
            <w:hideMark/>
          </w:tcPr>
          <w:p w14:paraId="5208D049" w14:textId="77777777" w:rsidR="00F87E58" w:rsidRPr="002B636D" w:rsidRDefault="00F87E58" w:rsidP="00F87E58">
            <w:pPr>
              <w:pStyle w:val="cuatexto"/>
              <w:jc w:val="right"/>
              <w:rPr>
                <w:sz w:val="14"/>
                <w:szCs w:val="14"/>
              </w:rPr>
            </w:pPr>
            <w:r>
              <w:rPr>
                <w:sz w:val="14"/>
              </w:rPr>
              <w:t xml:space="preserve">505.583</w:t>
            </w:r>
          </w:p>
        </w:tc>
        <w:tc>
          <w:tcPr>
            <w:tcW w:w="976" w:type="dxa"/>
            <w:tcBorders>
              <w:top w:val="nil"/>
              <w:left w:val="nil"/>
              <w:bottom w:val="single" w:sz="4" w:space="0" w:color="auto"/>
              <w:right w:val="single" w:sz="4" w:space="0" w:color="auto"/>
            </w:tcBorders>
            <w:shd w:val="clear" w:color="auto" w:fill="auto"/>
            <w:noWrap/>
            <w:vAlign w:val="bottom"/>
            <w:hideMark/>
          </w:tcPr>
          <w:p w14:paraId="372B5770" w14:textId="77777777" w:rsidR="00F87E58" w:rsidRPr="002B636D" w:rsidRDefault="00F87E58" w:rsidP="00F87E58">
            <w:pPr>
              <w:pStyle w:val="cuatexto"/>
              <w:jc w:val="right"/>
              <w:rPr>
                <w:sz w:val="14"/>
                <w:szCs w:val="14"/>
              </w:rPr>
            </w:pPr>
            <w:r>
              <w:rPr>
                <w:sz w:val="14"/>
              </w:rPr>
              <w:t xml:space="preserve">432.995</w:t>
            </w:r>
          </w:p>
        </w:tc>
        <w:tc>
          <w:tcPr>
            <w:tcW w:w="861" w:type="dxa"/>
            <w:tcBorders>
              <w:top w:val="nil"/>
              <w:left w:val="nil"/>
              <w:bottom w:val="single" w:sz="4" w:space="0" w:color="auto"/>
              <w:right w:val="single" w:sz="2" w:space="0" w:color="auto"/>
            </w:tcBorders>
            <w:shd w:val="clear" w:color="auto" w:fill="auto"/>
            <w:noWrap/>
            <w:vAlign w:val="bottom"/>
            <w:hideMark/>
          </w:tcPr>
          <w:p w14:paraId="14C63224" w14:textId="77777777" w:rsidR="00F87E58" w:rsidRPr="002B636D" w:rsidRDefault="00F87E58" w:rsidP="00F87E58">
            <w:pPr>
              <w:pStyle w:val="cuatexto"/>
              <w:jc w:val="right"/>
              <w:rPr>
                <w:sz w:val="14"/>
                <w:szCs w:val="14"/>
              </w:rPr>
            </w:pPr>
            <w:r>
              <w:rPr>
                <w:sz w:val="14"/>
              </w:rPr>
              <w:t xml:space="preserve">1.119.516</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27E4960" w14:textId="77777777" w:rsidR="00F87E58" w:rsidRPr="002B636D" w:rsidRDefault="00F87E58" w:rsidP="00F87E58">
            <w:pPr>
              <w:pStyle w:val="cuatexto"/>
              <w:jc w:val="right"/>
              <w:rPr>
                <w:sz w:val="14"/>
                <w:szCs w:val="14"/>
              </w:rPr>
            </w:pPr>
            <w:r>
              <w:rPr>
                <w:sz w:val="14"/>
              </w:rPr>
              <w:t xml:space="preserve">2.058.094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1D1A77E"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3313486B"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CDFAD4"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4A1C5535" w14:textId="77777777" w:rsidR="00F87E58" w:rsidRPr="002B636D" w:rsidRDefault="00F87E58" w:rsidP="00F87E58">
            <w:pPr>
              <w:pStyle w:val="cuatexto"/>
              <w:jc w:val="right"/>
              <w:rPr>
                <w:b/>
                <w:bCs/>
                <w:sz w:val="14"/>
                <w:szCs w:val="14"/>
              </w:rPr>
            </w:pPr>
            <w:r>
              <w:rPr>
                <w:b/>
                <w:sz w:val="14"/>
              </w:rPr>
              <w:t xml:space="preserve">1.758.095</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3BFDA2F4" w14:textId="77777777" w:rsidR="00F87E58" w:rsidRPr="002B636D" w:rsidRDefault="00F87E58" w:rsidP="00F87E58">
            <w:pPr>
              <w:pStyle w:val="cuatexto"/>
              <w:jc w:val="right"/>
              <w:rPr>
                <w:b/>
                <w:bCs/>
                <w:sz w:val="14"/>
                <w:szCs w:val="14"/>
              </w:rPr>
            </w:pPr>
            <w:r>
              <w:rPr>
                <w:b/>
                <w:sz w:val="14"/>
              </w:rPr>
              <w:t xml:space="preserve">57.185.245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C61362C" w14:textId="77777777" w:rsidR="00F87E58" w:rsidRPr="002B636D" w:rsidRDefault="00F87E58" w:rsidP="00F87E58">
            <w:pPr>
              <w:pStyle w:val="cuatexto"/>
              <w:jc w:val="right"/>
              <w:rPr>
                <w:sz w:val="14"/>
                <w:szCs w:val="14"/>
              </w:rPr>
            </w:pPr>
            <w:r>
              <w:rPr>
                <w:sz w:val="14"/>
              </w:rPr>
              <w:t xml:space="preserve">2.900.000</w:t>
            </w:r>
          </w:p>
        </w:tc>
        <w:tc>
          <w:tcPr>
            <w:tcW w:w="1255" w:type="dxa"/>
            <w:tcBorders>
              <w:top w:val="nil"/>
              <w:left w:val="nil"/>
              <w:bottom w:val="single" w:sz="4" w:space="0" w:color="auto"/>
              <w:right w:val="single" w:sz="4" w:space="0" w:color="auto"/>
            </w:tcBorders>
            <w:shd w:val="clear" w:color="auto" w:fill="auto"/>
            <w:noWrap/>
            <w:vAlign w:val="bottom"/>
          </w:tcPr>
          <w:p w14:paraId="0867ED0F" w14:textId="77777777" w:rsidR="00F87E58" w:rsidRPr="002B636D" w:rsidRDefault="00F87E58" w:rsidP="00F87E58">
            <w:pPr>
              <w:pStyle w:val="cuatexto"/>
              <w:jc w:val="right"/>
              <w:rPr>
                <w:sz w:val="14"/>
                <w:szCs w:val="14"/>
              </w:rPr>
            </w:pPr>
            <w:r>
              <w:rPr>
                <w:sz w:val="14"/>
              </w:rPr>
              <w:t xml:space="preserve">36.175.000</w:t>
            </w:r>
          </w:p>
        </w:tc>
        <w:tc>
          <w:tcPr>
            <w:tcW w:w="1395" w:type="dxa"/>
            <w:tcBorders>
              <w:top w:val="nil"/>
              <w:left w:val="nil"/>
              <w:bottom w:val="single" w:sz="4" w:space="0" w:color="auto"/>
            </w:tcBorders>
            <w:shd w:val="clear" w:color="auto" w:fill="auto"/>
            <w:noWrap/>
            <w:vAlign w:val="bottom"/>
          </w:tcPr>
          <w:p w14:paraId="15FE1F56" w14:textId="77777777" w:rsidR="00F87E58" w:rsidRPr="002B636D" w:rsidRDefault="00F87E58" w:rsidP="00F87E58">
            <w:pPr>
              <w:pStyle w:val="cuatexto"/>
              <w:jc w:val="right"/>
              <w:rPr>
                <w:sz w:val="14"/>
                <w:szCs w:val="14"/>
              </w:rPr>
            </w:pPr>
            <w:r>
              <w:rPr>
                <w:sz w:val="14"/>
              </w:rPr>
              <w:t xml:space="preserve">21.010.245</w:t>
            </w:r>
          </w:p>
        </w:tc>
      </w:tr>
      <w:tr w:rsidR="00F87E58" w:rsidRPr="002B636D" w14:paraId="79C6A992"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12A04A3" w14:textId="77777777" w:rsidR="00F87E58" w:rsidRPr="002B636D" w:rsidRDefault="00F87E58" w:rsidP="00F87E58">
            <w:pPr>
              <w:pStyle w:val="cuatexto"/>
              <w:jc w:val="left"/>
              <w:rPr>
                <w:sz w:val="14"/>
                <w:szCs w:val="14"/>
              </w:rPr>
            </w:pPr>
            <w:r>
              <w:rPr>
                <w:sz w:val="14"/>
              </w:rPr>
              <w:t xml:space="preserve">2015</w:t>
            </w:r>
          </w:p>
        </w:tc>
        <w:tc>
          <w:tcPr>
            <w:tcW w:w="837" w:type="dxa"/>
            <w:tcBorders>
              <w:top w:val="nil"/>
              <w:left w:val="nil"/>
              <w:bottom w:val="single" w:sz="4" w:space="0" w:color="auto"/>
              <w:right w:val="single" w:sz="4" w:space="0" w:color="auto"/>
            </w:tcBorders>
            <w:shd w:val="clear" w:color="auto" w:fill="auto"/>
            <w:noWrap/>
            <w:vAlign w:val="bottom"/>
            <w:hideMark/>
          </w:tcPr>
          <w:p w14:paraId="0400C3C0" w14:textId="77777777" w:rsidR="00F87E58" w:rsidRPr="002B636D" w:rsidRDefault="00F87E58" w:rsidP="00F87E58">
            <w:pPr>
              <w:pStyle w:val="cuatexto"/>
              <w:jc w:val="right"/>
              <w:rPr>
                <w:sz w:val="14"/>
                <w:szCs w:val="14"/>
              </w:rPr>
            </w:pPr>
            <w:r>
              <w:rPr>
                <w:sz w:val="14"/>
              </w:rPr>
              <w:t xml:space="preserve">232.096</w:t>
            </w:r>
          </w:p>
        </w:tc>
        <w:tc>
          <w:tcPr>
            <w:tcW w:w="976" w:type="dxa"/>
            <w:tcBorders>
              <w:top w:val="nil"/>
              <w:left w:val="nil"/>
              <w:bottom w:val="single" w:sz="4" w:space="0" w:color="auto"/>
              <w:right w:val="single" w:sz="4" w:space="0" w:color="auto"/>
            </w:tcBorders>
            <w:shd w:val="clear" w:color="auto" w:fill="auto"/>
            <w:noWrap/>
            <w:vAlign w:val="bottom"/>
            <w:hideMark/>
          </w:tcPr>
          <w:p w14:paraId="2C624AC2" w14:textId="77777777" w:rsidR="00F87E58" w:rsidRPr="002B636D" w:rsidRDefault="00F87E58" w:rsidP="00F87E58">
            <w:pPr>
              <w:pStyle w:val="cuatexto"/>
              <w:jc w:val="right"/>
              <w:rPr>
                <w:sz w:val="14"/>
                <w:szCs w:val="14"/>
              </w:rPr>
            </w:pPr>
            <w:r>
              <w:rPr>
                <w:sz w:val="14"/>
              </w:rPr>
              <w:t xml:space="preserve">750.731</w:t>
            </w:r>
          </w:p>
        </w:tc>
        <w:tc>
          <w:tcPr>
            <w:tcW w:w="861" w:type="dxa"/>
            <w:tcBorders>
              <w:top w:val="nil"/>
              <w:left w:val="nil"/>
              <w:bottom w:val="single" w:sz="4" w:space="0" w:color="auto"/>
              <w:right w:val="single" w:sz="2" w:space="0" w:color="auto"/>
            </w:tcBorders>
            <w:shd w:val="clear" w:color="auto" w:fill="auto"/>
            <w:noWrap/>
            <w:vAlign w:val="bottom"/>
            <w:hideMark/>
          </w:tcPr>
          <w:p w14:paraId="51DABC2F" w14:textId="77777777" w:rsidR="00F87E58" w:rsidRPr="002B636D" w:rsidRDefault="00F87E58" w:rsidP="00F87E58">
            <w:pPr>
              <w:pStyle w:val="cuatexto"/>
              <w:jc w:val="right"/>
              <w:rPr>
                <w:sz w:val="14"/>
                <w:szCs w:val="14"/>
              </w:rPr>
            </w:pPr>
            <w:r>
              <w:rPr>
                <w:sz w:val="14"/>
              </w:rPr>
              <w:t xml:space="preserve">1.116.804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F722A65" w14:textId="77777777" w:rsidR="00F87E58" w:rsidRPr="002B636D" w:rsidRDefault="00F87E58" w:rsidP="00F87E58">
            <w:pPr>
              <w:pStyle w:val="cuatexto"/>
              <w:jc w:val="right"/>
              <w:rPr>
                <w:sz w:val="14"/>
                <w:szCs w:val="14"/>
              </w:rPr>
            </w:pPr>
            <w:r>
              <w:rPr>
                <w:sz w:val="14"/>
              </w:rPr>
              <w:t xml:space="preserve">2.099.631</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9D13DEE"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1B41BA1E"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38DBE88"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2FD332A3" w14:textId="77777777" w:rsidR="00F87E58" w:rsidRPr="002B636D" w:rsidRDefault="00F87E58" w:rsidP="00F87E58">
            <w:pPr>
              <w:pStyle w:val="cuatexto"/>
              <w:jc w:val="right"/>
              <w:rPr>
                <w:b/>
                <w:bCs/>
                <w:sz w:val="14"/>
                <w:szCs w:val="14"/>
              </w:rPr>
            </w:pPr>
            <w:r>
              <w:rPr>
                <w:b/>
                <w:sz w:val="14"/>
              </w:rPr>
              <w:t xml:space="preserve">2.099.631</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44A58C7" w14:textId="77777777" w:rsidR="00F87E58" w:rsidRPr="002B636D" w:rsidRDefault="00F87E58" w:rsidP="00F87E58">
            <w:pPr>
              <w:pStyle w:val="cuatexto"/>
              <w:jc w:val="right"/>
              <w:rPr>
                <w:b/>
                <w:bCs/>
                <w:sz w:val="14"/>
                <w:szCs w:val="14"/>
              </w:rPr>
            </w:pPr>
            <w:r>
              <w:rPr>
                <w:b/>
                <w:sz w:val="14"/>
              </w:rPr>
              <w:t xml:space="preserve">59.284.877</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33CA1A9" w14:textId="77777777" w:rsidR="00F87E58" w:rsidRPr="002B636D" w:rsidRDefault="00F87E58" w:rsidP="00F87E58">
            <w:pPr>
              <w:pStyle w:val="cuatexto"/>
              <w:jc w:val="right"/>
              <w:rPr>
                <w:sz w:val="14"/>
                <w:szCs w:val="14"/>
              </w:rPr>
            </w:pPr>
            <w:r>
              <w:rPr>
                <w:sz w:val="14"/>
              </w:rPr>
              <w:t xml:space="preserve">2.900.000</w:t>
            </w:r>
          </w:p>
        </w:tc>
        <w:tc>
          <w:tcPr>
            <w:tcW w:w="1255" w:type="dxa"/>
            <w:tcBorders>
              <w:top w:val="nil"/>
              <w:left w:val="nil"/>
              <w:bottom w:val="single" w:sz="4" w:space="0" w:color="auto"/>
              <w:right w:val="single" w:sz="4" w:space="0" w:color="auto"/>
            </w:tcBorders>
            <w:shd w:val="clear" w:color="auto" w:fill="auto"/>
            <w:noWrap/>
            <w:vAlign w:val="bottom"/>
          </w:tcPr>
          <w:p w14:paraId="0812A24B" w14:textId="77777777" w:rsidR="00F87E58" w:rsidRPr="002B636D" w:rsidRDefault="00F87E58" w:rsidP="00F87E58">
            <w:pPr>
              <w:pStyle w:val="cuatexto"/>
              <w:jc w:val="right"/>
              <w:rPr>
                <w:sz w:val="14"/>
                <w:szCs w:val="14"/>
              </w:rPr>
            </w:pPr>
            <w:r>
              <w:rPr>
                <w:sz w:val="14"/>
              </w:rPr>
              <w:t xml:space="preserve">39.075.000</w:t>
            </w:r>
          </w:p>
        </w:tc>
        <w:tc>
          <w:tcPr>
            <w:tcW w:w="1395" w:type="dxa"/>
            <w:tcBorders>
              <w:top w:val="nil"/>
              <w:left w:val="nil"/>
              <w:bottom w:val="single" w:sz="4" w:space="0" w:color="auto"/>
            </w:tcBorders>
            <w:shd w:val="clear" w:color="auto" w:fill="auto"/>
            <w:noWrap/>
            <w:vAlign w:val="bottom"/>
          </w:tcPr>
          <w:p w14:paraId="4DE8DF2D" w14:textId="77777777" w:rsidR="00F87E58" w:rsidRPr="002B636D" w:rsidRDefault="00F87E58" w:rsidP="00F87E58">
            <w:pPr>
              <w:pStyle w:val="cuatexto"/>
              <w:jc w:val="right"/>
              <w:rPr>
                <w:sz w:val="14"/>
                <w:szCs w:val="14"/>
              </w:rPr>
            </w:pPr>
            <w:r>
              <w:rPr>
                <w:sz w:val="14"/>
              </w:rPr>
              <w:t xml:space="preserve">20.209.877</w:t>
            </w:r>
          </w:p>
        </w:tc>
      </w:tr>
      <w:tr w:rsidR="00F87E58" w:rsidRPr="002B636D" w14:paraId="0EFB1F9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5643947" w14:textId="77777777" w:rsidR="00F87E58" w:rsidRPr="002B636D" w:rsidRDefault="00F87E58" w:rsidP="00F87E58">
            <w:pPr>
              <w:pStyle w:val="cuatexto"/>
              <w:jc w:val="left"/>
              <w:rPr>
                <w:sz w:val="14"/>
                <w:szCs w:val="14"/>
              </w:rPr>
            </w:pPr>
            <w:r>
              <w:rPr>
                <w:sz w:val="14"/>
              </w:rPr>
              <w:t xml:space="preserve">2016</w:t>
            </w:r>
          </w:p>
        </w:tc>
        <w:tc>
          <w:tcPr>
            <w:tcW w:w="837" w:type="dxa"/>
            <w:tcBorders>
              <w:top w:val="nil"/>
              <w:left w:val="nil"/>
              <w:bottom w:val="single" w:sz="4" w:space="0" w:color="auto"/>
              <w:right w:val="single" w:sz="4" w:space="0" w:color="auto"/>
            </w:tcBorders>
            <w:shd w:val="clear" w:color="auto" w:fill="auto"/>
            <w:noWrap/>
            <w:vAlign w:val="bottom"/>
            <w:hideMark/>
          </w:tcPr>
          <w:p w14:paraId="00F640B9" w14:textId="77777777" w:rsidR="00F87E58" w:rsidRPr="002B636D" w:rsidRDefault="00F87E58" w:rsidP="00F87E58">
            <w:pPr>
              <w:pStyle w:val="cuatexto"/>
              <w:jc w:val="right"/>
              <w:rPr>
                <w:sz w:val="14"/>
                <w:szCs w:val="14"/>
              </w:rPr>
            </w:pPr>
            <w:r>
              <w:rPr>
                <w:sz w:val="14"/>
              </w:rPr>
              <w:t xml:space="preserve">333.998</w:t>
            </w:r>
          </w:p>
        </w:tc>
        <w:tc>
          <w:tcPr>
            <w:tcW w:w="976" w:type="dxa"/>
            <w:tcBorders>
              <w:top w:val="nil"/>
              <w:left w:val="nil"/>
              <w:bottom w:val="single" w:sz="4" w:space="0" w:color="auto"/>
              <w:right w:val="single" w:sz="4" w:space="0" w:color="auto"/>
            </w:tcBorders>
            <w:shd w:val="clear" w:color="auto" w:fill="auto"/>
            <w:noWrap/>
            <w:vAlign w:val="bottom"/>
            <w:hideMark/>
          </w:tcPr>
          <w:p w14:paraId="021DAA37" w14:textId="77777777" w:rsidR="00F87E58" w:rsidRPr="002B636D" w:rsidRDefault="00F87E58" w:rsidP="00F87E58">
            <w:pPr>
              <w:pStyle w:val="cuatexto"/>
              <w:jc w:val="right"/>
              <w:rPr>
                <w:sz w:val="14"/>
                <w:szCs w:val="14"/>
              </w:rPr>
            </w:pPr>
            <w:r>
              <w:rPr>
                <w:sz w:val="14"/>
              </w:rPr>
              <w:t xml:space="preserve">676.362</w:t>
            </w:r>
          </w:p>
        </w:tc>
        <w:tc>
          <w:tcPr>
            <w:tcW w:w="861" w:type="dxa"/>
            <w:tcBorders>
              <w:top w:val="nil"/>
              <w:left w:val="nil"/>
              <w:bottom w:val="single" w:sz="4" w:space="0" w:color="auto"/>
              <w:right w:val="single" w:sz="2" w:space="0" w:color="auto"/>
            </w:tcBorders>
            <w:shd w:val="clear" w:color="auto" w:fill="auto"/>
            <w:noWrap/>
            <w:vAlign w:val="bottom"/>
            <w:hideMark/>
          </w:tcPr>
          <w:p w14:paraId="4717AB84" w14:textId="77777777" w:rsidR="00F87E58" w:rsidRPr="002B636D" w:rsidRDefault="00F87E58" w:rsidP="00F87E58">
            <w:pPr>
              <w:pStyle w:val="cuatexto"/>
              <w:jc w:val="right"/>
              <w:rPr>
                <w:sz w:val="14"/>
                <w:szCs w:val="14"/>
              </w:rPr>
            </w:pPr>
            <w:r>
              <w:rPr>
                <w:sz w:val="14"/>
              </w:rPr>
              <w:t xml:space="preserve">1.149.338</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21BBA61" w14:textId="77777777" w:rsidR="00F87E58" w:rsidRPr="002B636D" w:rsidRDefault="00F87E58" w:rsidP="00F87E58">
            <w:pPr>
              <w:pStyle w:val="cuatexto"/>
              <w:jc w:val="right"/>
              <w:rPr>
                <w:sz w:val="14"/>
                <w:szCs w:val="14"/>
              </w:rPr>
            </w:pPr>
            <w:r>
              <w:rPr>
                <w:sz w:val="14"/>
              </w:rPr>
              <w:t xml:space="preserve">2.159.698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CCA2183"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6174653F"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95D06BD"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0D86D3C" w14:textId="77777777" w:rsidR="00F87E58" w:rsidRPr="002B636D" w:rsidRDefault="00F87E58" w:rsidP="00F87E58">
            <w:pPr>
              <w:pStyle w:val="cuatexto"/>
              <w:jc w:val="right"/>
              <w:rPr>
                <w:b/>
                <w:bCs/>
                <w:sz w:val="14"/>
                <w:szCs w:val="14"/>
              </w:rPr>
            </w:pPr>
            <w:r>
              <w:rPr>
                <w:b/>
                <w:sz w:val="14"/>
              </w:rPr>
              <w:t xml:space="preserve">2.159.698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9E351D7" w14:textId="77777777" w:rsidR="00F87E58" w:rsidRPr="002B636D" w:rsidRDefault="00F87E58" w:rsidP="00F87E58">
            <w:pPr>
              <w:pStyle w:val="cuatexto"/>
              <w:jc w:val="right"/>
              <w:rPr>
                <w:b/>
                <w:bCs/>
                <w:sz w:val="14"/>
                <w:szCs w:val="14"/>
              </w:rPr>
            </w:pPr>
            <w:r>
              <w:rPr>
                <w:b/>
                <w:sz w:val="14"/>
              </w:rPr>
              <w:t xml:space="preserve">61.444.575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0C7840B" w14:textId="77777777" w:rsidR="00F87E58" w:rsidRPr="002B636D" w:rsidRDefault="00F87E58" w:rsidP="00F87E58">
            <w:pPr>
              <w:pStyle w:val="cuatexto"/>
              <w:jc w:val="right"/>
              <w:rPr>
                <w:sz w:val="14"/>
                <w:szCs w:val="14"/>
              </w:rPr>
            </w:pPr>
            <w:r>
              <w:rPr>
                <w:sz w:val="14"/>
              </w:rPr>
              <w:t xml:space="preserve">2.500.000</w:t>
            </w:r>
          </w:p>
        </w:tc>
        <w:tc>
          <w:tcPr>
            <w:tcW w:w="1255" w:type="dxa"/>
            <w:tcBorders>
              <w:top w:val="nil"/>
              <w:left w:val="nil"/>
              <w:bottom w:val="single" w:sz="4" w:space="0" w:color="auto"/>
              <w:right w:val="single" w:sz="4" w:space="0" w:color="auto"/>
            </w:tcBorders>
            <w:shd w:val="clear" w:color="auto" w:fill="auto"/>
            <w:noWrap/>
            <w:vAlign w:val="bottom"/>
          </w:tcPr>
          <w:p w14:paraId="012152CC" w14:textId="77777777" w:rsidR="00F87E58" w:rsidRPr="002B636D" w:rsidRDefault="00F87E58" w:rsidP="00F87E58">
            <w:pPr>
              <w:pStyle w:val="cuatexto"/>
              <w:jc w:val="right"/>
              <w:rPr>
                <w:sz w:val="14"/>
                <w:szCs w:val="14"/>
              </w:rPr>
            </w:pPr>
            <w:r>
              <w:rPr>
                <w:sz w:val="14"/>
              </w:rPr>
              <w:t xml:space="preserve">41.575.000</w:t>
            </w:r>
          </w:p>
        </w:tc>
        <w:tc>
          <w:tcPr>
            <w:tcW w:w="1395" w:type="dxa"/>
            <w:tcBorders>
              <w:top w:val="nil"/>
              <w:left w:val="nil"/>
              <w:bottom w:val="single" w:sz="4" w:space="0" w:color="auto"/>
            </w:tcBorders>
            <w:shd w:val="clear" w:color="auto" w:fill="auto"/>
            <w:noWrap/>
            <w:vAlign w:val="bottom"/>
          </w:tcPr>
          <w:p w14:paraId="76720372" w14:textId="77777777" w:rsidR="00F87E58" w:rsidRPr="002B636D" w:rsidRDefault="00F87E58" w:rsidP="00F87E58">
            <w:pPr>
              <w:pStyle w:val="cuatexto"/>
              <w:jc w:val="right"/>
              <w:rPr>
                <w:sz w:val="14"/>
                <w:szCs w:val="14"/>
              </w:rPr>
            </w:pPr>
            <w:r>
              <w:rPr>
                <w:sz w:val="14"/>
              </w:rPr>
              <w:t xml:space="preserve">19.869.575</w:t>
            </w:r>
          </w:p>
        </w:tc>
      </w:tr>
      <w:tr w:rsidR="00F87E58" w:rsidRPr="002B636D" w14:paraId="3C77576C"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2F8AA9E" w14:textId="77777777" w:rsidR="00F87E58" w:rsidRPr="002B636D" w:rsidRDefault="00F87E58" w:rsidP="00F87E58">
            <w:pPr>
              <w:pStyle w:val="cuatexto"/>
              <w:jc w:val="left"/>
              <w:rPr>
                <w:sz w:val="14"/>
                <w:szCs w:val="14"/>
              </w:rPr>
            </w:pPr>
            <w:r>
              <w:rPr>
                <w:sz w:val="14"/>
              </w:rPr>
              <w:t xml:space="preserve">2017</w:t>
            </w:r>
          </w:p>
        </w:tc>
        <w:tc>
          <w:tcPr>
            <w:tcW w:w="837" w:type="dxa"/>
            <w:tcBorders>
              <w:top w:val="nil"/>
              <w:left w:val="nil"/>
              <w:bottom w:val="single" w:sz="4" w:space="0" w:color="auto"/>
              <w:right w:val="single" w:sz="4" w:space="0" w:color="auto"/>
            </w:tcBorders>
            <w:shd w:val="clear" w:color="auto" w:fill="auto"/>
            <w:noWrap/>
            <w:vAlign w:val="bottom"/>
            <w:hideMark/>
          </w:tcPr>
          <w:p w14:paraId="28B64E69" w14:textId="77777777" w:rsidR="00F87E58" w:rsidRPr="002B636D" w:rsidRDefault="00F87E58" w:rsidP="00F87E58">
            <w:pPr>
              <w:pStyle w:val="cuatexto"/>
              <w:jc w:val="right"/>
              <w:rPr>
                <w:sz w:val="14"/>
                <w:szCs w:val="14"/>
              </w:rPr>
            </w:pPr>
            <w:r>
              <w:rPr>
                <w:sz w:val="14"/>
              </w:rPr>
              <w:t xml:space="preserve">417.183</w:t>
            </w:r>
          </w:p>
        </w:tc>
        <w:tc>
          <w:tcPr>
            <w:tcW w:w="976" w:type="dxa"/>
            <w:tcBorders>
              <w:top w:val="nil"/>
              <w:left w:val="nil"/>
              <w:bottom w:val="single" w:sz="4" w:space="0" w:color="auto"/>
              <w:right w:val="single" w:sz="4" w:space="0" w:color="auto"/>
            </w:tcBorders>
            <w:shd w:val="clear" w:color="auto" w:fill="auto"/>
            <w:noWrap/>
            <w:vAlign w:val="bottom"/>
            <w:hideMark/>
          </w:tcPr>
          <w:p w14:paraId="74EAD1E8" w14:textId="77777777" w:rsidR="00F87E58" w:rsidRPr="002B636D" w:rsidRDefault="00F87E58" w:rsidP="00F87E58">
            <w:pPr>
              <w:pStyle w:val="cuatexto"/>
              <w:jc w:val="right"/>
              <w:rPr>
                <w:sz w:val="14"/>
                <w:szCs w:val="14"/>
              </w:rPr>
            </w:pPr>
            <w:r>
              <w:rPr>
                <w:sz w:val="14"/>
              </w:rPr>
              <w:t xml:space="preserve">656.981</w:t>
            </w:r>
          </w:p>
        </w:tc>
        <w:tc>
          <w:tcPr>
            <w:tcW w:w="861" w:type="dxa"/>
            <w:tcBorders>
              <w:top w:val="nil"/>
              <w:left w:val="nil"/>
              <w:bottom w:val="single" w:sz="4" w:space="0" w:color="auto"/>
              <w:right w:val="single" w:sz="2" w:space="0" w:color="auto"/>
            </w:tcBorders>
            <w:shd w:val="clear" w:color="auto" w:fill="auto"/>
            <w:noWrap/>
            <w:vAlign w:val="bottom"/>
            <w:hideMark/>
          </w:tcPr>
          <w:p w14:paraId="6F83A139" w14:textId="77777777" w:rsidR="00F87E58" w:rsidRPr="002B636D" w:rsidRDefault="00F87E58" w:rsidP="00F87E58">
            <w:pPr>
              <w:pStyle w:val="cuatexto"/>
              <w:jc w:val="right"/>
              <w:rPr>
                <w:sz w:val="14"/>
                <w:szCs w:val="14"/>
              </w:rPr>
            </w:pPr>
            <w:r>
              <w:rPr>
                <w:sz w:val="14"/>
              </w:rPr>
              <w:t xml:space="preserve">1.371.412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7CCEFEF" w14:textId="77777777" w:rsidR="00F87E58" w:rsidRPr="002B636D" w:rsidRDefault="00F87E58" w:rsidP="00F87E58">
            <w:pPr>
              <w:pStyle w:val="cuatexto"/>
              <w:jc w:val="right"/>
              <w:rPr>
                <w:sz w:val="14"/>
                <w:szCs w:val="14"/>
              </w:rPr>
            </w:pPr>
            <w:r>
              <w:rPr>
                <w:sz w:val="14"/>
              </w:rPr>
              <w:t xml:space="preserve">2.445.576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C1D70C6"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107C4AAD"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0B49944F"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20CB5CCA" w14:textId="77777777" w:rsidR="00F87E58" w:rsidRPr="002B636D" w:rsidRDefault="00F87E58" w:rsidP="00F87E58">
            <w:pPr>
              <w:pStyle w:val="cuatexto"/>
              <w:jc w:val="right"/>
              <w:rPr>
                <w:b/>
                <w:bCs/>
                <w:sz w:val="14"/>
                <w:szCs w:val="14"/>
              </w:rPr>
            </w:pPr>
            <w:r>
              <w:rPr>
                <w:b/>
                <w:sz w:val="14"/>
              </w:rPr>
              <w:t xml:space="preserve">2.445.576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34B36CCD" w14:textId="77777777" w:rsidR="00F87E58" w:rsidRPr="002B636D" w:rsidRDefault="00F87E58" w:rsidP="00F87E58">
            <w:pPr>
              <w:pStyle w:val="cuatexto"/>
              <w:jc w:val="right"/>
              <w:rPr>
                <w:b/>
                <w:bCs/>
                <w:sz w:val="14"/>
                <w:szCs w:val="14"/>
              </w:rPr>
            </w:pPr>
            <w:r>
              <w:rPr>
                <w:b/>
                <w:sz w:val="14"/>
              </w:rPr>
              <w:t xml:space="preserve">63.890.151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6261CFE2" w14:textId="77777777" w:rsidR="00F87E58" w:rsidRPr="002B636D" w:rsidRDefault="00F87E58" w:rsidP="00F87E58">
            <w:pPr>
              <w:pStyle w:val="cuatexto"/>
              <w:jc w:val="right"/>
              <w:rPr>
                <w:sz w:val="14"/>
                <w:szCs w:val="14"/>
              </w:rPr>
            </w:pPr>
            <w:r>
              <w:rPr>
                <w:sz w:val="14"/>
              </w:rPr>
              <w:t xml:space="preserve">2.500.000</w:t>
            </w:r>
          </w:p>
        </w:tc>
        <w:tc>
          <w:tcPr>
            <w:tcW w:w="1255" w:type="dxa"/>
            <w:tcBorders>
              <w:top w:val="nil"/>
              <w:left w:val="nil"/>
              <w:bottom w:val="single" w:sz="4" w:space="0" w:color="auto"/>
              <w:right w:val="single" w:sz="4" w:space="0" w:color="auto"/>
            </w:tcBorders>
            <w:shd w:val="clear" w:color="auto" w:fill="auto"/>
            <w:noWrap/>
            <w:vAlign w:val="bottom"/>
          </w:tcPr>
          <w:p w14:paraId="5D710204" w14:textId="77777777" w:rsidR="00F87E58" w:rsidRPr="002B636D" w:rsidRDefault="00F87E58" w:rsidP="00F87E58">
            <w:pPr>
              <w:pStyle w:val="cuatexto"/>
              <w:jc w:val="right"/>
              <w:rPr>
                <w:sz w:val="14"/>
                <w:szCs w:val="14"/>
              </w:rPr>
            </w:pPr>
            <w:r>
              <w:rPr>
                <w:sz w:val="14"/>
              </w:rPr>
              <w:t xml:space="preserve">44.075.000</w:t>
            </w:r>
          </w:p>
        </w:tc>
        <w:tc>
          <w:tcPr>
            <w:tcW w:w="1395" w:type="dxa"/>
            <w:tcBorders>
              <w:top w:val="nil"/>
              <w:left w:val="nil"/>
              <w:bottom w:val="single" w:sz="4" w:space="0" w:color="auto"/>
            </w:tcBorders>
            <w:shd w:val="clear" w:color="auto" w:fill="auto"/>
            <w:noWrap/>
            <w:vAlign w:val="bottom"/>
          </w:tcPr>
          <w:p w14:paraId="53674964" w14:textId="77777777" w:rsidR="00F87E58" w:rsidRPr="002B636D" w:rsidRDefault="00F87E58" w:rsidP="00F87E58">
            <w:pPr>
              <w:pStyle w:val="cuatexto"/>
              <w:jc w:val="right"/>
              <w:rPr>
                <w:sz w:val="14"/>
                <w:szCs w:val="14"/>
              </w:rPr>
            </w:pPr>
            <w:r>
              <w:rPr>
                <w:sz w:val="14"/>
              </w:rPr>
              <w:t xml:space="preserve">19.815.151</w:t>
            </w:r>
          </w:p>
        </w:tc>
      </w:tr>
      <w:tr w:rsidR="00F87E58" w:rsidRPr="002B636D" w14:paraId="7EF6257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96198C2" w14:textId="77777777" w:rsidR="00F87E58" w:rsidRPr="002B636D" w:rsidRDefault="00F87E58" w:rsidP="00F87E58">
            <w:pPr>
              <w:pStyle w:val="cuatexto"/>
              <w:jc w:val="left"/>
              <w:rPr>
                <w:sz w:val="14"/>
                <w:szCs w:val="14"/>
              </w:rPr>
            </w:pPr>
            <w:r>
              <w:rPr>
                <w:sz w:val="14"/>
              </w:rPr>
              <w:t xml:space="preserve">2018</w:t>
            </w:r>
          </w:p>
        </w:tc>
        <w:tc>
          <w:tcPr>
            <w:tcW w:w="837" w:type="dxa"/>
            <w:tcBorders>
              <w:top w:val="nil"/>
              <w:left w:val="nil"/>
              <w:bottom w:val="single" w:sz="4" w:space="0" w:color="auto"/>
              <w:right w:val="single" w:sz="4" w:space="0" w:color="auto"/>
            </w:tcBorders>
            <w:shd w:val="clear" w:color="auto" w:fill="auto"/>
            <w:noWrap/>
            <w:vAlign w:val="bottom"/>
            <w:hideMark/>
          </w:tcPr>
          <w:p w14:paraId="402E321A" w14:textId="77777777" w:rsidR="00F87E58" w:rsidRPr="002B636D" w:rsidRDefault="00F87E58" w:rsidP="00F87E58">
            <w:pPr>
              <w:pStyle w:val="cuatexto"/>
              <w:jc w:val="right"/>
              <w:rPr>
                <w:sz w:val="14"/>
                <w:szCs w:val="14"/>
              </w:rPr>
            </w:pPr>
            <w:r>
              <w:rPr>
                <w:sz w:val="14"/>
              </w:rPr>
              <w:t xml:space="preserve">416.596</w:t>
            </w:r>
          </w:p>
        </w:tc>
        <w:tc>
          <w:tcPr>
            <w:tcW w:w="976" w:type="dxa"/>
            <w:tcBorders>
              <w:top w:val="nil"/>
              <w:left w:val="nil"/>
              <w:bottom w:val="single" w:sz="4" w:space="0" w:color="auto"/>
              <w:right w:val="single" w:sz="4" w:space="0" w:color="auto"/>
            </w:tcBorders>
            <w:shd w:val="clear" w:color="auto" w:fill="auto"/>
            <w:noWrap/>
            <w:vAlign w:val="bottom"/>
            <w:hideMark/>
          </w:tcPr>
          <w:p w14:paraId="4744F14D" w14:textId="77777777" w:rsidR="00F87E58" w:rsidRPr="002B636D" w:rsidRDefault="00F87E58" w:rsidP="00F87E58">
            <w:pPr>
              <w:pStyle w:val="cuatexto"/>
              <w:jc w:val="right"/>
              <w:rPr>
                <w:sz w:val="14"/>
                <w:szCs w:val="14"/>
              </w:rPr>
            </w:pPr>
            <w:r>
              <w:rPr>
                <w:sz w:val="14"/>
              </w:rPr>
              <w:t xml:space="preserve">891.084</w:t>
            </w:r>
          </w:p>
        </w:tc>
        <w:tc>
          <w:tcPr>
            <w:tcW w:w="861" w:type="dxa"/>
            <w:tcBorders>
              <w:top w:val="nil"/>
              <w:left w:val="nil"/>
              <w:bottom w:val="single" w:sz="4" w:space="0" w:color="auto"/>
              <w:right w:val="single" w:sz="2" w:space="0" w:color="auto"/>
            </w:tcBorders>
            <w:shd w:val="clear" w:color="auto" w:fill="auto"/>
            <w:noWrap/>
            <w:vAlign w:val="bottom"/>
            <w:hideMark/>
          </w:tcPr>
          <w:p w14:paraId="3AE9F95B" w14:textId="77777777" w:rsidR="00F87E58" w:rsidRPr="002B636D" w:rsidRDefault="00F87E58" w:rsidP="00F87E58">
            <w:pPr>
              <w:pStyle w:val="cuatexto"/>
              <w:jc w:val="right"/>
              <w:rPr>
                <w:sz w:val="14"/>
                <w:szCs w:val="14"/>
              </w:rPr>
            </w:pPr>
            <w:r>
              <w:rPr>
                <w:sz w:val="14"/>
              </w:rPr>
              <w:t xml:space="preserve">689.102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D0FDE7E" w14:textId="77777777" w:rsidR="00F87E58" w:rsidRPr="002B636D" w:rsidRDefault="00F87E58" w:rsidP="00F87E58">
            <w:pPr>
              <w:pStyle w:val="cuatexto"/>
              <w:jc w:val="right"/>
              <w:rPr>
                <w:sz w:val="14"/>
                <w:szCs w:val="14"/>
              </w:rPr>
            </w:pPr>
            <w:r>
              <w:rPr>
                <w:sz w:val="14"/>
              </w:rPr>
              <w:t xml:space="preserve">1.996.782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4D757B9"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744D26C6"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ED58093"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6FB270F9" w14:textId="77777777" w:rsidR="00F87E58" w:rsidRPr="002B636D" w:rsidRDefault="00F87E58" w:rsidP="00F87E58">
            <w:pPr>
              <w:pStyle w:val="cuatexto"/>
              <w:jc w:val="right"/>
              <w:rPr>
                <w:b/>
                <w:bCs/>
                <w:sz w:val="14"/>
                <w:szCs w:val="14"/>
              </w:rPr>
            </w:pPr>
            <w:r>
              <w:rPr>
                <w:b/>
                <w:sz w:val="14"/>
              </w:rPr>
              <w:t xml:space="preserve">1.996.782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2BA4FE0A" w14:textId="77777777" w:rsidR="00F87E58" w:rsidRPr="002B636D" w:rsidRDefault="00F87E58" w:rsidP="00F87E58">
            <w:pPr>
              <w:pStyle w:val="cuatexto"/>
              <w:jc w:val="right"/>
              <w:rPr>
                <w:b/>
                <w:bCs/>
                <w:sz w:val="14"/>
                <w:szCs w:val="14"/>
              </w:rPr>
            </w:pPr>
            <w:r>
              <w:rPr>
                <w:b/>
                <w:sz w:val="14"/>
              </w:rPr>
              <w:t xml:space="preserve">65.886.933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3B28997" w14:textId="77777777" w:rsidR="00F87E58" w:rsidRPr="002B636D" w:rsidRDefault="00F87E58" w:rsidP="00F87E58">
            <w:pPr>
              <w:pStyle w:val="cuatexto"/>
              <w:jc w:val="right"/>
              <w:rPr>
                <w:sz w:val="14"/>
                <w:szCs w:val="14"/>
              </w:rPr>
            </w:pPr>
            <w:r>
              <w:rPr>
                <w:sz w:val="14"/>
              </w:rPr>
              <w:t xml:space="preserve">2.450.000</w:t>
            </w:r>
          </w:p>
        </w:tc>
        <w:tc>
          <w:tcPr>
            <w:tcW w:w="1255" w:type="dxa"/>
            <w:tcBorders>
              <w:top w:val="nil"/>
              <w:left w:val="nil"/>
              <w:bottom w:val="single" w:sz="4" w:space="0" w:color="auto"/>
              <w:right w:val="single" w:sz="4" w:space="0" w:color="auto"/>
            </w:tcBorders>
            <w:shd w:val="clear" w:color="auto" w:fill="auto"/>
            <w:noWrap/>
            <w:vAlign w:val="bottom"/>
          </w:tcPr>
          <w:p w14:paraId="23555C65" w14:textId="77777777" w:rsidR="00F87E58" w:rsidRPr="002B636D" w:rsidRDefault="00F87E58" w:rsidP="00F87E58">
            <w:pPr>
              <w:pStyle w:val="cuatexto"/>
              <w:jc w:val="right"/>
              <w:rPr>
                <w:sz w:val="14"/>
                <w:szCs w:val="14"/>
              </w:rPr>
            </w:pPr>
            <w:r>
              <w:rPr>
                <w:sz w:val="14"/>
              </w:rPr>
              <w:t xml:space="preserve">46.525.000</w:t>
            </w:r>
          </w:p>
        </w:tc>
        <w:tc>
          <w:tcPr>
            <w:tcW w:w="1395" w:type="dxa"/>
            <w:tcBorders>
              <w:top w:val="nil"/>
              <w:left w:val="nil"/>
              <w:bottom w:val="single" w:sz="4" w:space="0" w:color="auto"/>
            </w:tcBorders>
            <w:shd w:val="clear" w:color="auto" w:fill="auto"/>
            <w:noWrap/>
            <w:vAlign w:val="bottom"/>
          </w:tcPr>
          <w:p w14:paraId="1CC64FF5" w14:textId="77777777" w:rsidR="00F87E58" w:rsidRPr="002B636D" w:rsidRDefault="00F87E58" w:rsidP="00F87E58">
            <w:pPr>
              <w:pStyle w:val="cuatexto"/>
              <w:jc w:val="right"/>
              <w:rPr>
                <w:sz w:val="14"/>
                <w:szCs w:val="14"/>
              </w:rPr>
            </w:pPr>
            <w:r>
              <w:rPr>
                <w:sz w:val="14"/>
              </w:rPr>
              <w:t xml:space="preserve">19.361.933</w:t>
            </w:r>
          </w:p>
        </w:tc>
      </w:tr>
      <w:tr w:rsidR="00F87E58" w:rsidRPr="002B636D" w14:paraId="442A72C9"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4095B85" w14:textId="77777777" w:rsidR="00F87E58" w:rsidRPr="002B636D" w:rsidRDefault="00F87E58" w:rsidP="00F87E58">
            <w:pPr>
              <w:pStyle w:val="cuatexto"/>
              <w:jc w:val="left"/>
              <w:rPr>
                <w:sz w:val="14"/>
                <w:szCs w:val="14"/>
              </w:rPr>
            </w:pPr>
            <w:r>
              <w:rPr>
                <w:sz w:val="14"/>
              </w:rPr>
              <w:t xml:space="preserve">2019</w:t>
            </w:r>
          </w:p>
        </w:tc>
        <w:tc>
          <w:tcPr>
            <w:tcW w:w="837" w:type="dxa"/>
            <w:tcBorders>
              <w:top w:val="nil"/>
              <w:left w:val="nil"/>
              <w:bottom w:val="single" w:sz="4" w:space="0" w:color="auto"/>
              <w:right w:val="single" w:sz="4" w:space="0" w:color="auto"/>
            </w:tcBorders>
            <w:shd w:val="clear" w:color="auto" w:fill="auto"/>
            <w:noWrap/>
            <w:vAlign w:val="bottom"/>
            <w:hideMark/>
          </w:tcPr>
          <w:p w14:paraId="3608C3D3" w14:textId="77777777" w:rsidR="00F87E58" w:rsidRPr="002B636D" w:rsidRDefault="00F87E58" w:rsidP="00F87E58">
            <w:pPr>
              <w:pStyle w:val="cuatexto"/>
              <w:jc w:val="right"/>
              <w:rPr>
                <w:sz w:val="14"/>
                <w:szCs w:val="14"/>
              </w:rPr>
            </w:pPr>
            <w:r>
              <w:rPr>
                <w:sz w:val="14"/>
              </w:rPr>
              <w:t xml:space="preserve">680.565</w:t>
            </w:r>
          </w:p>
        </w:tc>
        <w:tc>
          <w:tcPr>
            <w:tcW w:w="976" w:type="dxa"/>
            <w:tcBorders>
              <w:top w:val="nil"/>
              <w:left w:val="nil"/>
              <w:bottom w:val="single" w:sz="4" w:space="0" w:color="auto"/>
              <w:right w:val="single" w:sz="4" w:space="0" w:color="auto"/>
            </w:tcBorders>
            <w:shd w:val="clear" w:color="auto" w:fill="auto"/>
            <w:noWrap/>
            <w:vAlign w:val="center"/>
            <w:hideMark/>
          </w:tcPr>
          <w:p w14:paraId="094D4C93" w14:textId="77777777" w:rsidR="00F87E58" w:rsidRPr="002B636D" w:rsidRDefault="00F87E58" w:rsidP="00F87E58">
            <w:pPr>
              <w:pStyle w:val="cuatexto"/>
              <w:jc w:val="right"/>
              <w:rPr>
                <w:sz w:val="14"/>
                <w:szCs w:val="14"/>
              </w:rPr>
            </w:pPr>
            <w:r>
              <w:rPr>
                <w:sz w:val="14"/>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757F4B7C" w14:textId="77777777" w:rsidR="00F87E58" w:rsidRPr="002B636D" w:rsidRDefault="00F87E58" w:rsidP="00F87E58">
            <w:pPr>
              <w:pStyle w:val="cuatexto"/>
              <w:jc w:val="right"/>
              <w:rPr>
                <w:sz w:val="14"/>
                <w:szCs w:val="14"/>
              </w:rPr>
            </w:pPr>
            <w:r>
              <w:rPr>
                <w:sz w:val="14"/>
              </w:rPr>
              <w:t xml:space="preserve">1.319.435</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F7FDB12" w14:textId="77777777" w:rsidR="00F87E58" w:rsidRPr="002B636D" w:rsidRDefault="00F87E58" w:rsidP="00F87E58">
            <w:pPr>
              <w:pStyle w:val="cuatexto"/>
              <w:jc w:val="right"/>
              <w:rPr>
                <w:sz w:val="14"/>
                <w:szCs w:val="14"/>
              </w:rPr>
            </w:pPr>
            <w:r>
              <w:rPr>
                <w:sz w:val="14"/>
              </w:rPr>
              <w:t xml:space="preserve">2.000.000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5704014D" w14:textId="77777777" w:rsidR="00F87E58" w:rsidRPr="002B636D" w:rsidRDefault="00F87E58" w:rsidP="00F87E58">
            <w:pPr>
              <w:pStyle w:val="cuatexto"/>
              <w:jc w:val="right"/>
              <w:rPr>
                <w:sz w:val="14"/>
                <w:szCs w:val="14"/>
              </w:rPr>
            </w:pPr>
            <w:r>
              <w:rPr>
                <w:sz w:val="14"/>
              </w:rPr>
              <w:t xml:space="preserve">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4FB2D6EA"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1AEBB716"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FDB85EE" w14:textId="77777777" w:rsidR="00F87E58" w:rsidRPr="002B636D" w:rsidRDefault="00F87E58" w:rsidP="00F87E58">
            <w:pPr>
              <w:pStyle w:val="cuatexto"/>
              <w:jc w:val="right"/>
              <w:rPr>
                <w:b/>
                <w:bCs/>
                <w:sz w:val="14"/>
                <w:szCs w:val="14"/>
              </w:rPr>
            </w:pPr>
            <w:r>
              <w:rPr>
                <w:b/>
                <w:sz w:val="14"/>
              </w:rPr>
              <w:t xml:space="preserve">2.000.000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03ADEB7C" w14:textId="77777777" w:rsidR="00F87E58" w:rsidRPr="002B636D" w:rsidRDefault="00F87E58" w:rsidP="00F87E58">
            <w:pPr>
              <w:pStyle w:val="cuatexto"/>
              <w:jc w:val="right"/>
              <w:rPr>
                <w:b/>
                <w:bCs/>
                <w:sz w:val="14"/>
                <w:szCs w:val="14"/>
              </w:rPr>
            </w:pPr>
            <w:r>
              <w:rPr>
                <w:b/>
                <w:sz w:val="14"/>
              </w:rPr>
              <w:t xml:space="preserve">67.886.933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22F965D" w14:textId="77777777" w:rsidR="00F87E58" w:rsidRPr="002B636D" w:rsidRDefault="00F87E58" w:rsidP="00F87E58">
            <w:pPr>
              <w:pStyle w:val="cuatexto"/>
              <w:jc w:val="right"/>
              <w:rPr>
                <w:sz w:val="14"/>
                <w:szCs w:val="14"/>
              </w:rPr>
            </w:pPr>
            <w:r>
              <w:rPr>
                <w:sz w:val="14"/>
              </w:rPr>
              <w:t xml:space="preserve">2.700.000</w:t>
            </w:r>
          </w:p>
        </w:tc>
        <w:tc>
          <w:tcPr>
            <w:tcW w:w="1255" w:type="dxa"/>
            <w:tcBorders>
              <w:top w:val="nil"/>
              <w:left w:val="nil"/>
              <w:bottom w:val="single" w:sz="4" w:space="0" w:color="auto"/>
              <w:right w:val="single" w:sz="4" w:space="0" w:color="auto"/>
            </w:tcBorders>
            <w:shd w:val="clear" w:color="auto" w:fill="auto"/>
            <w:noWrap/>
            <w:vAlign w:val="bottom"/>
          </w:tcPr>
          <w:p w14:paraId="36A84EF8" w14:textId="77777777" w:rsidR="00F87E58" w:rsidRPr="002B636D" w:rsidRDefault="00F87E58" w:rsidP="00F87E58">
            <w:pPr>
              <w:pStyle w:val="cuatexto"/>
              <w:jc w:val="right"/>
              <w:rPr>
                <w:sz w:val="14"/>
                <w:szCs w:val="14"/>
              </w:rPr>
            </w:pPr>
            <w:r>
              <w:rPr>
                <w:sz w:val="14"/>
              </w:rPr>
              <w:t xml:space="preserve">49.225.000</w:t>
            </w:r>
          </w:p>
        </w:tc>
        <w:tc>
          <w:tcPr>
            <w:tcW w:w="1395" w:type="dxa"/>
            <w:tcBorders>
              <w:top w:val="nil"/>
              <w:left w:val="nil"/>
              <w:bottom w:val="single" w:sz="4" w:space="0" w:color="auto"/>
            </w:tcBorders>
            <w:shd w:val="clear" w:color="auto" w:fill="auto"/>
            <w:noWrap/>
            <w:vAlign w:val="bottom"/>
          </w:tcPr>
          <w:p w14:paraId="71EA4A1F" w14:textId="77777777" w:rsidR="00F87E58" w:rsidRPr="002B636D" w:rsidRDefault="00F87E58" w:rsidP="00F87E58">
            <w:pPr>
              <w:pStyle w:val="cuatexto"/>
              <w:jc w:val="right"/>
              <w:rPr>
                <w:sz w:val="14"/>
                <w:szCs w:val="14"/>
              </w:rPr>
            </w:pPr>
            <w:r>
              <w:rPr>
                <w:sz w:val="14"/>
              </w:rPr>
              <w:t xml:space="preserve">18.661.933</w:t>
            </w:r>
          </w:p>
        </w:tc>
      </w:tr>
      <w:tr w:rsidR="00F87E58" w:rsidRPr="002B636D" w14:paraId="3F4B1F62"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2B8255AC" w14:textId="77777777" w:rsidR="00F87E58" w:rsidRPr="006F7796" w:rsidRDefault="00F87E58" w:rsidP="00F87E58">
            <w:pPr>
              <w:pStyle w:val="cuatexto"/>
              <w:jc w:val="left"/>
              <w:rPr>
                <w:sz w:val="14"/>
                <w:szCs w:val="14"/>
              </w:rPr>
            </w:pPr>
            <w:r>
              <w:rPr>
                <w:sz w:val="14"/>
              </w:rPr>
              <w:t xml:space="preserve">2020</w:t>
            </w:r>
          </w:p>
        </w:tc>
        <w:tc>
          <w:tcPr>
            <w:tcW w:w="837" w:type="dxa"/>
            <w:tcBorders>
              <w:top w:val="nil"/>
              <w:left w:val="nil"/>
              <w:bottom w:val="single" w:sz="4" w:space="0" w:color="auto"/>
              <w:right w:val="single" w:sz="4" w:space="0" w:color="auto"/>
            </w:tcBorders>
            <w:shd w:val="clear" w:color="auto" w:fill="auto"/>
            <w:noWrap/>
            <w:vAlign w:val="bottom"/>
            <w:hideMark/>
          </w:tcPr>
          <w:p w14:paraId="421D7A5B" w14:textId="77777777" w:rsidR="00F87E58" w:rsidRPr="006F7796" w:rsidRDefault="00F87E58" w:rsidP="00F87E58">
            <w:pPr>
              <w:pStyle w:val="cuatexto"/>
              <w:jc w:val="right"/>
              <w:rPr>
                <w:sz w:val="14"/>
                <w:szCs w:val="14"/>
              </w:rPr>
            </w:pPr>
            <w:r>
              <w:rPr>
                <w:sz w:val="14"/>
              </w:rPr>
              <w:t xml:space="preserve">270.745</w:t>
            </w:r>
          </w:p>
        </w:tc>
        <w:tc>
          <w:tcPr>
            <w:tcW w:w="976" w:type="dxa"/>
            <w:tcBorders>
              <w:top w:val="nil"/>
              <w:left w:val="nil"/>
              <w:bottom w:val="single" w:sz="4" w:space="0" w:color="auto"/>
              <w:right w:val="single" w:sz="4" w:space="0" w:color="auto"/>
            </w:tcBorders>
            <w:shd w:val="clear" w:color="auto" w:fill="auto"/>
            <w:noWrap/>
            <w:vAlign w:val="center"/>
            <w:hideMark/>
          </w:tcPr>
          <w:p w14:paraId="7FEBCAD9" w14:textId="77777777" w:rsidR="00F87E58" w:rsidRPr="006F7796" w:rsidRDefault="00F87E58" w:rsidP="00F87E58">
            <w:pPr>
              <w:pStyle w:val="cuatexto"/>
              <w:jc w:val="right"/>
              <w:rPr>
                <w:sz w:val="14"/>
                <w:szCs w:val="14"/>
              </w:rPr>
            </w:pPr>
            <w:r>
              <w:rPr>
                <w:sz w:val="14"/>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13D1E637" w14:textId="77777777" w:rsidR="00F87E58" w:rsidRPr="006F7796" w:rsidRDefault="00F87E58" w:rsidP="00F87E58">
            <w:pPr>
              <w:pStyle w:val="cuatexto"/>
              <w:jc w:val="right"/>
              <w:rPr>
                <w:sz w:val="14"/>
                <w:szCs w:val="14"/>
              </w:rPr>
            </w:pPr>
            <w:r>
              <w:rPr>
                <w:sz w:val="14"/>
              </w:rPr>
              <w:t xml:space="preserve">2.522.863</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679775C" w14:textId="77777777" w:rsidR="00F87E58" w:rsidRPr="006F7796" w:rsidRDefault="00F87E58" w:rsidP="00F87E58">
            <w:pPr>
              <w:pStyle w:val="cuatexto"/>
              <w:jc w:val="right"/>
              <w:rPr>
                <w:sz w:val="14"/>
                <w:szCs w:val="14"/>
              </w:rPr>
            </w:pPr>
            <w:r>
              <w:rPr>
                <w:sz w:val="14"/>
              </w:rPr>
              <w:t xml:space="preserve">2.793.608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CE50B25" w14:textId="77777777" w:rsidR="00F87E58" w:rsidRPr="006F7796" w:rsidRDefault="00F87E58" w:rsidP="00F87E58">
            <w:pPr>
              <w:pStyle w:val="cuatexto"/>
              <w:jc w:val="right"/>
              <w:rPr>
                <w:sz w:val="14"/>
                <w:szCs w:val="14"/>
              </w:rPr>
            </w:pPr>
            <w:r>
              <w:rPr>
                <w:sz w:val="14"/>
              </w:rPr>
              <w:t xml:space="preserve">911.941</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9E954B1" w14:textId="77777777" w:rsidR="00F87E58" w:rsidRPr="006F7796"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7630ABB" w14:textId="77777777" w:rsidR="00F87E58" w:rsidRPr="006F7796"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6D9F6825" w14:textId="77777777" w:rsidR="00F87E58" w:rsidRPr="006F7796" w:rsidRDefault="00F87E58" w:rsidP="00F87E58">
            <w:pPr>
              <w:pStyle w:val="cuatexto"/>
              <w:jc w:val="right"/>
              <w:rPr>
                <w:b/>
                <w:bCs/>
                <w:sz w:val="14"/>
                <w:szCs w:val="14"/>
              </w:rPr>
            </w:pPr>
            <w:r>
              <w:rPr>
                <w:b/>
                <w:sz w:val="14"/>
              </w:rPr>
              <w:t xml:space="preserve">3.705.549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176B46D5" w14:textId="77777777" w:rsidR="00F87E58" w:rsidRPr="006F7796" w:rsidRDefault="00F87E58" w:rsidP="00F87E58">
            <w:pPr>
              <w:pStyle w:val="cuatexto"/>
              <w:jc w:val="right"/>
              <w:rPr>
                <w:b/>
                <w:bCs/>
                <w:sz w:val="14"/>
                <w:szCs w:val="14"/>
              </w:rPr>
            </w:pPr>
            <w:r>
              <w:rPr>
                <w:b/>
                <w:sz w:val="14"/>
              </w:rPr>
              <w:t xml:space="preserve">71.592.482</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98928BB" w14:textId="77777777" w:rsidR="00F87E58" w:rsidRPr="006F7796" w:rsidRDefault="00F87E58" w:rsidP="00F87E58">
            <w:pPr>
              <w:pStyle w:val="cuatexto"/>
              <w:jc w:val="right"/>
              <w:rPr>
                <w:sz w:val="14"/>
                <w:szCs w:val="14"/>
              </w:rPr>
            </w:pPr>
            <w:r>
              <w:rPr>
                <w:sz w:val="14"/>
              </w:rPr>
              <w:t xml:space="preserve">3.350.000</w:t>
            </w:r>
          </w:p>
        </w:tc>
        <w:tc>
          <w:tcPr>
            <w:tcW w:w="1255" w:type="dxa"/>
            <w:tcBorders>
              <w:top w:val="nil"/>
              <w:left w:val="nil"/>
              <w:bottom w:val="single" w:sz="4" w:space="0" w:color="auto"/>
              <w:right w:val="single" w:sz="4" w:space="0" w:color="auto"/>
            </w:tcBorders>
            <w:shd w:val="clear" w:color="auto" w:fill="auto"/>
            <w:noWrap/>
            <w:vAlign w:val="bottom"/>
          </w:tcPr>
          <w:p w14:paraId="6DEC4F1E" w14:textId="77777777" w:rsidR="00F87E58" w:rsidRPr="006F7796" w:rsidRDefault="00F87E58" w:rsidP="00F87E58">
            <w:pPr>
              <w:pStyle w:val="cuatexto"/>
              <w:jc w:val="right"/>
              <w:rPr>
                <w:sz w:val="14"/>
                <w:szCs w:val="14"/>
              </w:rPr>
            </w:pPr>
            <w:r>
              <w:rPr>
                <w:sz w:val="14"/>
              </w:rPr>
              <w:t xml:space="preserve">52.575.000</w:t>
            </w:r>
          </w:p>
        </w:tc>
        <w:tc>
          <w:tcPr>
            <w:tcW w:w="1395" w:type="dxa"/>
            <w:tcBorders>
              <w:top w:val="nil"/>
              <w:left w:val="nil"/>
              <w:bottom w:val="single" w:sz="4" w:space="0" w:color="auto"/>
            </w:tcBorders>
            <w:shd w:val="clear" w:color="auto" w:fill="auto"/>
            <w:noWrap/>
            <w:vAlign w:val="bottom"/>
          </w:tcPr>
          <w:p w14:paraId="1DA43327" w14:textId="77777777" w:rsidR="00F87E58" w:rsidRPr="002B636D" w:rsidRDefault="00F87E58" w:rsidP="00F87E58">
            <w:pPr>
              <w:pStyle w:val="cuatexto"/>
              <w:jc w:val="right"/>
              <w:rPr>
                <w:sz w:val="14"/>
                <w:szCs w:val="14"/>
              </w:rPr>
            </w:pPr>
            <w:r>
              <w:rPr>
                <w:sz w:val="14"/>
              </w:rPr>
              <w:t xml:space="preserve">19.017.482</w:t>
            </w:r>
          </w:p>
        </w:tc>
      </w:tr>
      <w:tr w:rsidR="00F87E58" w:rsidRPr="002B636D" w14:paraId="3984022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3FFFBFA1" w14:textId="77777777" w:rsidR="00F87E58" w:rsidRPr="002B636D" w:rsidRDefault="00F87E58" w:rsidP="00F87E58">
            <w:pPr>
              <w:pStyle w:val="cuatexto"/>
              <w:jc w:val="left"/>
              <w:rPr>
                <w:sz w:val="14"/>
                <w:szCs w:val="14"/>
              </w:rPr>
            </w:pPr>
            <w:r>
              <w:rPr>
                <w:sz w:val="14"/>
              </w:rPr>
              <w:t xml:space="preserve">2021</w:t>
            </w:r>
          </w:p>
        </w:tc>
        <w:tc>
          <w:tcPr>
            <w:tcW w:w="837" w:type="dxa"/>
            <w:tcBorders>
              <w:top w:val="nil"/>
              <w:left w:val="nil"/>
              <w:bottom w:val="single" w:sz="4" w:space="0" w:color="auto"/>
              <w:right w:val="single" w:sz="4" w:space="0" w:color="auto"/>
            </w:tcBorders>
            <w:shd w:val="clear" w:color="auto" w:fill="auto"/>
            <w:noWrap/>
            <w:vAlign w:val="bottom"/>
            <w:hideMark/>
          </w:tcPr>
          <w:p w14:paraId="516752D6" w14:textId="77777777" w:rsidR="00F87E58" w:rsidRPr="002B636D" w:rsidRDefault="00F87E58" w:rsidP="00F87E58">
            <w:pPr>
              <w:pStyle w:val="cuatexto"/>
              <w:jc w:val="right"/>
              <w:rPr>
                <w:sz w:val="14"/>
                <w:szCs w:val="14"/>
              </w:rPr>
            </w:pPr>
            <w:r>
              <w:rPr>
                <w:sz w:val="14"/>
              </w:rPr>
              <w:t xml:space="preserve">429.286</w:t>
            </w:r>
          </w:p>
        </w:tc>
        <w:tc>
          <w:tcPr>
            <w:tcW w:w="976" w:type="dxa"/>
            <w:tcBorders>
              <w:top w:val="nil"/>
              <w:left w:val="nil"/>
              <w:bottom w:val="single" w:sz="4" w:space="0" w:color="auto"/>
              <w:right w:val="single" w:sz="4" w:space="0" w:color="auto"/>
            </w:tcBorders>
            <w:shd w:val="clear" w:color="auto" w:fill="auto"/>
            <w:noWrap/>
            <w:vAlign w:val="center"/>
            <w:hideMark/>
          </w:tcPr>
          <w:p w14:paraId="03E1C34C" w14:textId="77777777" w:rsidR="00F87E58" w:rsidRPr="002B636D" w:rsidRDefault="00F87E58" w:rsidP="00F87E58">
            <w:pPr>
              <w:pStyle w:val="cuatexto"/>
              <w:jc w:val="right"/>
              <w:rPr>
                <w:sz w:val="14"/>
                <w:szCs w:val="14"/>
              </w:rPr>
            </w:pPr>
            <w:r>
              <w:rPr>
                <w:sz w:val="14"/>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070DEF23" w14:textId="77777777" w:rsidR="00F87E58" w:rsidRPr="002B636D" w:rsidRDefault="00F87E58" w:rsidP="00F87E58">
            <w:pPr>
              <w:pStyle w:val="cuatexto"/>
              <w:jc w:val="right"/>
              <w:rPr>
                <w:sz w:val="14"/>
                <w:szCs w:val="14"/>
              </w:rPr>
            </w:pPr>
            <w:r>
              <w:rPr>
                <w:sz w:val="14"/>
              </w:rPr>
              <w:t xml:space="preserve">1.394.641</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C9BD1DB" w14:textId="77777777" w:rsidR="00F87E58" w:rsidRPr="002B636D" w:rsidRDefault="00F87E58" w:rsidP="00F87E58">
            <w:pPr>
              <w:pStyle w:val="cuatexto"/>
              <w:jc w:val="right"/>
              <w:rPr>
                <w:sz w:val="14"/>
                <w:szCs w:val="14"/>
              </w:rPr>
            </w:pPr>
            <w:r>
              <w:rPr>
                <w:sz w:val="14"/>
              </w:rPr>
              <w:t xml:space="preserve">1.823.927</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0CE849E" w14:textId="77777777" w:rsidR="00F87E58" w:rsidRPr="002B636D" w:rsidRDefault="00F87E58" w:rsidP="00F87E58">
            <w:pPr>
              <w:pStyle w:val="cuatexto"/>
              <w:jc w:val="right"/>
              <w:rPr>
                <w:sz w:val="14"/>
                <w:szCs w:val="14"/>
              </w:rPr>
            </w:pPr>
            <w:r>
              <w:rPr>
                <w:sz w:val="14"/>
              </w:rPr>
              <w:t xml:space="preserve">1.449.679</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4DC274DE"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80A4FD3" w14:textId="77777777" w:rsidR="00F87E58" w:rsidRPr="002B636D" w:rsidRDefault="00F87E58" w:rsidP="00F87E58">
            <w:pPr>
              <w:pStyle w:val="cuatexto"/>
              <w:jc w:val="right"/>
              <w:rPr>
                <w:sz w:val="14"/>
                <w:szCs w:val="14"/>
              </w:rPr>
            </w:pPr>
            <w:r>
              <w:rPr>
                <w:sz w:val="14"/>
              </w:rPr>
              <w:t xml:space="preserve">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7EA5300F" w14:textId="77777777" w:rsidR="00F87E58" w:rsidRPr="002B636D" w:rsidRDefault="00F87E58" w:rsidP="00F87E58">
            <w:pPr>
              <w:pStyle w:val="cuatexto"/>
              <w:jc w:val="right"/>
              <w:rPr>
                <w:b/>
                <w:bCs/>
                <w:sz w:val="14"/>
                <w:szCs w:val="14"/>
              </w:rPr>
            </w:pPr>
            <w:r>
              <w:rPr>
                <w:b/>
                <w:sz w:val="14"/>
              </w:rPr>
              <w:t xml:space="preserve">3.273.607</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2231AA8F" w14:textId="77777777" w:rsidR="00F87E58" w:rsidRPr="002B636D" w:rsidRDefault="00F87E58" w:rsidP="00F87E58">
            <w:pPr>
              <w:pStyle w:val="cuatexto"/>
              <w:jc w:val="right"/>
              <w:rPr>
                <w:b/>
                <w:bCs/>
                <w:sz w:val="14"/>
                <w:szCs w:val="14"/>
              </w:rPr>
            </w:pPr>
            <w:r>
              <w:rPr>
                <w:b/>
                <w:sz w:val="14"/>
              </w:rPr>
              <w:t xml:space="preserve">74.866.089</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6668F435" w14:textId="77777777" w:rsidR="00F87E58" w:rsidRPr="002B636D" w:rsidRDefault="00F87E58" w:rsidP="00F87E58">
            <w:pPr>
              <w:pStyle w:val="cuatexto"/>
              <w:jc w:val="right"/>
              <w:rPr>
                <w:sz w:val="14"/>
                <w:szCs w:val="14"/>
              </w:rPr>
            </w:pPr>
            <w:r>
              <w:rPr>
                <w:sz w:val="14"/>
              </w:rPr>
              <w:t xml:space="preserve">2.000.000</w:t>
            </w:r>
          </w:p>
        </w:tc>
        <w:tc>
          <w:tcPr>
            <w:tcW w:w="1255" w:type="dxa"/>
            <w:tcBorders>
              <w:top w:val="nil"/>
              <w:left w:val="nil"/>
              <w:bottom w:val="single" w:sz="4" w:space="0" w:color="auto"/>
              <w:right w:val="single" w:sz="4" w:space="0" w:color="auto"/>
            </w:tcBorders>
            <w:shd w:val="clear" w:color="auto" w:fill="auto"/>
            <w:noWrap/>
            <w:vAlign w:val="bottom"/>
          </w:tcPr>
          <w:p w14:paraId="636D814C" w14:textId="77777777" w:rsidR="00F87E58" w:rsidRPr="002B636D" w:rsidRDefault="00F87E58" w:rsidP="00F87E58">
            <w:pPr>
              <w:pStyle w:val="cuatexto"/>
              <w:jc w:val="right"/>
              <w:rPr>
                <w:sz w:val="14"/>
                <w:szCs w:val="14"/>
              </w:rPr>
            </w:pPr>
            <w:r>
              <w:rPr>
                <w:sz w:val="14"/>
              </w:rPr>
              <w:t xml:space="preserve">54.575.000</w:t>
            </w:r>
          </w:p>
        </w:tc>
        <w:tc>
          <w:tcPr>
            <w:tcW w:w="1395" w:type="dxa"/>
            <w:tcBorders>
              <w:top w:val="nil"/>
              <w:left w:val="nil"/>
              <w:bottom w:val="single" w:sz="4" w:space="0" w:color="auto"/>
            </w:tcBorders>
            <w:shd w:val="clear" w:color="auto" w:fill="auto"/>
            <w:noWrap/>
            <w:vAlign w:val="bottom"/>
          </w:tcPr>
          <w:p w14:paraId="7B063DF6" w14:textId="77777777" w:rsidR="00F87E58" w:rsidRPr="002B636D" w:rsidRDefault="00F87E58" w:rsidP="00F87E58">
            <w:pPr>
              <w:pStyle w:val="cuatexto"/>
              <w:jc w:val="right"/>
              <w:rPr>
                <w:sz w:val="14"/>
                <w:szCs w:val="14"/>
              </w:rPr>
            </w:pPr>
            <w:r>
              <w:rPr>
                <w:sz w:val="14"/>
              </w:rPr>
              <w:t xml:space="preserve">20.291.089</w:t>
            </w:r>
          </w:p>
        </w:tc>
      </w:tr>
      <w:tr w:rsidR="00F87E58" w:rsidRPr="002B636D" w14:paraId="2A24F61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8534858" w14:textId="77777777" w:rsidR="00F87E58" w:rsidRPr="002B636D" w:rsidRDefault="00F87E58" w:rsidP="00F87E58">
            <w:pPr>
              <w:pStyle w:val="cuatexto"/>
              <w:jc w:val="left"/>
              <w:rPr>
                <w:sz w:val="14"/>
                <w:szCs w:val="14"/>
              </w:rPr>
            </w:pPr>
            <w:r>
              <w:rPr>
                <w:sz w:val="14"/>
              </w:rPr>
              <w:t xml:space="preserve">2022</w:t>
            </w:r>
          </w:p>
        </w:tc>
        <w:tc>
          <w:tcPr>
            <w:tcW w:w="837" w:type="dxa"/>
            <w:tcBorders>
              <w:top w:val="nil"/>
              <w:left w:val="nil"/>
              <w:bottom w:val="single" w:sz="4" w:space="0" w:color="auto"/>
              <w:right w:val="single" w:sz="4" w:space="0" w:color="auto"/>
            </w:tcBorders>
            <w:shd w:val="clear" w:color="auto" w:fill="auto"/>
            <w:noWrap/>
            <w:vAlign w:val="bottom"/>
            <w:hideMark/>
          </w:tcPr>
          <w:p w14:paraId="4E0B17F5" w14:textId="77777777" w:rsidR="00F87E58" w:rsidRPr="002B636D" w:rsidRDefault="00F87E58" w:rsidP="00F87E58">
            <w:pPr>
              <w:pStyle w:val="cuatexto"/>
              <w:jc w:val="right"/>
              <w:rPr>
                <w:sz w:val="14"/>
                <w:szCs w:val="14"/>
              </w:rPr>
            </w:pPr>
            <w:r>
              <w:rPr>
                <w:sz w:val="14"/>
              </w:rPr>
              <w:t xml:space="preserve">971.954</w:t>
            </w:r>
          </w:p>
        </w:tc>
        <w:tc>
          <w:tcPr>
            <w:tcW w:w="976" w:type="dxa"/>
            <w:tcBorders>
              <w:top w:val="nil"/>
              <w:left w:val="nil"/>
              <w:bottom w:val="single" w:sz="4" w:space="0" w:color="auto"/>
              <w:right w:val="single" w:sz="4" w:space="0" w:color="auto"/>
            </w:tcBorders>
            <w:shd w:val="clear" w:color="auto" w:fill="auto"/>
            <w:noWrap/>
            <w:vAlign w:val="center"/>
            <w:hideMark/>
          </w:tcPr>
          <w:p w14:paraId="1AA2F07E" w14:textId="77777777" w:rsidR="00F87E58" w:rsidRPr="002B636D" w:rsidRDefault="00F87E58" w:rsidP="00F87E58">
            <w:pPr>
              <w:pStyle w:val="cuatexto"/>
              <w:jc w:val="right"/>
              <w:rPr>
                <w:sz w:val="14"/>
                <w:szCs w:val="14"/>
              </w:rPr>
            </w:pPr>
            <w:r>
              <w:rPr>
                <w:sz w:val="14"/>
              </w:rPr>
              <w:t xml:space="preserve"> </w:t>
            </w:r>
          </w:p>
        </w:tc>
        <w:tc>
          <w:tcPr>
            <w:tcW w:w="861" w:type="dxa"/>
            <w:tcBorders>
              <w:top w:val="nil"/>
              <w:left w:val="nil"/>
              <w:bottom w:val="single" w:sz="4" w:space="0" w:color="auto"/>
              <w:right w:val="single" w:sz="2" w:space="0" w:color="auto"/>
            </w:tcBorders>
            <w:shd w:val="clear" w:color="auto" w:fill="auto"/>
            <w:noWrap/>
            <w:vAlign w:val="bottom"/>
            <w:hideMark/>
          </w:tcPr>
          <w:p w14:paraId="77F0C71F" w14:textId="77777777" w:rsidR="00F87E58" w:rsidRPr="002B636D" w:rsidRDefault="00F87E58" w:rsidP="00F87E58">
            <w:pPr>
              <w:pStyle w:val="cuatexto"/>
              <w:jc w:val="right"/>
              <w:rPr>
                <w:sz w:val="14"/>
                <w:szCs w:val="14"/>
              </w:rPr>
            </w:pPr>
            <w:r>
              <w:rPr>
                <w:sz w:val="14"/>
              </w:rPr>
              <w:t xml:space="preserve">664.032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13D6B0" w14:textId="77777777" w:rsidR="00F87E58" w:rsidRPr="002B636D" w:rsidRDefault="00F87E58" w:rsidP="00F87E58">
            <w:pPr>
              <w:pStyle w:val="cuatexto"/>
              <w:jc w:val="right"/>
              <w:rPr>
                <w:sz w:val="14"/>
                <w:szCs w:val="14"/>
              </w:rPr>
            </w:pPr>
            <w:r>
              <w:rPr>
                <w:sz w:val="14"/>
              </w:rPr>
              <w:t xml:space="preserve">1.635.986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3200376" w14:textId="77777777" w:rsidR="00F87E58" w:rsidRPr="002B636D" w:rsidRDefault="00F87E58" w:rsidP="00F87E58">
            <w:pPr>
              <w:pStyle w:val="cuatexto"/>
              <w:jc w:val="right"/>
              <w:rPr>
                <w:sz w:val="14"/>
                <w:szCs w:val="14"/>
              </w:rPr>
            </w:pPr>
            <w:r>
              <w:rPr>
                <w:sz w:val="14"/>
              </w:rPr>
              <w:t xml:space="preserve">1.210.303</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2E31CADE" w14:textId="77777777" w:rsidR="00F87E58" w:rsidRPr="002B636D" w:rsidRDefault="00F87E58" w:rsidP="00F87E58">
            <w:pPr>
              <w:pStyle w:val="cuatexto"/>
              <w:jc w:val="right"/>
              <w:rPr>
                <w:sz w:val="14"/>
                <w:szCs w:val="14"/>
              </w:rPr>
            </w:pPr>
            <w:r>
              <w:rPr>
                <w:sz w:val="14"/>
              </w:rPr>
              <w:t xml:space="preserve">284.762</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7406A02" w14:textId="77777777" w:rsidR="00F87E58" w:rsidRPr="002B636D" w:rsidRDefault="00F87E58" w:rsidP="00F87E58">
            <w:pPr>
              <w:pStyle w:val="cuatexto"/>
              <w:jc w:val="right"/>
              <w:rPr>
                <w:sz w:val="14"/>
                <w:szCs w:val="14"/>
              </w:rPr>
            </w:pPr>
            <w:r>
              <w:rPr>
                <w:sz w:val="14"/>
              </w:rPr>
              <w:t xml:space="preserve">107.307</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D2FB3E2" w14:textId="77777777" w:rsidR="00F87E58" w:rsidRPr="002B636D" w:rsidRDefault="00F87E58" w:rsidP="00F87E58">
            <w:pPr>
              <w:pStyle w:val="cuatexto"/>
              <w:jc w:val="right"/>
              <w:rPr>
                <w:b/>
                <w:bCs/>
                <w:sz w:val="14"/>
                <w:szCs w:val="14"/>
              </w:rPr>
            </w:pPr>
            <w:r>
              <w:rPr>
                <w:b/>
                <w:sz w:val="14"/>
              </w:rPr>
              <w:t xml:space="preserve">3.238.359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A14A0D1" w14:textId="77777777" w:rsidR="00F87E58" w:rsidRPr="002B636D" w:rsidRDefault="00F87E58" w:rsidP="00F87E58">
            <w:pPr>
              <w:pStyle w:val="cuatexto"/>
              <w:jc w:val="right"/>
              <w:rPr>
                <w:b/>
                <w:bCs/>
                <w:sz w:val="14"/>
                <w:szCs w:val="14"/>
              </w:rPr>
            </w:pPr>
            <w:r>
              <w:rPr>
                <w:b/>
                <w:sz w:val="14"/>
              </w:rPr>
              <w:t xml:space="preserve">78.104.448</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46A6937" w14:textId="77777777" w:rsidR="00F87E58" w:rsidRPr="002B636D" w:rsidRDefault="00F87E58" w:rsidP="00F87E58">
            <w:pPr>
              <w:pStyle w:val="cuatexto"/>
              <w:jc w:val="right"/>
              <w:rPr>
                <w:sz w:val="14"/>
                <w:szCs w:val="14"/>
              </w:rPr>
            </w:pPr>
            <w:r>
              <w:rPr>
                <w:sz w:val="14"/>
              </w:rPr>
              <w:t xml:space="preserve">2.220.000</w:t>
            </w:r>
          </w:p>
        </w:tc>
        <w:tc>
          <w:tcPr>
            <w:tcW w:w="1255" w:type="dxa"/>
            <w:tcBorders>
              <w:top w:val="nil"/>
              <w:left w:val="nil"/>
              <w:bottom w:val="single" w:sz="4" w:space="0" w:color="auto"/>
              <w:right w:val="single" w:sz="4" w:space="0" w:color="auto"/>
            </w:tcBorders>
            <w:shd w:val="clear" w:color="auto" w:fill="auto"/>
            <w:noWrap/>
            <w:vAlign w:val="bottom"/>
          </w:tcPr>
          <w:p w14:paraId="01531D0E" w14:textId="77777777" w:rsidR="00F87E58" w:rsidRPr="002B636D" w:rsidRDefault="00F87E58" w:rsidP="00F87E58">
            <w:pPr>
              <w:pStyle w:val="cuatexto"/>
              <w:jc w:val="right"/>
              <w:rPr>
                <w:sz w:val="14"/>
                <w:szCs w:val="14"/>
              </w:rPr>
            </w:pPr>
            <w:r>
              <w:rPr>
                <w:sz w:val="14"/>
              </w:rPr>
              <w:t xml:space="preserve">56.795.000</w:t>
            </w:r>
          </w:p>
        </w:tc>
        <w:tc>
          <w:tcPr>
            <w:tcW w:w="1395" w:type="dxa"/>
            <w:tcBorders>
              <w:top w:val="nil"/>
              <w:left w:val="nil"/>
              <w:bottom w:val="single" w:sz="4" w:space="0" w:color="auto"/>
            </w:tcBorders>
            <w:shd w:val="clear" w:color="auto" w:fill="auto"/>
            <w:noWrap/>
            <w:vAlign w:val="bottom"/>
          </w:tcPr>
          <w:p w14:paraId="6C8E4CCB" w14:textId="77777777" w:rsidR="00F87E58" w:rsidRPr="002B636D" w:rsidRDefault="00F87E58" w:rsidP="00F87E58">
            <w:pPr>
              <w:pStyle w:val="cuatexto"/>
              <w:jc w:val="right"/>
              <w:rPr>
                <w:sz w:val="14"/>
                <w:szCs w:val="14"/>
              </w:rPr>
            </w:pPr>
            <w:r>
              <w:rPr>
                <w:sz w:val="14"/>
              </w:rPr>
              <w:t xml:space="preserve">21.309.448</w:t>
            </w:r>
          </w:p>
        </w:tc>
      </w:tr>
      <w:tr w:rsidR="00F87E58" w:rsidRPr="002B636D" w14:paraId="467BE085"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6702B157" w14:textId="77777777" w:rsidR="00F87E58" w:rsidRPr="002B636D" w:rsidRDefault="00F87E58" w:rsidP="00F87E58">
            <w:pPr>
              <w:pStyle w:val="cuadroCabe"/>
              <w:jc w:val="left"/>
              <w:rPr>
                <w:sz w:val="12"/>
                <w:szCs w:val="12"/>
              </w:rPr>
            </w:pPr>
            <w:r>
              <w:rPr>
                <w:sz w:val="12"/>
              </w:rPr>
              <w:t xml:space="preserve">Guztira</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6D5A4BA4" w14:textId="77777777" w:rsidR="00F87E58" w:rsidRPr="002B636D" w:rsidRDefault="00F87E58" w:rsidP="00F87E58">
            <w:pPr>
              <w:pStyle w:val="cuadroCabe"/>
              <w:jc w:val="right"/>
              <w:rPr>
                <w:b/>
                <w:bCs/>
                <w:sz w:val="12"/>
                <w:szCs w:val="12"/>
              </w:rPr>
            </w:pPr>
            <w:r>
              <w:rPr>
                <w:b/>
                <w:sz w:val="12"/>
              </w:rPr>
              <w:t xml:space="preserve">30.062.212</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3C14C824" w14:textId="77777777" w:rsidR="00F87E58" w:rsidRPr="002B636D" w:rsidRDefault="00F87E58" w:rsidP="00F87E58">
            <w:pPr>
              <w:pStyle w:val="cuadroCabe"/>
              <w:jc w:val="right"/>
              <w:rPr>
                <w:b/>
                <w:bCs/>
                <w:sz w:val="12"/>
                <w:szCs w:val="12"/>
              </w:rPr>
            </w:pPr>
            <w:r>
              <w:rPr>
                <w:b/>
                <w:sz w:val="12"/>
              </w:rPr>
              <w:t xml:space="preserve">17.173.704</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044EE6C5" w14:textId="77777777" w:rsidR="00F87E58" w:rsidRPr="002B636D" w:rsidRDefault="00F87E58" w:rsidP="00F87E58">
            <w:pPr>
              <w:pStyle w:val="cuadroCabe"/>
              <w:jc w:val="right"/>
              <w:rPr>
                <w:b/>
                <w:bCs/>
                <w:sz w:val="12"/>
                <w:szCs w:val="12"/>
              </w:rPr>
            </w:pPr>
            <w:r>
              <w:rPr>
                <w:b/>
                <w:sz w:val="12"/>
              </w:rPr>
              <w:t xml:space="preserve">27.204.536</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61F7D74D" w14:textId="77777777" w:rsidR="00F87E58" w:rsidRPr="002B636D" w:rsidRDefault="00F87E58" w:rsidP="00F87E58">
            <w:pPr>
              <w:pStyle w:val="cuadroCabe"/>
              <w:jc w:val="right"/>
              <w:rPr>
                <w:b/>
                <w:bCs/>
                <w:sz w:val="12"/>
                <w:szCs w:val="12"/>
              </w:rPr>
            </w:pPr>
            <w:r>
              <w:rPr>
                <w:b/>
                <w:sz w:val="12"/>
              </w:rPr>
              <w:t xml:space="preserve">74.440.452</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7C0B869A" w14:textId="77777777" w:rsidR="00F87E58" w:rsidRPr="002B636D" w:rsidRDefault="00F87E58" w:rsidP="00F87E58">
            <w:pPr>
              <w:pStyle w:val="cuadroCabe"/>
              <w:jc w:val="right"/>
              <w:rPr>
                <w:b/>
                <w:bCs/>
                <w:sz w:val="12"/>
                <w:szCs w:val="12"/>
              </w:rPr>
            </w:pPr>
            <w:r>
              <w:rPr>
                <w:b/>
                <w:sz w:val="12"/>
              </w:rPr>
              <w:t xml:space="preserve">3.571.923</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6137B5C8" w14:textId="77777777" w:rsidR="00F87E58" w:rsidRPr="002B636D" w:rsidRDefault="00F87E58" w:rsidP="00F87E58">
            <w:pPr>
              <w:pStyle w:val="cuadroCabe"/>
              <w:jc w:val="right"/>
              <w:rPr>
                <w:b/>
                <w:bCs/>
                <w:sz w:val="12"/>
                <w:szCs w:val="12"/>
              </w:rPr>
            </w:pPr>
            <w:r>
              <w:rPr>
                <w:b/>
                <w:sz w:val="12"/>
              </w:rPr>
              <w:t xml:space="preserve">284.762</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145B2F7" w14:textId="77777777" w:rsidR="00F87E58" w:rsidRPr="002B636D" w:rsidRDefault="00F87E58" w:rsidP="00F87E58">
            <w:pPr>
              <w:pStyle w:val="cuadroCabe"/>
              <w:jc w:val="right"/>
              <w:rPr>
                <w:b/>
                <w:bCs/>
                <w:sz w:val="12"/>
                <w:szCs w:val="12"/>
              </w:rPr>
            </w:pPr>
            <w:r>
              <w:rPr>
                <w:b/>
                <w:sz w:val="12"/>
              </w:rPr>
              <w:t xml:space="preserve">107.307</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9EF8A7E" w14:textId="77777777" w:rsidR="00F87E58" w:rsidRPr="002B636D" w:rsidRDefault="00F87E58" w:rsidP="00F87E58">
            <w:pPr>
              <w:pStyle w:val="cuadroCabe"/>
              <w:jc w:val="right"/>
              <w:rPr>
                <w:b/>
                <w:bCs/>
                <w:sz w:val="12"/>
                <w:szCs w:val="12"/>
              </w:rPr>
            </w:pPr>
            <w:r>
              <w:rPr>
                <w:b/>
                <w:sz w:val="12"/>
              </w:rPr>
              <w:t xml:space="preserve">78.104.448</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tcPr>
          <w:p w14:paraId="55A0D8AB" w14:textId="77777777" w:rsidR="00F87E58" w:rsidRPr="002B636D" w:rsidRDefault="00F87E58" w:rsidP="00F87E58">
            <w:pPr>
              <w:pStyle w:val="cuadroCabe"/>
              <w:jc w:val="right"/>
              <w:rPr>
                <w:b/>
                <w:bCs/>
                <w:sz w:val="12"/>
                <w:szCs w:val="12"/>
              </w:rPr>
            </w:pPr>
            <w:r>
              <w:rPr>
                <w:b/>
                <w:sz w:val="12"/>
              </w:rPr>
              <w:t xml:space="preserve">78.104.448</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center"/>
          </w:tcPr>
          <w:p w14:paraId="16A4EA3F" w14:textId="77777777" w:rsidR="00F87E58" w:rsidRPr="002B636D" w:rsidRDefault="00F87E58" w:rsidP="00F87E58">
            <w:pPr>
              <w:pStyle w:val="cuadroCabe"/>
              <w:jc w:val="right"/>
              <w:rPr>
                <w:b/>
                <w:bCs/>
                <w:sz w:val="12"/>
                <w:szCs w:val="12"/>
              </w:rPr>
            </w:pPr>
            <w:r>
              <w:rPr>
                <w:b/>
                <w:sz w:val="12"/>
              </w:rPr>
              <w:t xml:space="preserve">56.795.000</w:t>
            </w:r>
          </w:p>
        </w:tc>
        <w:tc>
          <w:tcPr>
            <w:tcW w:w="1255" w:type="dxa"/>
            <w:tcBorders>
              <w:top w:val="single" w:sz="4" w:space="0" w:color="auto"/>
              <w:left w:val="nil"/>
              <w:bottom w:val="single" w:sz="4" w:space="0" w:color="auto"/>
              <w:right w:val="single" w:sz="8" w:space="0" w:color="auto"/>
            </w:tcBorders>
            <w:shd w:val="clear" w:color="000000" w:fill="BDD7EE"/>
            <w:noWrap/>
            <w:vAlign w:val="bottom"/>
          </w:tcPr>
          <w:p w14:paraId="4FBB295C" w14:textId="77777777" w:rsidR="00F87E58" w:rsidRPr="002B636D" w:rsidRDefault="00F87E58" w:rsidP="00F87E58">
            <w:pPr>
              <w:pStyle w:val="cuadroCabe"/>
              <w:jc w:val="right"/>
              <w:rPr>
                <w:b/>
                <w:bCs/>
                <w:sz w:val="12"/>
                <w:szCs w:val="12"/>
              </w:rPr>
            </w:pPr>
            <w:r>
              <w:rPr>
                <w:b/>
                <w:sz w:val="12"/>
              </w:rPr>
              <w:t xml:space="preserve">56.795.000</w:t>
            </w:r>
          </w:p>
        </w:tc>
        <w:tc>
          <w:tcPr>
            <w:tcW w:w="1395" w:type="dxa"/>
            <w:tcBorders>
              <w:top w:val="single" w:sz="4" w:space="0" w:color="auto"/>
              <w:left w:val="single" w:sz="4" w:space="0" w:color="auto"/>
              <w:bottom w:val="single" w:sz="4" w:space="0" w:color="auto"/>
            </w:tcBorders>
            <w:shd w:val="clear" w:color="000000" w:fill="BDD7EE"/>
            <w:noWrap/>
            <w:vAlign w:val="bottom"/>
          </w:tcPr>
          <w:p w14:paraId="5A2E8A48" w14:textId="77777777" w:rsidR="00F87E58" w:rsidRPr="002B636D" w:rsidRDefault="00F87E58" w:rsidP="00F87E58">
            <w:pPr>
              <w:pStyle w:val="cuadroCabe"/>
              <w:jc w:val="right"/>
              <w:rPr>
                <w:b/>
                <w:bCs/>
                <w:sz w:val="12"/>
                <w:szCs w:val="12"/>
              </w:rPr>
            </w:pPr>
            <w:r>
              <w:rPr>
                <w:b/>
                <w:sz w:val="12"/>
              </w:rPr>
              <w:t xml:space="preserve">21.309.448</w:t>
            </w:r>
          </w:p>
        </w:tc>
      </w:tr>
      <w:tr w:rsidR="00F87E58" w:rsidRPr="002B636D" w14:paraId="5313B18B" w14:textId="77777777" w:rsidTr="00321B53">
        <w:trPr>
          <w:trHeight w:val="252"/>
          <w:jc w:val="center"/>
        </w:trPr>
        <w:tc>
          <w:tcPr>
            <w:tcW w:w="4455" w:type="dxa"/>
            <w:gridSpan w:val="5"/>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9612B88" w14:textId="77777777" w:rsidR="00F87E58" w:rsidRPr="002B636D" w:rsidRDefault="00F87E58" w:rsidP="00F87E58">
            <w:pPr>
              <w:pStyle w:val="cuadroCabe"/>
              <w:jc w:val="right"/>
              <w:rPr>
                <w:b/>
                <w:bCs/>
                <w:sz w:val="12"/>
                <w:szCs w:val="12"/>
              </w:rPr>
            </w:pPr>
            <w:r>
              <w:rPr>
                <w:b/>
                <w:sz w:val="12"/>
              </w:rPr>
              <w:t xml:space="preserve">ORDAINDUA, GUZTIRA (KAPITALEKO PARTAIDETZA + MAILEGUAK)</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3FCFB262"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DFB395D"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49D45D81"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3140AF5" w14:textId="77777777" w:rsidR="00F87E58" w:rsidRPr="002B636D" w:rsidRDefault="00F87E58" w:rsidP="00F87E58">
            <w:pPr>
              <w:pStyle w:val="cuadroCabe"/>
              <w:jc w:val="right"/>
              <w:rPr>
                <w:b/>
                <w:bCs/>
                <w:sz w:val="12"/>
                <w:szCs w:val="12"/>
              </w:rPr>
            </w:pPr>
            <w:r>
              <w:rPr>
                <w:b/>
                <w:sz w:val="12"/>
              </w:rPr>
              <w:t xml:space="preserve">82.154.448</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2F544D3"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nil"/>
            </w:tcBorders>
            <w:shd w:val="clear" w:color="000000" w:fill="BDD7EE"/>
            <w:noWrap/>
            <w:vAlign w:val="bottom"/>
          </w:tcPr>
          <w:p w14:paraId="765E3B2D" w14:textId="77777777" w:rsidR="00F87E58" w:rsidRPr="002B636D" w:rsidRDefault="00F87E58" w:rsidP="00F87E58">
            <w:pPr>
              <w:pStyle w:val="cuadroCabe"/>
              <w:jc w:val="right"/>
              <w:rPr>
                <w:sz w:val="12"/>
                <w:szCs w:val="12"/>
              </w:rPr>
            </w:pPr>
          </w:p>
        </w:tc>
        <w:tc>
          <w:tcPr>
            <w:tcW w:w="1255" w:type="dxa"/>
            <w:tcBorders>
              <w:top w:val="single" w:sz="4" w:space="0" w:color="auto"/>
              <w:left w:val="nil"/>
              <w:bottom w:val="single" w:sz="4" w:space="0" w:color="auto"/>
              <w:right w:val="nil"/>
            </w:tcBorders>
            <w:shd w:val="clear" w:color="000000" w:fill="BDD7EE"/>
            <w:noWrap/>
            <w:vAlign w:val="bottom"/>
          </w:tcPr>
          <w:p w14:paraId="1811161A" w14:textId="77777777" w:rsidR="00F87E58" w:rsidRPr="002B636D" w:rsidRDefault="00F87E58" w:rsidP="00F87E58">
            <w:pPr>
              <w:pStyle w:val="cuadroCabe"/>
              <w:jc w:val="right"/>
              <w:rPr>
                <w:sz w:val="12"/>
                <w:szCs w:val="12"/>
              </w:rPr>
            </w:pPr>
          </w:p>
        </w:tc>
        <w:tc>
          <w:tcPr>
            <w:tcW w:w="1395" w:type="dxa"/>
            <w:tcBorders>
              <w:top w:val="single" w:sz="4" w:space="0" w:color="auto"/>
              <w:left w:val="nil"/>
              <w:bottom w:val="single" w:sz="4" w:space="0" w:color="auto"/>
            </w:tcBorders>
            <w:shd w:val="clear" w:color="000000" w:fill="BDD7EE"/>
            <w:noWrap/>
            <w:vAlign w:val="bottom"/>
          </w:tcPr>
          <w:p w14:paraId="62899486" w14:textId="77777777" w:rsidR="00F87E58" w:rsidRPr="002B636D" w:rsidRDefault="00F87E58" w:rsidP="00F87E58">
            <w:pPr>
              <w:pStyle w:val="cuadroCabe"/>
              <w:jc w:val="right"/>
              <w:rPr>
                <w:sz w:val="12"/>
                <w:szCs w:val="12"/>
              </w:rPr>
            </w:pPr>
          </w:p>
        </w:tc>
      </w:tr>
      <w:tr w:rsidR="00F87E58" w:rsidRPr="002B636D" w14:paraId="3FC5817A" w14:textId="77777777" w:rsidTr="00321B53">
        <w:trPr>
          <w:trHeight w:val="196"/>
          <w:jc w:val="center"/>
        </w:trPr>
        <w:tc>
          <w:tcPr>
            <w:tcW w:w="548" w:type="dxa"/>
            <w:tcBorders>
              <w:top w:val="single" w:sz="4" w:space="0" w:color="auto"/>
              <w:bottom w:val="single" w:sz="4" w:space="0" w:color="auto"/>
              <w:right w:val="single" w:sz="4" w:space="0" w:color="auto"/>
            </w:tcBorders>
            <w:shd w:val="clear" w:color="auto" w:fill="auto"/>
            <w:noWrap/>
            <w:vAlign w:val="center"/>
            <w:hideMark/>
          </w:tcPr>
          <w:p w14:paraId="358F0BAC" w14:textId="77777777" w:rsidR="00F87E58" w:rsidRPr="002B636D" w:rsidRDefault="00F87E58" w:rsidP="00F87E58">
            <w:pPr>
              <w:pStyle w:val="cuatexto"/>
              <w:jc w:val="left"/>
              <w:rPr>
                <w:sz w:val="14"/>
                <w:szCs w:val="14"/>
              </w:rPr>
            </w:pPr>
            <w:r>
              <w:rPr>
                <w:sz w:val="14"/>
              </w:rPr>
              <w:t xml:space="preserve">2023</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4BBF87B8" w14:textId="77777777" w:rsidR="00F87E58" w:rsidRPr="002B636D" w:rsidRDefault="00F87E58" w:rsidP="00F87E58">
            <w:pPr>
              <w:pStyle w:val="cuatexto"/>
              <w:jc w:val="right"/>
              <w:rPr>
                <w:sz w:val="14"/>
                <w:szCs w:val="14"/>
              </w:rPr>
            </w:pPr>
            <w:r>
              <w:rPr>
                <w:sz w:val="14"/>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DC68D91" w14:textId="77777777" w:rsidR="00F87E58" w:rsidRPr="002B636D" w:rsidRDefault="00F87E58" w:rsidP="00F87E58">
            <w:pPr>
              <w:pStyle w:val="cuatexto"/>
              <w:jc w:val="right"/>
              <w:rPr>
                <w:sz w:val="14"/>
                <w:szCs w:val="14"/>
              </w:rPr>
            </w:pPr>
            <w:r>
              <w:rPr>
                <w:sz w:val="14"/>
              </w:rPr>
              <w:t xml:space="preserve"> </w:t>
            </w:r>
          </w:p>
        </w:tc>
        <w:tc>
          <w:tcPr>
            <w:tcW w:w="861" w:type="dxa"/>
            <w:tcBorders>
              <w:top w:val="single" w:sz="4" w:space="0" w:color="auto"/>
              <w:left w:val="nil"/>
              <w:bottom w:val="single" w:sz="4" w:space="0" w:color="auto"/>
              <w:right w:val="single" w:sz="2" w:space="0" w:color="auto"/>
            </w:tcBorders>
            <w:shd w:val="clear" w:color="auto" w:fill="auto"/>
            <w:noWrap/>
            <w:vAlign w:val="bottom"/>
            <w:hideMark/>
          </w:tcPr>
          <w:p w14:paraId="1531A07C" w14:textId="77777777" w:rsidR="00F87E58" w:rsidRPr="002B636D" w:rsidRDefault="00F87E58" w:rsidP="00F87E58">
            <w:pPr>
              <w:pStyle w:val="cuatexto"/>
              <w:jc w:val="right"/>
              <w:rPr>
                <w:sz w:val="14"/>
                <w:szCs w:val="14"/>
              </w:rPr>
            </w:pPr>
            <w:r>
              <w:rPr>
                <w:sz w:val="14"/>
              </w:rPr>
              <w:t xml:space="preserve">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BE6805A" w14:textId="77777777" w:rsidR="00F87E58" w:rsidRPr="002B636D" w:rsidRDefault="00F87E58" w:rsidP="00F87E58">
            <w:pPr>
              <w:pStyle w:val="cuatexto"/>
              <w:jc w:val="right"/>
              <w:rPr>
                <w:sz w:val="14"/>
                <w:szCs w:val="14"/>
              </w:rPr>
            </w:pPr>
            <w:r>
              <w:rPr>
                <w:sz w:val="14"/>
              </w:rPr>
              <w:t xml:space="preserve">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4D6C53A" w14:textId="77777777" w:rsidR="00F87E58" w:rsidRPr="002B636D" w:rsidRDefault="00F87E58" w:rsidP="00F87E58">
            <w:pPr>
              <w:pStyle w:val="cuatexto"/>
              <w:jc w:val="right"/>
              <w:rPr>
                <w:sz w:val="14"/>
                <w:szCs w:val="14"/>
              </w:rPr>
            </w:pPr>
            <w:r>
              <w:rPr>
                <w:sz w:val="14"/>
              </w:rPr>
              <w:t xml:space="preserve"> </w:t>
            </w:r>
          </w:p>
        </w:tc>
        <w:tc>
          <w:tcPr>
            <w:tcW w:w="976"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E591550" w14:textId="77777777" w:rsidR="00F87E58" w:rsidRPr="002B636D" w:rsidRDefault="00F87E58" w:rsidP="00F87E58">
            <w:pPr>
              <w:pStyle w:val="cuatexto"/>
              <w:jc w:val="right"/>
              <w:rPr>
                <w:sz w:val="14"/>
                <w:szCs w:val="14"/>
              </w:rPr>
            </w:pPr>
            <w:r>
              <w:rPr>
                <w:sz w:val="14"/>
              </w:rPr>
              <w:t xml:space="preserve">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A9396B3" w14:textId="77777777" w:rsidR="00F87E58" w:rsidRPr="002B636D" w:rsidRDefault="00F87E58" w:rsidP="00F87E58">
            <w:pPr>
              <w:pStyle w:val="cuatexto"/>
              <w:jc w:val="right"/>
              <w:rPr>
                <w:sz w:val="14"/>
                <w:szCs w:val="14"/>
              </w:rPr>
            </w:pPr>
            <w:r>
              <w:rPr>
                <w:sz w:val="14"/>
              </w:rPr>
              <w:t xml:space="preserve">1.257.093</w:t>
            </w:r>
          </w:p>
        </w:tc>
        <w:tc>
          <w:tcPr>
            <w:tcW w:w="1982"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B091596" w14:textId="77777777" w:rsidR="00F87E58" w:rsidRPr="002B636D" w:rsidRDefault="00F87E58" w:rsidP="00F87E58">
            <w:pPr>
              <w:pStyle w:val="cuatexto"/>
              <w:jc w:val="right"/>
              <w:rPr>
                <w:b/>
                <w:bCs/>
                <w:sz w:val="14"/>
                <w:szCs w:val="14"/>
              </w:rPr>
            </w:pPr>
            <w:r>
              <w:rPr>
                <w:b/>
                <w:sz w:val="14"/>
              </w:rPr>
              <w:t xml:space="preserve">1.257.093</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368DFD0D" w14:textId="77777777" w:rsidR="00F87E58" w:rsidRPr="002B636D" w:rsidRDefault="00F87E58" w:rsidP="00F87E58">
            <w:pPr>
              <w:pStyle w:val="cuatexto"/>
              <w:jc w:val="right"/>
              <w:rPr>
                <w:sz w:val="14"/>
                <w:szCs w:val="14"/>
              </w:rPr>
            </w:pPr>
            <w:r>
              <w:rPr>
                <w:sz w:val="14"/>
              </w:rPr>
              <w:t xml:space="preserve"> </w:t>
            </w:r>
          </w:p>
        </w:tc>
        <w:tc>
          <w:tcPr>
            <w:tcW w:w="1395" w:type="dxa"/>
            <w:tcBorders>
              <w:top w:val="single" w:sz="4" w:space="0" w:color="auto"/>
              <w:left w:val="single" w:sz="2" w:space="0" w:color="auto"/>
              <w:bottom w:val="single" w:sz="4" w:space="0" w:color="auto"/>
              <w:right w:val="single" w:sz="4" w:space="0" w:color="auto"/>
            </w:tcBorders>
            <w:shd w:val="clear" w:color="auto" w:fill="auto"/>
            <w:noWrap/>
            <w:vAlign w:val="center"/>
          </w:tcPr>
          <w:p w14:paraId="0031A23C" w14:textId="77777777" w:rsidR="00F87E58" w:rsidRPr="002B636D" w:rsidRDefault="00F87E58" w:rsidP="00F87E58">
            <w:pPr>
              <w:pStyle w:val="cuatexto"/>
              <w:jc w:val="right"/>
              <w:rPr>
                <w:sz w:val="14"/>
                <w:szCs w:val="14"/>
              </w:rPr>
            </w:pPr>
            <w:r>
              <w:rPr>
                <w:sz w:val="14"/>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0B29885B" w14:textId="77777777" w:rsidR="00F87E58" w:rsidRPr="002B636D" w:rsidRDefault="00F87E58" w:rsidP="00F87E58">
            <w:pPr>
              <w:pStyle w:val="cuatexto"/>
              <w:jc w:val="right"/>
              <w:rPr>
                <w:sz w:val="14"/>
                <w:szCs w:val="14"/>
              </w:rPr>
            </w:pPr>
            <w:r>
              <w:rPr>
                <w:sz w:val="14"/>
              </w:rPr>
              <w:t xml:space="preserve"> </w:t>
            </w:r>
          </w:p>
        </w:tc>
        <w:tc>
          <w:tcPr>
            <w:tcW w:w="1395" w:type="dxa"/>
            <w:tcBorders>
              <w:top w:val="single" w:sz="4" w:space="0" w:color="auto"/>
              <w:left w:val="nil"/>
              <w:bottom w:val="single" w:sz="4" w:space="0" w:color="auto"/>
            </w:tcBorders>
            <w:shd w:val="clear" w:color="auto" w:fill="auto"/>
            <w:noWrap/>
            <w:vAlign w:val="bottom"/>
          </w:tcPr>
          <w:p w14:paraId="5360B325" w14:textId="77777777" w:rsidR="00F87E58" w:rsidRPr="002B636D" w:rsidRDefault="00F87E58" w:rsidP="00F87E58">
            <w:pPr>
              <w:pStyle w:val="cuatexto"/>
              <w:jc w:val="right"/>
              <w:rPr>
                <w:b/>
                <w:bCs/>
                <w:sz w:val="14"/>
                <w:szCs w:val="14"/>
              </w:rPr>
            </w:pPr>
            <w:r>
              <w:rPr>
                <w:b/>
                <w:sz w:val="14"/>
              </w:rPr>
              <w:t xml:space="preserve"> </w:t>
            </w:r>
          </w:p>
        </w:tc>
      </w:tr>
      <w:tr w:rsidR="00F87E58" w:rsidRPr="002B636D" w14:paraId="3525497F"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1704F738" w14:textId="77777777" w:rsidR="00F87E58" w:rsidRPr="002B636D" w:rsidRDefault="00F87E58" w:rsidP="00F87E58">
            <w:pPr>
              <w:pStyle w:val="cuadroCabe"/>
              <w:jc w:val="left"/>
              <w:rPr>
                <w:sz w:val="12"/>
                <w:szCs w:val="12"/>
              </w:rPr>
            </w:pPr>
            <w:r>
              <w:rPr>
                <w:sz w:val="12"/>
              </w:rPr>
              <w:t xml:space="preserve">Guztira</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48CE747" w14:textId="77777777" w:rsidR="00F87E58" w:rsidRPr="002B636D" w:rsidRDefault="00F87E58" w:rsidP="00F87E58">
            <w:pPr>
              <w:pStyle w:val="cuadroCabe"/>
              <w:jc w:val="right"/>
              <w:rPr>
                <w:b/>
                <w:bCs/>
                <w:sz w:val="12"/>
                <w:szCs w:val="12"/>
              </w:rPr>
            </w:pPr>
            <w:r>
              <w:rPr>
                <w:b/>
                <w:sz w:val="12"/>
              </w:rPr>
              <w:t xml:space="preserve">30.062.212</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1C9150A8" w14:textId="77777777" w:rsidR="00F87E58" w:rsidRPr="002B636D" w:rsidRDefault="00F87E58" w:rsidP="00F87E58">
            <w:pPr>
              <w:pStyle w:val="cuadroCabe"/>
              <w:jc w:val="right"/>
              <w:rPr>
                <w:b/>
                <w:bCs/>
                <w:sz w:val="12"/>
                <w:szCs w:val="12"/>
              </w:rPr>
            </w:pPr>
            <w:r>
              <w:rPr>
                <w:b/>
                <w:sz w:val="12"/>
              </w:rPr>
              <w:t xml:space="preserve">17.173.704</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0DD009E9" w14:textId="77777777" w:rsidR="00F87E58" w:rsidRPr="002B636D" w:rsidRDefault="00F87E58" w:rsidP="00F87E58">
            <w:pPr>
              <w:pStyle w:val="cuadroCabe"/>
              <w:jc w:val="right"/>
              <w:rPr>
                <w:b/>
                <w:bCs/>
                <w:sz w:val="12"/>
                <w:szCs w:val="12"/>
              </w:rPr>
            </w:pPr>
            <w:r>
              <w:rPr>
                <w:b/>
                <w:sz w:val="12"/>
              </w:rPr>
              <w:t xml:space="preserve">27.204.536</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0118F110" w14:textId="77777777" w:rsidR="00F87E58" w:rsidRPr="002B636D" w:rsidRDefault="00F87E58" w:rsidP="00F87E58">
            <w:pPr>
              <w:pStyle w:val="cuadroCabe"/>
              <w:jc w:val="right"/>
              <w:rPr>
                <w:b/>
                <w:bCs/>
                <w:sz w:val="12"/>
                <w:szCs w:val="12"/>
              </w:rPr>
            </w:pPr>
            <w:r>
              <w:rPr>
                <w:b/>
                <w:sz w:val="12"/>
              </w:rPr>
              <w:t xml:space="preserve">74.440.452</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4E495E1" w14:textId="77777777" w:rsidR="00F87E58" w:rsidRPr="002B636D" w:rsidRDefault="00F87E58" w:rsidP="00F87E58">
            <w:pPr>
              <w:pStyle w:val="cuadroCabe"/>
              <w:jc w:val="right"/>
              <w:rPr>
                <w:b/>
                <w:bCs/>
                <w:sz w:val="12"/>
                <w:szCs w:val="12"/>
              </w:rPr>
            </w:pPr>
            <w:r>
              <w:rPr>
                <w:b/>
                <w:sz w:val="12"/>
              </w:rPr>
              <w:t xml:space="preserve">3.571.923</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4056B2E1" w14:textId="77777777" w:rsidR="00F87E58" w:rsidRPr="002B636D" w:rsidRDefault="00F87E58" w:rsidP="00F87E58">
            <w:pPr>
              <w:pStyle w:val="cuadroCabe"/>
              <w:jc w:val="right"/>
              <w:rPr>
                <w:b/>
                <w:bCs/>
                <w:sz w:val="12"/>
                <w:szCs w:val="12"/>
              </w:rPr>
            </w:pPr>
            <w:r>
              <w:rPr>
                <w:b/>
                <w:sz w:val="12"/>
              </w:rPr>
              <w:t xml:space="preserve">284.762</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919346C" w14:textId="77777777" w:rsidR="00F87E58" w:rsidRPr="00AA16A6" w:rsidRDefault="00D843C7" w:rsidP="00F87E58">
            <w:pPr>
              <w:pStyle w:val="cuadroCabe"/>
              <w:jc w:val="right"/>
              <w:rPr>
                <w:b/>
                <w:bCs/>
                <w:sz w:val="12"/>
                <w:szCs w:val="12"/>
              </w:rPr>
            </w:pPr>
            <w:r>
              <w:rPr>
                <w:b/>
                <w:sz w:val="12"/>
              </w:rPr>
              <w:t xml:space="preserve">1.364.400</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6FCEAC0" w14:textId="77777777" w:rsidR="00F87E58" w:rsidRPr="00AA16A6" w:rsidRDefault="00F87E58" w:rsidP="00F87E58">
            <w:pPr>
              <w:pStyle w:val="cuadroCabe"/>
              <w:jc w:val="right"/>
              <w:rPr>
                <w:b/>
                <w:bCs/>
                <w:sz w:val="12"/>
                <w:szCs w:val="12"/>
              </w:rPr>
            </w:pPr>
            <w:r>
              <w:rPr>
                <w:b/>
                <w:sz w:val="12"/>
              </w:rPr>
              <w:t xml:space="preserve">79.361.541</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1FC6A796" w14:textId="77777777" w:rsidR="00F87E58" w:rsidRPr="002B636D" w:rsidRDefault="00F87E58" w:rsidP="00F87E58">
            <w:pPr>
              <w:pStyle w:val="cuadroCabe"/>
              <w:jc w:val="right"/>
              <w:rPr>
                <w:b/>
                <w:bCs/>
                <w:sz w:val="12"/>
                <w:szCs w:val="12"/>
              </w:rPr>
            </w:pPr>
            <w:r>
              <w:rPr>
                <w:b/>
                <w:sz w:val="12"/>
              </w:rPr>
              <w:t xml:space="preserve">79.361.541</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center"/>
          </w:tcPr>
          <w:p w14:paraId="2317E52F" w14:textId="77777777" w:rsidR="00F87E58" w:rsidRPr="002B636D" w:rsidRDefault="00F87E58" w:rsidP="00F87E58">
            <w:pPr>
              <w:pStyle w:val="cuadroCabe"/>
              <w:jc w:val="right"/>
              <w:rPr>
                <w:b/>
                <w:bCs/>
                <w:sz w:val="12"/>
                <w:szCs w:val="12"/>
              </w:rPr>
            </w:pPr>
            <w:r>
              <w:rPr>
                <w:b/>
                <w:sz w:val="12"/>
              </w:rPr>
              <w:t xml:space="preserve">56.795.000</w:t>
            </w:r>
          </w:p>
        </w:tc>
        <w:tc>
          <w:tcPr>
            <w:tcW w:w="1255" w:type="dxa"/>
            <w:tcBorders>
              <w:top w:val="single" w:sz="4" w:space="0" w:color="auto"/>
              <w:left w:val="nil"/>
              <w:bottom w:val="single" w:sz="4" w:space="0" w:color="auto"/>
              <w:right w:val="single" w:sz="8" w:space="0" w:color="auto"/>
            </w:tcBorders>
            <w:shd w:val="clear" w:color="000000" w:fill="BDD7EE"/>
            <w:noWrap/>
            <w:vAlign w:val="bottom"/>
          </w:tcPr>
          <w:p w14:paraId="66BFFEAF" w14:textId="77777777" w:rsidR="00F87E58" w:rsidRPr="002B636D" w:rsidRDefault="00F87E58" w:rsidP="00F87E58">
            <w:pPr>
              <w:pStyle w:val="cuadroCabe"/>
              <w:jc w:val="right"/>
              <w:rPr>
                <w:b/>
                <w:bCs/>
                <w:sz w:val="12"/>
                <w:szCs w:val="12"/>
              </w:rPr>
            </w:pPr>
            <w:r>
              <w:rPr>
                <w:b/>
                <w:sz w:val="12"/>
              </w:rPr>
              <w:t xml:space="preserve">56.795.000</w:t>
            </w:r>
          </w:p>
        </w:tc>
        <w:tc>
          <w:tcPr>
            <w:tcW w:w="1395" w:type="dxa"/>
            <w:tcBorders>
              <w:top w:val="single" w:sz="4" w:space="0" w:color="auto"/>
              <w:left w:val="single" w:sz="4" w:space="0" w:color="auto"/>
              <w:bottom w:val="single" w:sz="4" w:space="0" w:color="auto"/>
            </w:tcBorders>
            <w:shd w:val="clear" w:color="000000" w:fill="BDD7EE"/>
            <w:noWrap/>
            <w:vAlign w:val="bottom"/>
          </w:tcPr>
          <w:p w14:paraId="6E9A6BC5" w14:textId="77777777" w:rsidR="00F87E58" w:rsidRPr="002B636D" w:rsidRDefault="00F87E58" w:rsidP="00F87E58">
            <w:pPr>
              <w:pStyle w:val="cuadroCabe"/>
              <w:jc w:val="right"/>
              <w:rPr>
                <w:b/>
                <w:bCs/>
                <w:sz w:val="12"/>
                <w:szCs w:val="12"/>
              </w:rPr>
            </w:pPr>
            <w:r>
              <w:rPr>
                <w:b/>
                <w:sz w:val="12"/>
              </w:rPr>
              <w:t xml:space="preserve">22.566.541</w:t>
            </w:r>
          </w:p>
        </w:tc>
      </w:tr>
      <w:tr w:rsidR="00F87E58" w:rsidRPr="002B636D" w14:paraId="4C96F677" w14:textId="77777777" w:rsidTr="00321B53">
        <w:trPr>
          <w:trHeight w:val="252"/>
          <w:jc w:val="center"/>
        </w:trPr>
        <w:tc>
          <w:tcPr>
            <w:tcW w:w="4455" w:type="dxa"/>
            <w:gridSpan w:val="5"/>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2815A63" w14:textId="77777777" w:rsidR="00F87E58" w:rsidRPr="002B636D" w:rsidRDefault="00F87E58" w:rsidP="00F87E58">
            <w:pPr>
              <w:pStyle w:val="cuadroCabe"/>
              <w:jc w:val="right"/>
              <w:rPr>
                <w:b/>
                <w:bCs/>
                <w:sz w:val="12"/>
                <w:szCs w:val="12"/>
              </w:rPr>
            </w:pPr>
            <w:r>
              <w:rPr>
                <w:b/>
                <w:sz w:val="12"/>
              </w:rPr>
              <w:t xml:space="preserve">ORDAINDUA, GUZTIRA (KAPITALEKO PARTAIDETZA + MAILEGUAK)</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7756C38" w14:textId="77777777" w:rsidR="00F87E58" w:rsidRPr="002B636D" w:rsidRDefault="00F87E58" w:rsidP="00F87E58">
            <w:pPr>
              <w:pStyle w:val="cuadroCabe"/>
              <w:jc w:val="right"/>
              <w:rPr>
                <w:sz w:val="12"/>
                <w:szCs w:val="12"/>
              </w:rPr>
            </w:pPr>
            <w:r>
              <w:rPr>
                <w:sz w:val="12"/>
              </w:rPr>
              <w:t xml:space="preserve">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EC57BAF" w14:textId="77777777" w:rsidR="00F87E58" w:rsidRPr="002B636D" w:rsidRDefault="00F87E58" w:rsidP="00F87E58">
            <w:pPr>
              <w:pStyle w:val="cuadroCabe"/>
              <w:jc w:val="right"/>
              <w:rPr>
                <w:sz w:val="12"/>
                <w:szCs w:val="12"/>
              </w:rPr>
            </w:pPr>
            <w:r>
              <w:rPr>
                <w:sz w:val="12"/>
              </w:rPr>
              <w:t xml:space="preserve">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926AC2A" w14:textId="77777777" w:rsidR="00F87E58" w:rsidRPr="002B636D" w:rsidRDefault="00F87E58" w:rsidP="00F87E58">
            <w:pPr>
              <w:pStyle w:val="cuadroCabe"/>
              <w:jc w:val="right"/>
              <w:rPr>
                <w:sz w:val="12"/>
                <w:szCs w:val="12"/>
              </w:rPr>
            </w:pPr>
            <w:r>
              <w:rPr>
                <w:sz w:val="12"/>
              </w:rPr>
              <w:t xml:space="preserve">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BA77496" w14:textId="77777777" w:rsidR="00F87E58" w:rsidRPr="002B636D" w:rsidRDefault="00F87E58" w:rsidP="00F87E58">
            <w:pPr>
              <w:pStyle w:val="cuadroCabe"/>
              <w:jc w:val="right"/>
              <w:rPr>
                <w:b/>
                <w:bCs/>
                <w:sz w:val="12"/>
                <w:szCs w:val="12"/>
              </w:rPr>
            </w:pPr>
            <w:r>
              <w:rPr>
                <w:b/>
                <w:sz w:val="12"/>
              </w:rPr>
              <w:t xml:space="preserve">83.411.541</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2309A92"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single" w:sz="2" w:space="0" w:color="auto"/>
              <w:bottom w:val="single" w:sz="4" w:space="0" w:color="auto"/>
              <w:right w:val="nil"/>
            </w:tcBorders>
            <w:shd w:val="clear" w:color="000000" w:fill="BDD7EE"/>
            <w:noWrap/>
            <w:vAlign w:val="bottom"/>
            <w:hideMark/>
          </w:tcPr>
          <w:p w14:paraId="7DA6CB72" w14:textId="77777777" w:rsidR="00F87E58" w:rsidRPr="002B636D" w:rsidRDefault="00F87E58" w:rsidP="00F87E58">
            <w:pPr>
              <w:pStyle w:val="cuadroCabe"/>
              <w:jc w:val="right"/>
              <w:rPr>
                <w:sz w:val="12"/>
                <w:szCs w:val="12"/>
              </w:rPr>
            </w:pPr>
            <w:r>
              <w:rPr>
                <w:sz w:val="12"/>
              </w:rPr>
              <w:t xml:space="preserve"> </w:t>
            </w:r>
          </w:p>
        </w:tc>
        <w:tc>
          <w:tcPr>
            <w:tcW w:w="1255" w:type="dxa"/>
            <w:tcBorders>
              <w:top w:val="single" w:sz="4" w:space="0" w:color="auto"/>
              <w:left w:val="nil"/>
              <w:bottom w:val="single" w:sz="4" w:space="0" w:color="auto"/>
              <w:right w:val="nil"/>
            </w:tcBorders>
            <w:shd w:val="clear" w:color="000000" w:fill="BDD7EE"/>
            <w:noWrap/>
            <w:vAlign w:val="bottom"/>
            <w:hideMark/>
          </w:tcPr>
          <w:p w14:paraId="02D7D0A6" w14:textId="77777777" w:rsidR="00F87E58" w:rsidRPr="002B636D" w:rsidRDefault="00F87E58" w:rsidP="00F87E58">
            <w:pPr>
              <w:pStyle w:val="cuadroCabe"/>
              <w:jc w:val="right"/>
              <w:rPr>
                <w:sz w:val="12"/>
                <w:szCs w:val="12"/>
              </w:rPr>
            </w:pPr>
            <w:r>
              <w:rPr>
                <w:sz w:val="12"/>
              </w:rPr>
              <w:t xml:space="preserve"> </w:t>
            </w:r>
          </w:p>
        </w:tc>
        <w:tc>
          <w:tcPr>
            <w:tcW w:w="1395" w:type="dxa"/>
            <w:tcBorders>
              <w:top w:val="single" w:sz="4" w:space="0" w:color="auto"/>
              <w:left w:val="nil"/>
              <w:bottom w:val="single" w:sz="4" w:space="0" w:color="auto"/>
            </w:tcBorders>
            <w:shd w:val="clear" w:color="000000" w:fill="BDD7EE"/>
            <w:noWrap/>
            <w:vAlign w:val="bottom"/>
            <w:hideMark/>
          </w:tcPr>
          <w:p w14:paraId="2C6C2A13" w14:textId="77777777" w:rsidR="00F87E58" w:rsidRPr="002B636D" w:rsidRDefault="00F87E58" w:rsidP="00F87E58">
            <w:pPr>
              <w:pStyle w:val="cuadroCabe"/>
              <w:jc w:val="right"/>
              <w:rPr>
                <w:sz w:val="12"/>
                <w:szCs w:val="12"/>
              </w:rPr>
            </w:pPr>
            <w:r>
              <w:rPr>
                <w:sz w:val="12"/>
              </w:rPr>
              <w:t xml:space="preserve"> </w:t>
            </w:r>
          </w:p>
        </w:tc>
      </w:tr>
    </w:tbl>
    <w:p w14:paraId="567A22B9" w14:textId="77777777" w:rsidR="002076D6" w:rsidRDefault="002076D6" w:rsidP="00F87E58">
      <w:pPr>
        <w:pStyle w:val="texto"/>
        <w:sectPr w:rsidR="002076D6" w:rsidSect="004663EF">
          <w:headerReference w:type="even" r:id="rId17"/>
          <w:type w:val="oddPage"/>
          <w:pgSz w:w="16840" w:h="11907" w:orient="landscape" w:code="9"/>
          <w:pgMar w:top="1559" w:right="2109" w:bottom="1559" w:left="1644" w:header="369" w:footer="136" w:gutter="0"/>
          <w:cols w:space="720"/>
          <w:docGrid w:linePitch="360"/>
        </w:sectPr>
      </w:pPr>
    </w:p>
    <w:p w14:paraId="2692F7D6" w14:textId="77777777" w:rsidR="00F87E58" w:rsidRDefault="00F87E58" w:rsidP="00F87E58">
      <w:pPr>
        <w:pStyle w:val="texto"/>
      </w:pPr>
      <w:r>
        <w:t xml:space="preserve">Taulan dagoen informazioaren zenbait alderdi nabarmendu behar ditugu:</w:t>
      </w:r>
    </w:p>
    <w:p w14:paraId="6F3AA468" w14:textId="77777777" w:rsidR="00F87E58" w:rsidRDefault="00F87E58" w:rsidP="00F87E58">
      <w:pPr>
        <w:pStyle w:val="atitulo3"/>
        <w:spacing w:before="240"/>
      </w:pPr>
      <w:r>
        <w:t xml:space="preserve">Maileguen helburua</w:t>
      </w:r>
    </w:p>
    <w:p w14:paraId="37C2178D"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2005etik 2018ra bitartean, hauek baino ez dira finantzatu: Parquenasaren finantza zorra</w:t>
      </w:r>
      <w:r w:rsidRPr="00950ECD">
        <w:rPr>
          <w:rStyle w:val="Refdenotaalpie"/>
          <w:rFonts w:eastAsia="Calibri"/>
          <w:szCs w:val="26"/>
        </w:rPr>
        <w:footnoteReference w:id="12"/>
      </w:r>
      <w:r>
        <w:t xml:space="preserve"> (printzipala eta interesak), mantentze lanetarako eta ordezpenetarako inbertsioak eta jarduera arruntaren diruzaintza-defizita. Bankuekin zorra izan den azken ekitaldia 2018koa izan da.</w:t>
      </w:r>
      <w:r>
        <w:t xml:space="preserve"> </w:t>
      </w:r>
    </w:p>
    <w:p w14:paraId="2C0E5A1C" w14:textId="77777777" w:rsidR="00F87E58" w:rsidRPr="00395FA4"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2019ko ekitalditik aurrera mantentze lanetarako eta ordezpenetarako inbertsioak eta jarduera arruntaren diruzaintza-defizita baino ez dira finantzatu.</w:t>
      </w:r>
      <w:r>
        <w:t xml:space="preserve"> </w:t>
      </w:r>
      <w:r>
        <w:t xml:space="preserve">Hala ere, 2019an inbertsio plan bat onetsi zen 2020-2022 urteetarako</w:t>
      </w:r>
      <w:bookmarkStart w:id="31" w:name="TMB1288073161"/>
      <w:bookmarkStart w:id="32" w:name="TMB987682705"/>
      <w:bookmarkEnd w:id="31"/>
      <w:bookmarkEnd w:id="32"/>
      <w:r>
        <w:t xml:space="preserve">, epealdi bereko plan estrategikoan aurreikusi bezala</w:t>
      </w:r>
      <w:r>
        <w:rPr>
          <w:rStyle w:val="Refdenotaalpie"/>
          <w:rFonts w:eastAsia="Calibri"/>
          <w:szCs w:val="26"/>
        </w:rPr>
        <w:footnoteReference w:id="13"/>
      </w:r>
      <w:r>
        <w:t xml:space="preserve">.</w:t>
      </w:r>
      <w:r>
        <w:t xml:space="preserve"> </w:t>
      </w:r>
      <w:r>
        <w:t xml:space="preserve">Horregatik, 2020tik aurrera, plan horri atxikitako inbertsioak ere finantzatu dira.</w:t>
      </w:r>
      <w:r>
        <w:t xml:space="preserve"> </w:t>
      </w:r>
      <w:r>
        <w:t xml:space="preserve">Zehazki, 3,8 milioiko inbertsioak, horietatik 0,3 milioi sutearen ondoren parkea berriz irekitzekoak.</w:t>
      </w:r>
      <w:r>
        <w:t xml:space="preserve"> </w:t>
      </w:r>
    </w:p>
    <w:p w14:paraId="3DA3AE80"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2022ko ekitaldian parkean sutea izan zen, eta berariazko finantzaketa behar zuten inbertsioen beharra sortu zen sutearen ondorioz.</w:t>
      </w:r>
      <w:r>
        <w:t xml:space="preserve"> </w:t>
      </w:r>
      <w:r>
        <w:t xml:space="preserve">1,5 milioi izan ziren; horietatik 0,11 milioi ordaindu dira 2022an eta 1,26 milioi 2023ko ekainera arte.</w:t>
      </w:r>
      <w:r>
        <w:t xml:space="preserve"> </w:t>
      </w:r>
    </w:p>
    <w:p w14:paraId="4B6A4588" w14:textId="77777777" w:rsidR="00F87E58" w:rsidRPr="00E85E61" w:rsidRDefault="00F87E58" w:rsidP="00F87E58">
      <w:pPr>
        <w:pStyle w:val="atitulo3"/>
        <w:spacing w:before="240"/>
        <w:rPr>
          <w:sz w:val="26"/>
        </w:rPr>
      </w:pPr>
      <w:r>
        <w:rPr>
          <w:sz w:val="26"/>
        </w:rPr>
        <w:t xml:space="preserve">Maileguen epemugak</w:t>
      </w:r>
    </w:p>
    <w:p w14:paraId="46FA54DD" w14:textId="77777777" w:rsidR="00F87E58" w:rsidRDefault="00F87E58" w:rsidP="00F87E58">
      <w:pPr>
        <w:pStyle w:val="texto"/>
        <w:spacing w:after="120"/>
        <w:rPr>
          <w:rFonts w:cs="Arial"/>
        </w:rPr>
      </w:pPr>
      <w:r>
        <w:t xml:space="preserve">Taula honetan azaltzen dira Sodenak emandako maileguen epemugak:</w:t>
      </w:r>
      <w:r>
        <w:t xml:space="preserve">  </w:t>
      </w:r>
      <w:r>
        <w:tab/>
      </w:r>
    </w:p>
    <w:p w14:paraId="0C966FB1" w14:textId="77777777" w:rsidR="00F87E58" w:rsidRDefault="00F87E58" w:rsidP="00F87E58">
      <w:pPr>
        <w:pStyle w:val="texto"/>
        <w:spacing w:after="120"/>
        <w:rPr>
          <w:rFonts w:cs="Arial"/>
        </w:rPr>
      </w:pPr>
      <w:r>
        <w:rPr>
          <w:color w:val="000000"/>
          <w:sz w:val="20"/>
          <w:rFonts w:ascii="Arial Narrow" w:hAnsi="Arial Narrow"/>
        </w:rPr>
        <w:t xml:space="preserve">                                                                                                                                                                          </w:t>
      </w:r>
      <w:r>
        <w:rPr>
          <w:color w:val="000000"/>
          <w:sz w:val="20"/>
          <w:rFonts w:ascii="Arial Narrow" w:hAnsi="Arial Narrow"/>
        </w:rPr>
        <w:t xml:space="preserve">(milakotan)</w:t>
      </w:r>
    </w:p>
    <w:tbl>
      <w:tblPr>
        <w:tblW w:w="8789" w:type="dxa"/>
        <w:tblCellMar>
          <w:left w:w="70" w:type="dxa"/>
          <w:right w:w="70" w:type="dxa"/>
        </w:tblCellMar>
        <w:tblLook w:val="04A0" w:firstRow="1" w:lastRow="0" w:firstColumn="1" w:lastColumn="0" w:noHBand="0" w:noVBand="1"/>
      </w:tblPr>
      <w:tblGrid>
        <w:gridCol w:w="2694"/>
        <w:gridCol w:w="1417"/>
        <w:gridCol w:w="1418"/>
        <w:gridCol w:w="1417"/>
        <w:gridCol w:w="709"/>
        <w:gridCol w:w="1134"/>
      </w:tblGrid>
      <w:tr w:rsidR="00F87E58" w:rsidRPr="000C5B18" w14:paraId="2D1E5F65" w14:textId="77777777" w:rsidTr="00F87E58">
        <w:trPr>
          <w:trHeight w:val="255"/>
        </w:trPr>
        <w:tc>
          <w:tcPr>
            <w:tcW w:w="2694" w:type="dxa"/>
            <w:tcBorders>
              <w:top w:val="single" w:sz="4" w:space="0" w:color="auto"/>
              <w:left w:val="nil"/>
              <w:bottom w:val="single" w:sz="4" w:space="0" w:color="auto"/>
              <w:right w:val="nil"/>
            </w:tcBorders>
            <w:shd w:val="clear" w:color="000000" w:fill="9CC2E5"/>
            <w:noWrap/>
            <w:vAlign w:val="center"/>
            <w:hideMark/>
          </w:tcPr>
          <w:p w14:paraId="02477EC5" w14:textId="77777777" w:rsidR="00F87E58" w:rsidRPr="000C5B18" w:rsidRDefault="00F87E58" w:rsidP="00F87E58">
            <w:pPr>
              <w:spacing w:after="0"/>
              <w:ind w:firstLine="0"/>
              <w:jc w:val="left"/>
              <w:rPr>
                <w:color w:val="000000"/>
                <w:sz w:val="18"/>
                <w:szCs w:val="18"/>
                <w:rFonts w:ascii="Arial" w:hAnsi="Arial" w:cs="Arial"/>
              </w:rPr>
            </w:pPr>
            <w:r>
              <w:rPr>
                <w:color w:val="000000"/>
                <w:sz w:val="18"/>
                <w:rFonts w:ascii="Arial" w:hAnsi="Arial"/>
              </w:rPr>
              <w:t xml:space="preserve"> </w:t>
            </w:r>
          </w:p>
        </w:tc>
        <w:tc>
          <w:tcPr>
            <w:tcW w:w="1417" w:type="dxa"/>
            <w:tcBorders>
              <w:top w:val="single" w:sz="4" w:space="0" w:color="auto"/>
              <w:left w:val="nil"/>
              <w:bottom w:val="single" w:sz="4" w:space="0" w:color="auto"/>
              <w:right w:val="nil"/>
            </w:tcBorders>
            <w:shd w:val="clear" w:color="000000" w:fill="9CC2E5"/>
            <w:noWrap/>
            <w:vAlign w:val="center"/>
            <w:hideMark/>
          </w:tcPr>
          <w:p w14:paraId="0BD6F827"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Emanda</w:t>
            </w:r>
          </w:p>
        </w:tc>
        <w:tc>
          <w:tcPr>
            <w:tcW w:w="1418" w:type="dxa"/>
            <w:tcBorders>
              <w:top w:val="single" w:sz="4" w:space="0" w:color="auto"/>
              <w:left w:val="nil"/>
              <w:bottom w:val="single" w:sz="4" w:space="0" w:color="auto"/>
              <w:right w:val="nil"/>
            </w:tcBorders>
            <w:shd w:val="clear" w:color="000000" w:fill="9CC2E5"/>
            <w:noWrap/>
            <w:vAlign w:val="center"/>
            <w:hideMark/>
          </w:tcPr>
          <w:p w14:paraId="50FAA691"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Ordainduta 2022/12/31</w:t>
            </w:r>
          </w:p>
        </w:tc>
        <w:tc>
          <w:tcPr>
            <w:tcW w:w="1417" w:type="dxa"/>
            <w:tcBorders>
              <w:top w:val="single" w:sz="4" w:space="0" w:color="auto"/>
              <w:left w:val="nil"/>
              <w:bottom w:val="single" w:sz="4" w:space="0" w:color="auto"/>
              <w:right w:val="nil"/>
            </w:tcBorders>
            <w:shd w:val="clear" w:color="000000" w:fill="9CC2E5"/>
            <w:vAlign w:val="center"/>
          </w:tcPr>
          <w:p w14:paraId="3AD4F490"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Ordainduta 2023/06/31</w:t>
            </w:r>
          </w:p>
        </w:tc>
        <w:tc>
          <w:tcPr>
            <w:tcW w:w="709" w:type="dxa"/>
            <w:tcBorders>
              <w:top w:val="single" w:sz="4" w:space="0" w:color="auto"/>
              <w:left w:val="nil"/>
              <w:bottom w:val="single" w:sz="4" w:space="0" w:color="auto"/>
              <w:right w:val="nil"/>
            </w:tcBorders>
            <w:shd w:val="clear" w:color="000000" w:fill="9CC2E5"/>
            <w:vAlign w:val="center"/>
            <w:hideMark/>
          </w:tcPr>
          <w:p w14:paraId="16B71873"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Interesak</w:t>
            </w:r>
          </w:p>
        </w:tc>
        <w:tc>
          <w:tcPr>
            <w:tcW w:w="1134" w:type="dxa"/>
            <w:tcBorders>
              <w:top w:val="single" w:sz="4" w:space="0" w:color="auto"/>
              <w:left w:val="nil"/>
              <w:bottom w:val="single" w:sz="4" w:space="0" w:color="auto"/>
              <w:right w:val="nil"/>
            </w:tcBorders>
            <w:shd w:val="clear" w:color="000000" w:fill="9CC2E5"/>
            <w:noWrap/>
            <w:vAlign w:val="center"/>
            <w:hideMark/>
          </w:tcPr>
          <w:p w14:paraId="0931A8FB"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Muga-</w:t>
            </w:r>
          </w:p>
          <w:p w14:paraId="512C574F"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eguna</w:t>
            </w:r>
          </w:p>
        </w:tc>
      </w:tr>
      <w:tr w:rsidR="00F87E58" w:rsidRPr="00F80904" w14:paraId="7191E55E" w14:textId="77777777" w:rsidTr="00F87E58">
        <w:trPr>
          <w:trHeight w:val="198"/>
        </w:trPr>
        <w:tc>
          <w:tcPr>
            <w:tcW w:w="2694" w:type="dxa"/>
            <w:tcBorders>
              <w:top w:val="single" w:sz="4" w:space="0" w:color="auto"/>
              <w:left w:val="nil"/>
              <w:bottom w:val="single" w:sz="2" w:space="0" w:color="auto"/>
              <w:right w:val="nil"/>
            </w:tcBorders>
            <w:shd w:val="clear" w:color="auto" w:fill="auto"/>
            <w:vAlign w:val="center"/>
            <w:hideMark/>
          </w:tcPr>
          <w:p w14:paraId="013E7C8A" w14:textId="77777777" w:rsidR="00F87E58" w:rsidRPr="000C5B18" w:rsidRDefault="00F87E58" w:rsidP="00F87E58">
            <w:pPr>
              <w:spacing w:after="0"/>
              <w:ind w:firstLine="0"/>
              <w:jc w:val="left"/>
              <w:rPr>
                <w:color w:val="000000"/>
                <w:sz w:val="18"/>
                <w:szCs w:val="18"/>
                <w:rFonts w:ascii="Arial Narrow" w:hAnsi="Arial Narrow" w:cs="Calibri"/>
              </w:rPr>
            </w:pPr>
            <w:r>
              <w:rPr>
                <w:color w:val="000000"/>
                <w:sz w:val="18"/>
                <w:rFonts w:ascii="Arial Narrow" w:hAnsi="Arial Narrow"/>
              </w:rPr>
              <w:t xml:space="preserve">Maileguak 2005-2019 + 2021 + 2022</w:t>
            </w:r>
          </w:p>
        </w:tc>
        <w:tc>
          <w:tcPr>
            <w:tcW w:w="1417" w:type="dxa"/>
            <w:tcBorders>
              <w:top w:val="single" w:sz="4" w:space="0" w:color="auto"/>
              <w:left w:val="nil"/>
              <w:bottom w:val="single" w:sz="2" w:space="0" w:color="auto"/>
              <w:right w:val="nil"/>
            </w:tcBorders>
            <w:shd w:val="clear" w:color="auto" w:fill="auto"/>
            <w:noWrap/>
            <w:vAlign w:val="center"/>
            <w:hideMark/>
          </w:tcPr>
          <w:p w14:paraId="553C5B40"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1418" w:type="dxa"/>
            <w:tcBorders>
              <w:top w:val="single" w:sz="4" w:space="0" w:color="auto"/>
              <w:left w:val="nil"/>
              <w:bottom w:val="single" w:sz="2" w:space="0" w:color="auto"/>
              <w:right w:val="nil"/>
            </w:tcBorders>
            <w:shd w:val="clear" w:color="auto" w:fill="auto"/>
            <w:noWrap/>
            <w:vAlign w:val="center"/>
            <w:hideMark/>
          </w:tcPr>
          <w:p w14:paraId="07858B09"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1417" w:type="dxa"/>
            <w:tcBorders>
              <w:top w:val="single" w:sz="4" w:space="0" w:color="auto"/>
              <w:left w:val="nil"/>
              <w:bottom w:val="single" w:sz="2" w:space="0" w:color="auto"/>
              <w:right w:val="nil"/>
            </w:tcBorders>
            <w:vAlign w:val="center"/>
          </w:tcPr>
          <w:p w14:paraId="29337C9D"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72.104</w:t>
            </w:r>
          </w:p>
        </w:tc>
        <w:tc>
          <w:tcPr>
            <w:tcW w:w="709" w:type="dxa"/>
            <w:tcBorders>
              <w:top w:val="single" w:sz="4" w:space="0" w:color="auto"/>
              <w:left w:val="nil"/>
              <w:bottom w:val="single" w:sz="2" w:space="0" w:color="auto"/>
              <w:right w:val="nil"/>
            </w:tcBorders>
            <w:shd w:val="clear" w:color="auto" w:fill="auto"/>
            <w:vAlign w:val="center"/>
            <w:hideMark/>
          </w:tcPr>
          <w:p w14:paraId="37404A2F"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25</w:t>
            </w:r>
          </w:p>
        </w:tc>
        <w:tc>
          <w:tcPr>
            <w:tcW w:w="1134" w:type="dxa"/>
            <w:tcBorders>
              <w:top w:val="single" w:sz="4" w:space="0" w:color="auto"/>
              <w:left w:val="nil"/>
              <w:bottom w:val="single" w:sz="2" w:space="0" w:color="auto"/>
              <w:right w:val="nil"/>
            </w:tcBorders>
            <w:shd w:val="clear" w:color="auto" w:fill="auto"/>
            <w:vAlign w:val="center"/>
            <w:hideMark/>
          </w:tcPr>
          <w:p w14:paraId="386ABAED"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2027/03/15</w:t>
            </w:r>
          </w:p>
        </w:tc>
      </w:tr>
      <w:tr w:rsidR="00F87E58" w:rsidRPr="00F80904" w14:paraId="0CB7F0D8" w14:textId="77777777" w:rsidTr="00F87E58">
        <w:trPr>
          <w:trHeight w:val="198"/>
        </w:trPr>
        <w:tc>
          <w:tcPr>
            <w:tcW w:w="2694" w:type="dxa"/>
            <w:tcBorders>
              <w:top w:val="single" w:sz="2" w:space="0" w:color="auto"/>
              <w:left w:val="nil"/>
              <w:bottom w:val="single" w:sz="2" w:space="0" w:color="auto"/>
              <w:right w:val="nil"/>
            </w:tcBorders>
            <w:shd w:val="clear" w:color="auto" w:fill="auto"/>
            <w:vAlign w:val="center"/>
            <w:hideMark/>
          </w:tcPr>
          <w:p w14:paraId="05194E19" w14:textId="77777777" w:rsidR="00F87E58" w:rsidRPr="000C5B18" w:rsidRDefault="00F87E58" w:rsidP="00F87E58">
            <w:pPr>
              <w:spacing w:after="0"/>
              <w:ind w:firstLine="0"/>
              <w:jc w:val="left"/>
              <w:rPr>
                <w:color w:val="000000"/>
                <w:sz w:val="18"/>
                <w:szCs w:val="18"/>
                <w:rFonts w:ascii="Arial Narrow" w:hAnsi="Arial Narrow" w:cs="Calibri"/>
              </w:rPr>
            </w:pPr>
            <w:r>
              <w:rPr>
                <w:color w:val="000000"/>
                <w:sz w:val="18"/>
                <w:rFonts w:ascii="Arial Narrow" w:hAnsi="Arial Narrow"/>
              </w:rPr>
              <w:t xml:space="preserve">2020ko mailegua + Plan estrategikoko inbertsioa</w:t>
            </w:r>
          </w:p>
        </w:tc>
        <w:tc>
          <w:tcPr>
            <w:tcW w:w="1417" w:type="dxa"/>
            <w:tcBorders>
              <w:top w:val="single" w:sz="2" w:space="0" w:color="auto"/>
              <w:left w:val="nil"/>
              <w:bottom w:val="single" w:sz="2" w:space="0" w:color="auto"/>
              <w:right w:val="nil"/>
            </w:tcBorders>
            <w:shd w:val="clear" w:color="auto" w:fill="auto"/>
            <w:noWrap/>
            <w:vAlign w:val="center"/>
            <w:hideMark/>
          </w:tcPr>
          <w:p w14:paraId="36D5CDCE"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5.900</w:t>
            </w:r>
          </w:p>
        </w:tc>
        <w:tc>
          <w:tcPr>
            <w:tcW w:w="1418" w:type="dxa"/>
            <w:tcBorders>
              <w:top w:val="single" w:sz="2" w:space="0" w:color="auto"/>
              <w:left w:val="nil"/>
              <w:bottom w:val="single" w:sz="2" w:space="0" w:color="auto"/>
              <w:right w:val="nil"/>
            </w:tcBorders>
            <w:shd w:val="clear" w:color="auto" w:fill="auto"/>
            <w:noWrap/>
            <w:vAlign w:val="center"/>
            <w:hideMark/>
          </w:tcPr>
          <w:p w14:paraId="43451E92"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5.893</w:t>
            </w:r>
          </w:p>
        </w:tc>
        <w:tc>
          <w:tcPr>
            <w:tcW w:w="1417" w:type="dxa"/>
            <w:tcBorders>
              <w:top w:val="single" w:sz="2" w:space="0" w:color="auto"/>
              <w:left w:val="nil"/>
              <w:bottom w:val="single" w:sz="2" w:space="0" w:color="auto"/>
              <w:right w:val="nil"/>
            </w:tcBorders>
            <w:vAlign w:val="center"/>
          </w:tcPr>
          <w:p w14:paraId="4DB28C7F"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5.893</w:t>
            </w:r>
          </w:p>
        </w:tc>
        <w:tc>
          <w:tcPr>
            <w:tcW w:w="709" w:type="dxa"/>
            <w:tcBorders>
              <w:top w:val="single" w:sz="2" w:space="0" w:color="auto"/>
              <w:left w:val="nil"/>
              <w:bottom w:val="single" w:sz="2" w:space="0" w:color="auto"/>
              <w:right w:val="nil"/>
            </w:tcBorders>
            <w:shd w:val="clear" w:color="auto" w:fill="auto"/>
            <w:vAlign w:val="center"/>
            <w:hideMark/>
          </w:tcPr>
          <w:p w14:paraId="55C4CC96"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163</w:t>
            </w:r>
          </w:p>
        </w:tc>
        <w:tc>
          <w:tcPr>
            <w:tcW w:w="1134" w:type="dxa"/>
            <w:tcBorders>
              <w:top w:val="single" w:sz="2" w:space="0" w:color="auto"/>
              <w:left w:val="nil"/>
              <w:bottom w:val="single" w:sz="2" w:space="0" w:color="auto"/>
              <w:right w:val="nil"/>
            </w:tcBorders>
            <w:shd w:val="clear" w:color="auto" w:fill="auto"/>
            <w:vAlign w:val="center"/>
            <w:hideMark/>
          </w:tcPr>
          <w:p w14:paraId="79E97845"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2025/05/31</w:t>
            </w:r>
          </w:p>
        </w:tc>
      </w:tr>
      <w:tr w:rsidR="00F87E58" w:rsidRPr="00F80904" w14:paraId="7FA64873" w14:textId="77777777" w:rsidTr="00F87E58">
        <w:trPr>
          <w:trHeight w:val="198"/>
        </w:trPr>
        <w:tc>
          <w:tcPr>
            <w:tcW w:w="2694" w:type="dxa"/>
            <w:tcBorders>
              <w:top w:val="single" w:sz="2" w:space="0" w:color="auto"/>
              <w:left w:val="nil"/>
              <w:bottom w:val="single" w:sz="4" w:space="0" w:color="auto"/>
              <w:right w:val="nil"/>
            </w:tcBorders>
            <w:shd w:val="clear" w:color="auto" w:fill="auto"/>
            <w:vAlign w:val="center"/>
            <w:hideMark/>
          </w:tcPr>
          <w:p w14:paraId="079F5907" w14:textId="77777777" w:rsidR="00F87E58" w:rsidRPr="000C5B18" w:rsidRDefault="00F87E58" w:rsidP="00F87E58">
            <w:pPr>
              <w:spacing w:after="0"/>
              <w:ind w:firstLine="0"/>
              <w:jc w:val="left"/>
              <w:rPr>
                <w:color w:val="000000"/>
                <w:sz w:val="18"/>
                <w:szCs w:val="18"/>
                <w:rFonts w:ascii="Arial Narrow" w:hAnsi="Arial Narrow" w:cs="Calibri"/>
              </w:rPr>
            </w:pPr>
            <w:r>
              <w:rPr>
                <w:color w:val="000000"/>
                <w:sz w:val="18"/>
                <w:rFonts w:ascii="Arial Narrow" w:hAnsi="Arial Narrow"/>
              </w:rPr>
              <w:t xml:space="preserve">Mailegua, 2022ko sutea dela-eta</w:t>
            </w:r>
          </w:p>
        </w:tc>
        <w:tc>
          <w:tcPr>
            <w:tcW w:w="1417" w:type="dxa"/>
            <w:tcBorders>
              <w:top w:val="single" w:sz="2" w:space="0" w:color="auto"/>
              <w:left w:val="nil"/>
              <w:bottom w:val="single" w:sz="4" w:space="0" w:color="auto"/>
              <w:right w:val="nil"/>
            </w:tcBorders>
            <w:shd w:val="clear" w:color="auto" w:fill="auto"/>
            <w:noWrap/>
            <w:vAlign w:val="center"/>
            <w:hideMark/>
          </w:tcPr>
          <w:p w14:paraId="07270AC2"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1.500</w:t>
            </w:r>
          </w:p>
        </w:tc>
        <w:tc>
          <w:tcPr>
            <w:tcW w:w="1418" w:type="dxa"/>
            <w:tcBorders>
              <w:top w:val="single" w:sz="2" w:space="0" w:color="auto"/>
              <w:left w:val="nil"/>
              <w:bottom w:val="single" w:sz="4" w:space="0" w:color="auto"/>
              <w:right w:val="nil"/>
            </w:tcBorders>
            <w:shd w:val="clear" w:color="auto" w:fill="auto"/>
            <w:noWrap/>
            <w:vAlign w:val="center"/>
            <w:hideMark/>
          </w:tcPr>
          <w:p w14:paraId="7FD46434"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107</w:t>
            </w:r>
          </w:p>
        </w:tc>
        <w:tc>
          <w:tcPr>
            <w:tcW w:w="1417" w:type="dxa"/>
            <w:tcBorders>
              <w:top w:val="single" w:sz="2" w:space="0" w:color="auto"/>
              <w:left w:val="nil"/>
              <w:bottom w:val="single" w:sz="4" w:space="0" w:color="auto"/>
              <w:right w:val="nil"/>
            </w:tcBorders>
            <w:vAlign w:val="center"/>
          </w:tcPr>
          <w:p w14:paraId="121513C8"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1.364</w:t>
            </w:r>
          </w:p>
        </w:tc>
        <w:tc>
          <w:tcPr>
            <w:tcW w:w="709" w:type="dxa"/>
            <w:tcBorders>
              <w:top w:val="single" w:sz="2" w:space="0" w:color="auto"/>
              <w:left w:val="nil"/>
              <w:bottom w:val="single" w:sz="4" w:space="0" w:color="auto"/>
              <w:right w:val="nil"/>
            </w:tcBorders>
            <w:shd w:val="clear" w:color="auto" w:fill="auto"/>
            <w:vAlign w:val="center"/>
            <w:hideMark/>
          </w:tcPr>
          <w:p w14:paraId="4DA4A0EB"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 </w:t>
            </w:r>
          </w:p>
        </w:tc>
        <w:tc>
          <w:tcPr>
            <w:tcW w:w="1134" w:type="dxa"/>
            <w:tcBorders>
              <w:top w:val="single" w:sz="2" w:space="0" w:color="auto"/>
              <w:left w:val="nil"/>
              <w:bottom w:val="single" w:sz="4" w:space="0" w:color="auto"/>
              <w:right w:val="nil"/>
            </w:tcBorders>
            <w:shd w:val="clear" w:color="auto" w:fill="auto"/>
            <w:vAlign w:val="center"/>
            <w:hideMark/>
          </w:tcPr>
          <w:p w14:paraId="3FBE393A" w14:textId="77777777" w:rsidR="00F87E58" w:rsidRPr="000C5B18" w:rsidRDefault="00F87E58" w:rsidP="00F87E58">
            <w:pPr>
              <w:spacing w:after="0"/>
              <w:ind w:firstLine="0"/>
              <w:jc w:val="right"/>
              <w:rPr>
                <w:color w:val="000000"/>
                <w:sz w:val="18"/>
                <w:szCs w:val="18"/>
                <w:rFonts w:ascii="Arial Narrow" w:hAnsi="Arial Narrow" w:cs="Calibri"/>
              </w:rPr>
            </w:pPr>
            <w:r>
              <w:rPr>
                <w:color w:val="000000"/>
                <w:sz w:val="18"/>
                <w:rFonts w:ascii="Arial Narrow" w:hAnsi="Arial Narrow"/>
              </w:rPr>
              <w:t xml:space="preserve">2034/12/01</w:t>
            </w:r>
          </w:p>
        </w:tc>
      </w:tr>
      <w:tr w:rsidR="00F87E58" w:rsidRPr="000C5B18" w14:paraId="52C753D4" w14:textId="77777777" w:rsidTr="00F87E58">
        <w:trPr>
          <w:trHeight w:val="255"/>
        </w:trPr>
        <w:tc>
          <w:tcPr>
            <w:tcW w:w="2694" w:type="dxa"/>
            <w:tcBorders>
              <w:top w:val="single" w:sz="4" w:space="0" w:color="auto"/>
              <w:left w:val="nil"/>
              <w:bottom w:val="single" w:sz="4" w:space="0" w:color="auto"/>
              <w:right w:val="nil"/>
            </w:tcBorders>
            <w:shd w:val="clear" w:color="000000" w:fill="9CC2E5"/>
            <w:vAlign w:val="center"/>
            <w:hideMark/>
          </w:tcPr>
          <w:p w14:paraId="29365093" w14:textId="77777777" w:rsidR="00F87E58" w:rsidRPr="000C5B18" w:rsidRDefault="00F87E58" w:rsidP="00F87E58">
            <w:pPr>
              <w:spacing w:after="0"/>
              <w:ind w:firstLine="0"/>
              <w:jc w:val="left"/>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Guztira</w:t>
            </w:r>
          </w:p>
        </w:tc>
        <w:tc>
          <w:tcPr>
            <w:tcW w:w="1417" w:type="dxa"/>
            <w:tcBorders>
              <w:top w:val="single" w:sz="4" w:space="0" w:color="auto"/>
              <w:left w:val="nil"/>
              <w:bottom w:val="single" w:sz="4" w:space="0" w:color="auto"/>
              <w:right w:val="nil"/>
            </w:tcBorders>
            <w:shd w:val="clear" w:color="000000" w:fill="9CC2E5"/>
            <w:noWrap/>
            <w:vAlign w:val="center"/>
            <w:hideMark/>
          </w:tcPr>
          <w:p w14:paraId="23BDE75A"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79.504</w:t>
            </w:r>
          </w:p>
        </w:tc>
        <w:tc>
          <w:tcPr>
            <w:tcW w:w="1418" w:type="dxa"/>
            <w:tcBorders>
              <w:top w:val="single" w:sz="4" w:space="0" w:color="auto"/>
              <w:left w:val="nil"/>
              <w:bottom w:val="single" w:sz="4" w:space="0" w:color="auto"/>
              <w:right w:val="nil"/>
            </w:tcBorders>
            <w:shd w:val="clear" w:color="000000" w:fill="9CC2E5"/>
            <w:noWrap/>
            <w:vAlign w:val="center"/>
            <w:hideMark/>
          </w:tcPr>
          <w:p w14:paraId="47613A44"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78.104</w:t>
            </w:r>
          </w:p>
        </w:tc>
        <w:tc>
          <w:tcPr>
            <w:tcW w:w="1417" w:type="dxa"/>
            <w:tcBorders>
              <w:top w:val="single" w:sz="4" w:space="0" w:color="auto"/>
              <w:left w:val="nil"/>
              <w:bottom w:val="single" w:sz="4" w:space="0" w:color="auto"/>
              <w:right w:val="nil"/>
            </w:tcBorders>
            <w:shd w:val="clear" w:color="000000" w:fill="9CC2E5"/>
            <w:vAlign w:val="center"/>
          </w:tcPr>
          <w:p w14:paraId="780522FC"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79.361</w:t>
            </w:r>
          </w:p>
        </w:tc>
        <w:tc>
          <w:tcPr>
            <w:tcW w:w="709" w:type="dxa"/>
            <w:tcBorders>
              <w:top w:val="single" w:sz="4" w:space="0" w:color="auto"/>
              <w:left w:val="nil"/>
              <w:bottom w:val="single" w:sz="4" w:space="0" w:color="auto"/>
              <w:right w:val="nil"/>
            </w:tcBorders>
            <w:shd w:val="clear" w:color="000000" w:fill="9CC2E5"/>
            <w:vAlign w:val="center"/>
            <w:hideMark/>
          </w:tcPr>
          <w:p w14:paraId="781C070B"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188</w:t>
            </w:r>
          </w:p>
        </w:tc>
        <w:tc>
          <w:tcPr>
            <w:tcW w:w="1134" w:type="dxa"/>
            <w:tcBorders>
              <w:top w:val="single" w:sz="4" w:space="0" w:color="auto"/>
              <w:left w:val="nil"/>
              <w:bottom w:val="single" w:sz="4" w:space="0" w:color="auto"/>
              <w:right w:val="nil"/>
            </w:tcBorders>
            <w:shd w:val="clear" w:color="000000" w:fill="9CC2E5"/>
            <w:noWrap/>
            <w:vAlign w:val="center"/>
            <w:hideMark/>
          </w:tcPr>
          <w:p w14:paraId="6647279B" w14:textId="77777777" w:rsidR="00F87E58" w:rsidRPr="000C5B18" w:rsidRDefault="00F87E58" w:rsidP="00F87E58">
            <w:pPr>
              <w:spacing w:after="0"/>
              <w:ind w:firstLine="0"/>
              <w:jc w:val="right"/>
              <w:rPr>
                <w:color w:val="000000"/>
                <w:sz w:val="18"/>
                <w:szCs w:val="18"/>
                <w:rFonts w:ascii="Arial" w:hAnsi="Arial" w:cs="Arial"/>
              </w:rPr>
            </w:pPr>
            <w:r>
              <w:rPr>
                <w:color w:val="000000"/>
                <w:sz w:val="18"/>
                <w:rFonts w:ascii="Arial" w:hAnsi="Arial"/>
              </w:rPr>
              <w:t xml:space="preserve"> </w:t>
            </w:r>
          </w:p>
        </w:tc>
      </w:tr>
    </w:tbl>
    <w:p w14:paraId="43E7C2C8" w14:textId="77777777" w:rsidR="00F87E58" w:rsidRPr="001D270D" w:rsidRDefault="00F87E58" w:rsidP="00F87E58">
      <w:pPr>
        <w:pStyle w:val="atitulo3"/>
        <w:spacing w:before="240"/>
      </w:pPr>
      <w:r>
        <w:t xml:space="preserve">Baimena emateko prozedura</w:t>
      </w:r>
    </w:p>
    <w:p w14:paraId="2D285989"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bookmarkStart w:id="33" w:name="TMB1925554492"/>
      <w:bookmarkEnd w:id="33"/>
      <w:r>
        <w:t xml:space="preserve">Sodena 2005eko ekitaldian bilakatu zen sozietatearen mailegu-emaile, dokumentu hauen bitartez:</w:t>
      </w:r>
    </w:p>
    <w:p w14:paraId="7FFF9F4D" w14:textId="77777777" w:rsidR="00F87E58" w:rsidRPr="005448C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t xml:space="preserve">Akziodunen 2005eko urtarrilaren 31ko erabakia.</w:t>
      </w:r>
    </w:p>
    <w:p w14:paraId="0C8F5891" w14:textId="77777777" w:rsidR="00F87E58" w:rsidRPr="005448C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rPr>
          <w:color w:val="000000"/>
        </w:rPr>
        <w:t xml:space="preserve">Sodenaren eta Parquenasaren arteko 2005eko urtarrilaren 31ko finantzaketa kontratua.</w:t>
      </w:r>
    </w:p>
    <w:p w14:paraId="7245756F"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Sodenaren eta Parquenasaren arteko 2005eko abenduaren 30eko finantzaketa kontratua.</w:t>
      </w:r>
    </w:p>
    <w:p w14:paraId="6DB71D74" w14:textId="77777777" w:rsidR="00F87E58" w:rsidRPr="007E62F6" w:rsidRDefault="00F87E58" w:rsidP="00F87E58">
      <w:pPr>
        <w:pStyle w:val="texto"/>
      </w:pPr>
      <w:r>
        <w:t xml:space="preserve">2005eko abenduaren 30eko kontratuaz geroztik, Parquenasak urtero-urtero finantzaketaren beharra eduki duenez, aipatu kontratuaren gehigarriak onetsi dira ekitaldi guztietan.</w:t>
      </w:r>
      <w:r>
        <w:t xml:space="preserve"> </w:t>
      </w:r>
      <w:r>
        <w:t xml:space="preserve">Gehigarri horietan berritu egin da emandako finantzaketaren muga-eguna, eta Parquenasaren ondare-oreka berreskuratzeko adinako zenbatekoa partaidetza-mailegu bilakatu da.</w:t>
      </w:r>
      <w:r>
        <w:t xml:space="preserve"> </w:t>
      </w:r>
    </w:p>
    <w:p w14:paraId="24F1EE58" w14:textId="77777777" w:rsidR="00F87E58" w:rsidRPr="007E62F6" w:rsidRDefault="00F87E58" w:rsidP="00F87E58">
      <w:pPr>
        <w:pStyle w:val="texto"/>
      </w:pPr>
      <w:r>
        <w:t xml:space="preserve">Gainera, 2010eko gehigarrian adierazi zen kontratuak beste bost urtez jarraituko zuela indarrean.</w:t>
      </w:r>
      <w:r>
        <w:t xml:space="preserve"> </w:t>
      </w:r>
      <w:r>
        <w:t xml:space="preserve">2015etik aurrera ere gehigarri guztietan adierazi da kontratuak indarrean jarraituko duela hurrengo lau edo bost urteetan.</w:t>
      </w:r>
    </w:p>
    <w:p w14:paraId="70515B8A" w14:textId="77777777" w:rsidR="00D843C7" w:rsidRPr="00AA16A6" w:rsidRDefault="00F87E58" w:rsidP="00F87E58">
      <w:pPr>
        <w:pStyle w:val="texto"/>
      </w:pPr>
      <w:r>
        <w:t xml:space="preserve">Horrez gain, 2020ko eta 2022ko ekitaldietan, gehigarriak ez ezik mailegu kontratuak ere sinatu dira, helburu zehatz hauetarako:</w:t>
      </w:r>
    </w:p>
    <w:p w14:paraId="7C31B876" w14:textId="77777777" w:rsidR="00D843C7" w:rsidRPr="00AA16A6" w:rsidRDefault="00D843C7" w:rsidP="00D843C7">
      <w:pPr>
        <w:pStyle w:val="texto"/>
        <w:numPr>
          <w:ilvl w:val="0"/>
          <w:numId w:val="43"/>
        </w:numPr>
      </w:pPr>
      <w:r>
        <w:t xml:space="preserve">5,9 milioi 2020an, 2020-2022 aldirako inbertsio planerako; horietatik 3,8 milioi 2020-2022 bitartean gauzatu beharreko inbertsioetara bideratu ziren, eta gainerako 2,1 milioiak, berriz, 2020ko ekitaldiko ustiapen defizita estaltzera.</w:t>
      </w:r>
      <w:r>
        <w:t xml:space="preserve"> </w:t>
      </w:r>
    </w:p>
    <w:p w14:paraId="1A7E8679" w14:textId="77777777" w:rsidR="00F87E58" w:rsidRPr="00AA16A6" w:rsidRDefault="00F87E58" w:rsidP="00D843C7">
      <w:pPr>
        <w:pStyle w:val="texto"/>
        <w:numPr>
          <w:ilvl w:val="0"/>
          <w:numId w:val="43"/>
        </w:numPr>
      </w:pPr>
      <w:r>
        <w:t xml:space="preserve">1,5 milioi 2022an, 2022ko suteari aurre egiteko.</w:t>
      </w:r>
    </w:p>
    <w:p w14:paraId="02F99053" w14:textId="77777777" w:rsidR="00F87E58" w:rsidRDefault="00F87E58" w:rsidP="00F87E58">
      <w:pPr>
        <w:pStyle w:val="texto"/>
        <w:numPr>
          <w:ilvl w:val="0"/>
          <w:numId w:val="14"/>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2014ko ekitaldian aldatu egin zen Nafarroako Ogasun Publikoari buruzko apirilaren 4ko 13/2007 Foru Legea (aurrerantzean, NOPFL). Ekitaldi horretara arte, Sodenaren Administrazio Kontseiluak onetsi zituen urteroko mailegu emateak eta partaidetza-mailegu bilakatu beharreko zatia.</w:t>
      </w:r>
      <w:r>
        <w:t xml:space="preserve"> </w:t>
      </w:r>
      <w:r>
        <w:t xml:space="preserve">2014ko ekitalditik aurrera, urteroko mailegu emateak foru legeen bitartez eta Nafarroako Gobernuak ondoren hartutako erabakiez baimendu behar dira.</w:t>
      </w:r>
      <w:r>
        <w:t xml:space="preserve"> </w:t>
      </w:r>
      <w:r>
        <w:t xml:space="preserve">Hau izan da kronologia:</w:t>
      </w:r>
    </w:p>
    <w:p w14:paraId="3B2274C1"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Maiatzaren 16ko 10/2014 Foru Legeak NOPFLren 75. artikuluaren 3. apartatua eta 82 ter artikuluaren 2. apartatua aldatu zituen, eta testu berrian Nafarroako Parlamentuaren berariazko baimena exijitzen da edozein pertsona fisiko edo juridiko abalen edo maileguen onuradun izateko, haien zenbatekoa ekitaldi bakoitzeko Nafarroako Aurrekontu Orokorrei buruzko foru legean ezarritako gehieneko arrisku biziaren % 5etik gorakoa denean. Gehieneko arrisku bizia entitate emailearen araberakoa izanen da; hau da, abalak edo maileguak nork emanak diren: Nafarroako Foru Komunitateko Administrazioak ala haren menpeko entitateek.</w:t>
      </w:r>
      <w:r>
        <w:t xml:space="preserve"> </w:t>
      </w:r>
    </w:p>
    <w:p w14:paraId="33E5D739" w14:textId="77777777" w:rsidR="00F87E58" w:rsidRPr="00A6260E" w:rsidRDefault="00F87E58" w:rsidP="00F87E58">
      <w:pPr>
        <w:pStyle w:val="texto"/>
      </w:pPr>
      <w:r>
        <w:t xml:space="preserve">Hala ere, 2017ko amaierara arte ez zen hasi Sodena Nafarroako Parlamentuaren nahitaezko baimena eskatzen. Horregatik eskatu zen baliozkotu eta baimendu zitezela Sodenak Parquenasarekin 2014ko, 2015eko, 2016ko eta 2017ko ekitaldietan formalizatutako mailegu eragiketak. Foru lege baten bitartez eman zen baimena (11/2018 Foru Legea, maiatzaren 30ekoa, Sodenari baimena ematen diona mailegu eta abal zehatz batzuk eman diezazkion Parquenasari).</w:t>
      </w:r>
      <w:r>
        <w:t xml:space="preserve"> </w:t>
      </w:r>
    </w:p>
    <w:p w14:paraId="137E7EA6" w14:textId="77777777" w:rsidR="00F87E58" w:rsidRDefault="00F87E58" w:rsidP="00F87E58">
      <w:pPr>
        <w:pStyle w:val="texto"/>
        <w:rPr>
          <w:color w:val="000000"/>
        </w:rPr>
      </w:pPr>
      <w:r>
        <w:t xml:space="preserve">Egoera horren berri eman zen Ganbera honek 2018ko irailean emandako txosten batean (“</w:t>
      </w:r>
      <w:r>
        <w:rPr>
          <w:color w:val="000000"/>
          <w:i/>
        </w:rPr>
        <w:t xml:space="preserve">10/2014 Foru Legearen betetzea Foru Administrazioak 2014-2017 epean emaniko abal eta maileguetan”</w:t>
      </w:r>
      <w:r>
        <w:rPr>
          <w:color w:val="000000"/>
        </w:rPr>
        <w:t xml:space="preserve">).</w:t>
      </w:r>
    </w:p>
    <w:p w14:paraId="76CD7115" w14:textId="77777777" w:rsidR="00F87E58" w:rsidRPr="003A4D37" w:rsidRDefault="00F87E58" w:rsidP="00F87E58">
      <w:pPr>
        <w:pStyle w:val="texto"/>
        <w:numPr>
          <w:ilvl w:val="0"/>
          <w:numId w:val="14"/>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2018tik, aurrekontuei buruzko foru legeetan Sodenari baimena ematen zaio mailegu eta abal eragiketa gehiago egiteko Parquenasarekin, foru lege bakoitzean adierazten den gehieneko zenbatekoa gainditu gabe.</w:t>
      </w:r>
      <w:r>
        <w:t xml:space="preserve"> </w:t>
      </w:r>
      <w:r>
        <w:t xml:space="preserve">Gero Nafarroako Gobernuak baimendu behar ditu eragiketa zehatzak.</w:t>
      </w:r>
      <w:r>
        <w:t xml:space="preserve"> </w:t>
      </w:r>
      <w:r>
        <w:t xml:space="preserve">Baimen hauek eman dira:</w:t>
      </w:r>
    </w:p>
    <w:p w14:paraId="4278171C"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2019rako Nafarroako Aurrekontu Orokorrei buruzko abenduaren 24ko 27/2018 Foru Legearen 16.4 artikulua, eta ondoren Nafarroako Gobernuak 2019ko otsailaren 13ko erabakiaren bidez emandako baimena.</w:t>
      </w:r>
      <w:r>
        <w:t xml:space="preserve"> </w:t>
      </w:r>
    </w:p>
    <w:p w14:paraId="141B56FB"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Ekonomia eta Ogasun Departamentuko Ondare Zerbitzuak 2019an proposatu zuen, aurrekontuei buruzko foru legeak betearazteko Gobernuak urtero ematen dituen baimenak direla-eta, administrazio prozedura bat bete zedila baimen horien aurretik, nahitaezko txosten eta dokumentu batzuk bildu behar zituena. </w:t>
      </w:r>
      <w:r>
        <w:t xml:space="preserve"> </w:t>
      </w:r>
      <w:r>
        <w:t xml:space="preserve">Xede horrekin, irailaren 11ko 216/2019 Foru Dekretua onetsi zen</w:t>
      </w:r>
      <w:r>
        <w:rPr>
          <w:rStyle w:val="Refdenotaalpie"/>
          <w:rFonts w:eastAsia="Calibri"/>
          <w:szCs w:val="26"/>
        </w:rPr>
        <w:footnoteReference w:id="14"/>
      </w:r>
      <w:r>
        <w:t xml:space="preserve">.</w:t>
      </w:r>
      <w:r>
        <w:t xml:space="preserve"> </w:t>
      </w:r>
      <w:r>
        <w:t xml:space="preserve">Hura indarrean jarri zenetik, prozedura hori betetzen da urteroko baimenak eskuratzeko.</w:t>
      </w:r>
    </w:p>
    <w:p w14:paraId="77E48B6F"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2020rako Nafarroako Aurrekontu Orokorrei buruzko martxoaren 4ko 5/2020 Foru Legearen 14.8 artikulua, eta ondoren Nafarroako Gobernuak 2020ko maiatzaren 13ko erabakiaren bidez emandako baimena.</w:t>
      </w:r>
    </w:p>
    <w:p w14:paraId="15C620A1"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2021erako Nafarroako Aurrekontu Orokorrei buruzko abenduaren 29ko 20/2020 Foru Legearen 14.8 artikulua, eta ondoren Nafarroako Gobernuak 2021eko urtarrilaren 27ko erabakiaren bidez emandako baimena.</w:t>
      </w:r>
    </w:p>
    <w:p w14:paraId="6CDE8B57" w14:textId="77777777" w:rsidR="00F87E58" w:rsidRPr="003A4D37"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t xml:space="preserve">2022rako Nafarroako Aurrekontu Orokorrei buruzko abenduaren 29ko 18/2021 Foru Legearen 14.7 artikulua, eta ondoren Nafarroako Gobernuak 2022ko martxoaren 9ko erabakiaren bidez emandako baimena.</w:t>
      </w:r>
      <w:r>
        <w:t xml:space="preserve"> </w:t>
      </w:r>
      <w:r>
        <w:t xml:space="preserve">Artikulu hori aldatu egin zuen azaroaren 8ko 30/2022 Foru Legeak (2022rako Nafarroako Aurrekontu Orokorrei buruzko abenduaren 29ko 18/2021 Foru Legea aldatzen duena), eta 3,2 milioira igo zen baimenaren gehieneko zenbatekoa, 1,5 milioi gehiago sartzeko, suteak eragindako inbertsioei aurre egiteko behar zirenak, inbertsio horiek 2023rako gauzatuta egon zitezen.</w:t>
      </w:r>
      <w:r>
        <w:t xml:space="preserve"> </w:t>
      </w:r>
      <w:r>
        <w:t xml:space="preserve">Gobernuaren 2022ko azaroaren 30eko erabakiak finantzaketa hori baimendu zuen.</w:t>
      </w:r>
    </w:p>
    <w:p w14:paraId="3094740E" w14:textId="77777777" w:rsidR="00F87E58" w:rsidRDefault="00F87E58" w:rsidP="00F87E58">
      <w:pPr>
        <w:pStyle w:val="texto"/>
      </w:pPr>
      <w:r>
        <w:t xml:space="preserve">Bestalde, arestian aipatutako 30/2022 Foru Legeak Sodenari baimena eman zion emandako maileguen interes tasak alda zitzan eta Parquenasarentzako maileguen interes tasak finka zitzan.</w:t>
      </w:r>
      <w:r>
        <w:t xml:space="preserve"> </w:t>
      </w:r>
      <w:r>
        <w:t xml:space="preserve">Baldintza hau ezarri zuen: interes horiek sortuko dira, bakar-bakarrik, mailegu-hartzaileak ekitaldian emaitza positiboak lortzen baditu, eta aldaketak ez du eraginik izanen foru legeak indarra hartu aurretik mailegu horietan jada sortutako interesetan, NOPFLrekin bat etorriz.</w:t>
      </w:r>
    </w:p>
    <w:p w14:paraId="4A3502D8" w14:textId="77777777" w:rsidR="00F87E58" w:rsidRDefault="00F87E58" w:rsidP="00F87E58">
      <w:pPr>
        <w:pStyle w:val="texto"/>
        <w:spacing w:after="240"/>
      </w:pPr>
      <w:r>
        <w:t xml:space="preserve">Gai horri buruz, azpimarratzen dugu Kontu-hartzailetza Nagusiak 2022ko martxoaren 8ko txostenean agerian jarri zuela egoera hori, eta horregatik eskatu zela behar ziren lege aldaketak egiteko, horrela, hala bazegokion, egoera jakin batzuetan legezko interesa ordaindu beharretik salbuesteko eta NOPFLren 82 ter.3 artikuluan xedatutakoarekin kontraesanik ez izateko</w:t>
      </w:r>
      <w:r>
        <w:rPr>
          <w:rStyle w:val="Refdenotaalpie"/>
        </w:rPr>
        <w:footnoteReference w:id="15"/>
      </w:r>
      <w:r>
        <w:t xml:space="preserve">.</w:t>
      </w:r>
    </w:p>
    <w:p w14:paraId="6EBAF66D" w14:textId="77777777" w:rsidR="00F87E58" w:rsidRDefault="00F87E58" w:rsidP="00A26E71">
      <w:pPr>
        <w:pStyle w:val="atitulo2"/>
        <w:spacing w:after="120"/>
      </w:pPr>
      <w:bookmarkStart w:id="34" w:name="_Toc146017575"/>
      <w:bookmarkStart w:id="35" w:name="_Toc149803653"/>
      <w:r>
        <w:t xml:space="preserve">2.4. Parquenasaren kontabilitate egoera eta zenbatekoa Sodenaren urteko kontuetan</w:t>
      </w:r>
      <w:bookmarkEnd w:id="34"/>
      <w:bookmarkEnd w:id="35"/>
    </w:p>
    <w:p w14:paraId="158CAB43" w14:textId="77777777" w:rsidR="00F87E58" w:rsidRDefault="00F87E58" w:rsidP="00F87E58">
      <w:pPr>
        <w:pStyle w:val="texto"/>
      </w:pPr>
      <w:r>
        <w:t xml:space="preserve">Sodenaren 2022ko ekitaldiko urteko kontuen gaineko auditoria egin da</w:t>
      </w:r>
      <w:r>
        <w:rPr>
          <w:rStyle w:val="Refdenotaalpie"/>
        </w:rPr>
        <w:footnoteReference w:id="16"/>
      </w:r>
      <w:r>
        <w:t xml:space="preserve"> 2023ko apirilaren 20an.</w:t>
      </w:r>
      <w:r>
        <w:t xml:space="preserve"> </w:t>
      </w:r>
      <w:r>
        <w:t xml:space="preserve">Honako taula hauetan dagoen informazioa urteko kontuen oroitidazkiko kasuan kasuko ataletik hartu da hitzez hitz:</w:t>
      </w:r>
    </w:p>
    <w:p w14:paraId="5092DFF6" w14:textId="77777777" w:rsidR="00F87E58" w:rsidRPr="009C44C1" w:rsidRDefault="00F87E58" w:rsidP="00F87E58">
      <w:pPr>
        <w:pStyle w:val="atitulo3"/>
        <w:rPr>
          <w:i w:val="0"/>
          <w:sz w:val="20"/>
          <w:szCs w:val="20"/>
        </w:rPr>
      </w:pPr>
      <w:r>
        <w:rPr>
          <w:sz w:val="20"/>
        </w:rPr>
        <w:t xml:space="preserve">7.2 atala. Taldeko enpresetan eta enpresa elkartuetan egindako inbertsioen deskribapena</w:t>
      </w:r>
      <w:r>
        <w:rPr>
          <w:sz w:val="20"/>
          <w:i w:val="0"/>
        </w:rPr>
        <w:t xml:space="preserve"> </w:t>
      </w:r>
    </w:p>
    <w:tbl>
      <w:tblPr>
        <w:tblW w:w="8789" w:type="dxa"/>
        <w:tblCellMar>
          <w:left w:w="70" w:type="dxa"/>
          <w:right w:w="70" w:type="dxa"/>
        </w:tblCellMar>
        <w:tblLook w:val="04A0" w:firstRow="1" w:lastRow="0" w:firstColumn="1" w:lastColumn="0" w:noHBand="0" w:noVBand="1"/>
      </w:tblPr>
      <w:tblGrid>
        <w:gridCol w:w="7138"/>
        <w:gridCol w:w="1651"/>
      </w:tblGrid>
      <w:tr w:rsidR="00F87E58" w:rsidRPr="009C44C1" w14:paraId="7C56FC32" w14:textId="77777777" w:rsidTr="00F87E58">
        <w:trPr>
          <w:trHeight w:val="255"/>
        </w:trPr>
        <w:tc>
          <w:tcPr>
            <w:tcW w:w="7371" w:type="dxa"/>
            <w:tcBorders>
              <w:top w:val="single" w:sz="4" w:space="0" w:color="auto"/>
              <w:left w:val="nil"/>
              <w:bottom w:val="single" w:sz="4" w:space="0" w:color="auto"/>
              <w:right w:val="nil"/>
            </w:tcBorders>
            <w:shd w:val="clear" w:color="auto" w:fill="auto"/>
            <w:noWrap/>
            <w:vAlign w:val="bottom"/>
          </w:tcPr>
          <w:p w14:paraId="2DA6CA2B" w14:textId="77777777" w:rsidR="00F87E58" w:rsidRPr="009C44C1" w:rsidRDefault="00F87E58" w:rsidP="00A26E71">
            <w:pPr>
              <w:pStyle w:val="cuadroCabe"/>
              <w:spacing w:line="240" w:lineRule="auto"/>
              <w:jc w:val="left"/>
              <w:rPr>
                <w:i/>
              </w:rPr>
            </w:pPr>
            <w:r>
              <w:rPr>
                <w:i/>
              </w:rPr>
              <w:t xml:space="preserve">Parque de la Naturaleza, S.A.</w:t>
            </w:r>
            <w:r>
              <w:rPr>
                <w:i/>
              </w:rPr>
              <w:t xml:space="preserve"> </w:t>
            </w:r>
          </w:p>
        </w:tc>
        <w:tc>
          <w:tcPr>
            <w:tcW w:w="1701" w:type="dxa"/>
            <w:tcBorders>
              <w:top w:val="single" w:sz="4" w:space="0" w:color="auto"/>
              <w:left w:val="nil"/>
              <w:bottom w:val="single" w:sz="4" w:space="0" w:color="auto"/>
              <w:right w:val="nil"/>
            </w:tcBorders>
            <w:shd w:val="clear" w:color="auto" w:fill="auto"/>
            <w:noWrap/>
            <w:vAlign w:val="bottom"/>
          </w:tcPr>
          <w:p w14:paraId="72A69960" w14:textId="77777777" w:rsidR="00F87E58" w:rsidRPr="009C44C1" w:rsidRDefault="00F87E58" w:rsidP="00A26E71">
            <w:pPr>
              <w:pStyle w:val="cuadroCabe"/>
              <w:spacing w:line="240" w:lineRule="auto"/>
              <w:jc w:val="right"/>
              <w:rPr>
                <w:i/>
              </w:rPr>
            </w:pPr>
          </w:p>
        </w:tc>
      </w:tr>
      <w:tr w:rsidR="00F87E58" w:rsidRPr="009C44C1" w14:paraId="3020A2CC" w14:textId="77777777" w:rsidTr="00A26E71">
        <w:trPr>
          <w:trHeight w:val="170"/>
        </w:trPr>
        <w:tc>
          <w:tcPr>
            <w:tcW w:w="7371" w:type="dxa"/>
            <w:tcBorders>
              <w:top w:val="nil"/>
              <w:left w:val="nil"/>
              <w:bottom w:val="single" w:sz="2" w:space="0" w:color="auto"/>
              <w:right w:val="nil"/>
            </w:tcBorders>
            <w:shd w:val="clear" w:color="auto" w:fill="auto"/>
            <w:noWrap/>
            <w:vAlign w:val="bottom"/>
            <w:hideMark/>
          </w:tcPr>
          <w:p w14:paraId="301601FA" w14:textId="77777777" w:rsidR="00F87E58" w:rsidRPr="009C44C1" w:rsidRDefault="00F87E58" w:rsidP="00A26E71">
            <w:pPr>
              <w:pStyle w:val="cuatexto"/>
              <w:spacing w:line="240" w:lineRule="auto"/>
              <w:jc w:val="left"/>
              <w:rPr>
                <w:i/>
              </w:rPr>
            </w:pPr>
            <w:r>
              <w:rPr>
                <w:i/>
              </w:rPr>
              <w:t xml:space="preserve">Zuzenekoa</w:t>
            </w:r>
          </w:p>
        </w:tc>
        <w:tc>
          <w:tcPr>
            <w:tcW w:w="1701" w:type="dxa"/>
            <w:tcBorders>
              <w:top w:val="nil"/>
              <w:left w:val="nil"/>
              <w:bottom w:val="single" w:sz="2" w:space="0" w:color="auto"/>
              <w:right w:val="nil"/>
            </w:tcBorders>
            <w:shd w:val="clear" w:color="auto" w:fill="auto"/>
            <w:noWrap/>
            <w:vAlign w:val="bottom"/>
            <w:hideMark/>
          </w:tcPr>
          <w:p w14:paraId="57569861" w14:textId="77777777" w:rsidR="00F87E58" w:rsidRPr="009C44C1" w:rsidRDefault="00F87E58" w:rsidP="00A26E71">
            <w:pPr>
              <w:pStyle w:val="cuatexto"/>
              <w:spacing w:line="240" w:lineRule="auto"/>
              <w:jc w:val="right"/>
              <w:rPr>
                <w:i/>
              </w:rPr>
            </w:pPr>
            <w:r>
              <w:rPr>
                <w:i/>
              </w:rPr>
              <w:t xml:space="preserve">% 45</w:t>
            </w:r>
          </w:p>
        </w:tc>
      </w:tr>
      <w:tr w:rsidR="00F87E58" w:rsidRPr="009C44C1" w14:paraId="552827E0"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6F12329D" w14:textId="77777777" w:rsidR="00F87E58" w:rsidRPr="009C44C1" w:rsidRDefault="00F87E58" w:rsidP="00A26E71">
            <w:pPr>
              <w:pStyle w:val="cuatexto"/>
              <w:spacing w:line="240" w:lineRule="auto"/>
              <w:jc w:val="left"/>
              <w:rPr>
                <w:i/>
              </w:rPr>
            </w:pPr>
            <w:r>
              <w:rPr>
                <w:i/>
              </w:rPr>
              <w:t xml:space="preserve">Zeharkakoa</w:t>
            </w:r>
          </w:p>
        </w:tc>
        <w:tc>
          <w:tcPr>
            <w:tcW w:w="1701" w:type="dxa"/>
            <w:tcBorders>
              <w:top w:val="single" w:sz="2" w:space="0" w:color="auto"/>
              <w:left w:val="nil"/>
              <w:bottom w:val="single" w:sz="2" w:space="0" w:color="auto"/>
              <w:right w:val="nil"/>
            </w:tcBorders>
            <w:shd w:val="clear" w:color="auto" w:fill="auto"/>
            <w:noWrap/>
            <w:vAlign w:val="bottom"/>
            <w:hideMark/>
          </w:tcPr>
          <w:p w14:paraId="282CAE51" w14:textId="77777777" w:rsidR="00F87E58" w:rsidRPr="009C44C1" w:rsidRDefault="00F87E58" w:rsidP="00A26E71">
            <w:pPr>
              <w:pStyle w:val="cuatexto"/>
              <w:spacing w:line="240" w:lineRule="auto"/>
              <w:jc w:val="right"/>
              <w:rPr>
                <w:i/>
              </w:rPr>
            </w:pPr>
            <w:r>
              <w:rPr>
                <w:i/>
              </w:rPr>
              <w:t xml:space="preserve">% 0</w:t>
            </w:r>
          </w:p>
        </w:tc>
      </w:tr>
      <w:tr w:rsidR="00F87E58" w:rsidRPr="009C44C1" w14:paraId="63BFBD1B"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008E9D09" w14:textId="77777777" w:rsidR="00F87E58" w:rsidRPr="009C44C1" w:rsidRDefault="00F87E58" w:rsidP="00A26E71">
            <w:pPr>
              <w:pStyle w:val="cuatexto"/>
              <w:spacing w:line="240" w:lineRule="auto"/>
              <w:jc w:val="left"/>
              <w:rPr>
                <w:i/>
              </w:rPr>
            </w:pPr>
            <w:r>
              <w:rPr>
                <w:i/>
              </w:rPr>
              <w:t xml:space="preserve">Kapitala</w:t>
            </w:r>
          </w:p>
        </w:tc>
        <w:tc>
          <w:tcPr>
            <w:tcW w:w="1701" w:type="dxa"/>
            <w:tcBorders>
              <w:top w:val="single" w:sz="2" w:space="0" w:color="auto"/>
              <w:left w:val="nil"/>
              <w:bottom w:val="single" w:sz="2" w:space="0" w:color="auto"/>
              <w:right w:val="nil"/>
            </w:tcBorders>
            <w:shd w:val="clear" w:color="auto" w:fill="auto"/>
            <w:noWrap/>
            <w:vAlign w:val="bottom"/>
            <w:hideMark/>
          </w:tcPr>
          <w:p w14:paraId="7A2B21E1" w14:textId="77777777" w:rsidR="00F87E58" w:rsidRPr="009C44C1" w:rsidRDefault="00F87E58" w:rsidP="00A26E71">
            <w:pPr>
              <w:pStyle w:val="cuatexto"/>
              <w:spacing w:line="240" w:lineRule="auto"/>
              <w:jc w:val="right"/>
              <w:rPr>
                <w:i/>
              </w:rPr>
            </w:pPr>
            <w:r>
              <w:rPr>
                <w:i/>
              </w:rPr>
              <w:t xml:space="preserve">1.800.000</w:t>
            </w:r>
          </w:p>
        </w:tc>
      </w:tr>
      <w:tr w:rsidR="00F87E58" w:rsidRPr="009C44C1" w14:paraId="3AC4E592"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4DC6B0AA" w14:textId="77777777" w:rsidR="00F87E58" w:rsidRPr="009C44C1" w:rsidRDefault="00F87E58" w:rsidP="00A26E71">
            <w:pPr>
              <w:pStyle w:val="cuatexto"/>
              <w:spacing w:line="240" w:lineRule="auto"/>
              <w:jc w:val="left"/>
              <w:rPr>
                <w:i/>
              </w:rPr>
            </w:pPr>
            <w:r>
              <w:rPr>
                <w:i/>
              </w:rPr>
              <w:t xml:space="preserve">Erreserbak</w:t>
            </w:r>
          </w:p>
        </w:tc>
        <w:tc>
          <w:tcPr>
            <w:tcW w:w="1701" w:type="dxa"/>
            <w:tcBorders>
              <w:top w:val="single" w:sz="2" w:space="0" w:color="auto"/>
              <w:left w:val="nil"/>
              <w:bottom w:val="single" w:sz="2" w:space="0" w:color="auto"/>
              <w:right w:val="nil"/>
            </w:tcBorders>
            <w:shd w:val="clear" w:color="auto" w:fill="auto"/>
            <w:noWrap/>
            <w:vAlign w:val="bottom"/>
            <w:hideMark/>
          </w:tcPr>
          <w:p w14:paraId="5A744D43" w14:textId="77777777" w:rsidR="00F87E58" w:rsidRPr="009C44C1" w:rsidRDefault="00F87E58" w:rsidP="00A26E71">
            <w:pPr>
              <w:pStyle w:val="cuatexto"/>
              <w:spacing w:line="240" w:lineRule="auto"/>
              <w:jc w:val="right"/>
              <w:rPr>
                <w:i/>
              </w:rPr>
            </w:pPr>
            <w:r>
              <w:rPr>
                <w:i/>
              </w:rPr>
              <w:t xml:space="preserve">-55.120.162</w:t>
            </w:r>
          </w:p>
        </w:tc>
      </w:tr>
      <w:tr w:rsidR="00F87E58" w:rsidRPr="009C44C1" w14:paraId="2F1E9436"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2EA7F0E6" w14:textId="77777777" w:rsidR="00F87E58" w:rsidRPr="009C44C1" w:rsidRDefault="00F87E58" w:rsidP="00A26E71">
            <w:pPr>
              <w:pStyle w:val="cuatexto"/>
              <w:spacing w:line="240" w:lineRule="auto"/>
              <w:jc w:val="left"/>
              <w:rPr>
                <w:i/>
              </w:rPr>
            </w:pPr>
            <w:r>
              <w:rPr>
                <w:i/>
              </w:rPr>
              <w:t xml:space="preserve">Ondare garbiko beste partida batzuk</w:t>
            </w:r>
          </w:p>
        </w:tc>
        <w:tc>
          <w:tcPr>
            <w:tcW w:w="1701" w:type="dxa"/>
            <w:tcBorders>
              <w:top w:val="single" w:sz="2" w:space="0" w:color="auto"/>
              <w:left w:val="nil"/>
              <w:bottom w:val="single" w:sz="2" w:space="0" w:color="auto"/>
              <w:right w:val="nil"/>
            </w:tcBorders>
            <w:shd w:val="clear" w:color="auto" w:fill="auto"/>
            <w:noWrap/>
            <w:vAlign w:val="bottom"/>
            <w:hideMark/>
          </w:tcPr>
          <w:p w14:paraId="7BD17FBE" w14:textId="77777777" w:rsidR="00F87E58" w:rsidRPr="009C44C1" w:rsidRDefault="00F87E58" w:rsidP="00A26E71">
            <w:pPr>
              <w:pStyle w:val="cuatexto"/>
              <w:spacing w:line="240" w:lineRule="auto"/>
              <w:jc w:val="right"/>
              <w:rPr>
                <w:i/>
              </w:rPr>
            </w:pPr>
            <w:r>
              <w:rPr>
                <w:i/>
              </w:rPr>
              <w:t xml:space="preserve">-</w:t>
            </w:r>
          </w:p>
        </w:tc>
      </w:tr>
      <w:tr w:rsidR="00F87E58" w:rsidRPr="009C44C1" w14:paraId="46BC1309"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43289C95" w14:textId="77777777" w:rsidR="00F87E58" w:rsidRPr="009C44C1" w:rsidRDefault="00F87E58" w:rsidP="00A26E71">
            <w:pPr>
              <w:pStyle w:val="cuatexto"/>
              <w:spacing w:line="240" w:lineRule="auto"/>
              <w:jc w:val="left"/>
              <w:rPr>
                <w:i/>
              </w:rPr>
            </w:pPr>
            <w:r>
              <w:rPr>
                <w:i/>
              </w:rPr>
              <w:t xml:space="preserve">Ustiapena</w:t>
            </w:r>
          </w:p>
        </w:tc>
        <w:tc>
          <w:tcPr>
            <w:tcW w:w="1701" w:type="dxa"/>
            <w:tcBorders>
              <w:top w:val="single" w:sz="2" w:space="0" w:color="auto"/>
              <w:left w:val="nil"/>
              <w:bottom w:val="single" w:sz="2" w:space="0" w:color="auto"/>
              <w:right w:val="nil"/>
            </w:tcBorders>
            <w:shd w:val="clear" w:color="auto" w:fill="auto"/>
            <w:noWrap/>
            <w:vAlign w:val="bottom"/>
            <w:hideMark/>
          </w:tcPr>
          <w:p w14:paraId="080BC61E" w14:textId="77777777" w:rsidR="00F87E58" w:rsidRPr="009C44C1" w:rsidRDefault="00F87E58" w:rsidP="00A26E71">
            <w:pPr>
              <w:pStyle w:val="cuatexto"/>
              <w:spacing w:line="240" w:lineRule="auto"/>
              <w:jc w:val="right"/>
              <w:rPr>
                <w:i/>
              </w:rPr>
            </w:pPr>
            <w:r>
              <w:rPr>
                <w:i/>
              </w:rPr>
              <w:t xml:space="preserve">-2.116.938</w:t>
            </w:r>
          </w:p>
        </w:tc>
      </w:tr>
      <w:tr w:rsidR="00F87E58" w:rsidRPr="009C44C1" w14:paraId="1535196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38332B91" w14:textId="77777777" w:rsidR="00F87E58" w:rsidRPr="009C44C1" w:rsidRDefault="00F87E58" w:rsidP="00A26E71">
            <w:pPr>
              <w:pStyle w:val="cuatexto"/>
              <w:spacing w:line="240" w:lineRule="auto"/>
              <w:jc w:val="left"/>
              <w:rPr>
                <w:i/>
              </w:rPr>
            </w:pPr>
            <w:r>
              <w:rPr>
                <w:i/>
              </w:rPr>
              <w:t xml:space="preserve">Jarduera jarraituak</w:t>
            </w:r>
          </w:p>
        </w:tc>
        <w:tc>
          <w:tcPr>
            <w:tcW w:w="1701" w:type="dxa"/>
            <w:tcBorders>
              <w:top w:val="single" w:sz="2" w:space="0" w:color="auto"/>
              <w:left w:val="nil"/>
              <w:bottom w:val="single" w:sz="2" w:space="0" w:color="auto"/>
              <w:right w:val="nil"/>
            </w:tcBorders>
            <w:shd w:val="clear" w:color="auto" w:fill="auto"/>
            <w:noWrap/>
            <w:vAlign w:val="bottom"/>
            <w:hideMark/>
          </w:tcPr>
          <w:p w14:paraId="1E1B37B7" w14:textId="77777777" w:rsidR="00F87E58" w:rsidRPr="009C44C1" w:rsidRDefault="00F87E58" w:rsidP="00A26E71">
            <w:pPr>
              <w:pStyle w:val="cuatexto"/>
              <w:spacing w:line="240" w:lineRule="auto"/>
              <w:jc w:val="right"/>
              <w:rPr>
                <w:i/>
              </w:rPr>
            </w:pPr>
            <w:r>
              <w:rPr>
                <w:i/>
              </w:rPr>
              <w:t xml:space="preserve">-2.210.198</w:t>
            </w:r>
          </w:p>
        </w:tc>
      </w:tr>
      <w:tr w:rsidR="00F87E58" w:rsidRPr="009C44C1" w14:paraId="2BF29621"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311B9D65" w14:textId="77777777" w:rsidR="00F87E58" w:rsidRPr="009C44C1" w:rsidRDefault="00F87E58" w:rsidP="00A26E71">
            <w:pPr>
              <w:pStyle w:val="cuatexto"/>
              <w:spacing w:line="240" w:lineRule="auto"/>
              <w:jc w:val="left"/>
              <w:rPr>
                <w:i/>
              </w:rPr>
            </w:pPr>
            <w:r>
              <w:rPr>
                <w:i/>
              </w:rPr>
              <w:t xml:space="preserve">Jarduera etenak</w:t>
            </w:r>
          </w:p>
        </w:tc>
        <w:tc>
          <w:tcPr>
            <w:tcW w:w="1701" w:type="dxa"/>
            <w:tcBorders>
              <w:top w:val="single" w:sz="2" w:space="0" w:color="auto"/>
              <w:left w:val="nil"/>
              <w:bottom w:val="single" w:sz="2" w:space="0" w:color="auto"/>
              <w:right w:val="nil"/>
            </w:tcBorders>
            <w:shd w:val="clear" w:color="auto" w:fill="auto"/>
            <w:noWrap/>
            <w:vAlign w:val="bottom"/>
            <w:hideMark/>
          </w:tcPr>
          <w:p w14:paraId="0B71E889" w14:textId="77777777" w:rsidR="00F87E58" w:rsidRPr="009C44C1" w:rsidRDefault="00F87E58" w:rsidP="00A26E71">
            <w:pPr>
              <w:pStyle w:val="cuatexto"/>
              <w:spacing w:line="240" w:lineRule="auto"/>
              <w:jc w:val="right"/>
              <w:rPr>
                <w:i/>
              </w:rPr>
            </w:pPr>
            <w:r>
              <w:rPr>
                <w:i/>
              </w:rPr>
              <w:t xml:space="preserve">-</w:t>
            </w:r>
          </w:p>
        </w:tc>
      </w:tr>
      <w:tr w:rsidR="00F87E58" w:rsidRPr="009C44C1" w14:paraId="087EF6EE"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147638F9" w14:textId="77777777" w:rsidR="00F87E58" w:rsidRPr="009C44C1" w:rsidRDefault="00F87E58" w:rsidP="00A26E71">
            <w:pPr>
              <w:pStyle w:val="cuatexto"/>
              <w:spacing w:line="240" w:lineRule="auto"/>
              <w:jc w:val="left"/>
              <w:rPr>
                <w:i/>
              </w:rPr>
            </w:pPr>
            <w:r>
              <w:rPr>
                <w:i/>
              </w:rPr>
              <w:t xml:space="preserve">Guztira</w:t>
            </w:r>
          </w:p>
        </w:tc>
        <w:tc>
          <w:tcPr>
            <w:tcW w:w="1701" w:type="dxa"/>
            <w:tcBorders>
              <w:top w:val="single" w:sz="2" w:space="0" w:color="auto"/>
              <w:left w:val="nil"/>
              <w:bottom w:val="single" w:sz="2" w:space="0" w:color="auto"/>
              <w:right w:val="nil"/>
            </w:tcBorders>
            <w:shd w:val="clear" w:color="auto" w:fill="auto"/>
            <w:noWrap/>
            <w:vAlign w:val="bottom"/>
            <w:hideMark/>
          </w:tcPr>
          <w:p w14:paraId="167458CA" w14:textId="77777777" w:rsidR="00F87E58" w:rsidRPr="009C44C1" w:rsidRDefault="00F87E58" w:rsidP="00A26E71">
            <w:pPr>
              <w:pStyle w:val="cuatexto"/>
              <w:spacing w:line="240" w:lineRule="auto"/>
              <w:jc w:val="right"/>
              <w:rPr>
                <w:i/>
              </w:rPr>
            </w:pPr>
            <w:r>
              <w:rPr>
                <w:i/>
              </w:rPr>
              <w:t xml:space="preserve">-2.210.198</w:t>
            </w:r>
          </w:p>
        </w:tc>
      </w:tr>
      <w:tr w:rsidR="00F87E58" w:rsidRPr="009C44C1" w14:paraId="0D4D305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09D3CF1F" w14:textId="77777777" w:rsidR="00F87E58" w:rsidRPr="009C44C1" w:rsidRDefault="00F87E58" w:rsidP="00A26E71">
            <w:pPr>
              <w:pStyle w:val="cuatexto"/>
              <w:spacing w:line="240" w:lineRule="auto"/>
              <w:jc w:val="left"/>
              <w:rPr>
                <w:i/>
              </w:rPr>
            </w:pPr>
            <w:r>
              <w:rPr>
                <w:i/>
              </w:rPr>
              <w:t xml:space="preserve">Ondare garbia, guztira</w:t>
            </w:r>
          </w:p>
        </w:tc>
        <w:tc>
          <w:tcPr>
            <w:tcW w:w="1701" w:type="dxa"/>
            <w:tcBorders>
              <w:top w:val="single" w:sz="2" w:space="0" w:color="auto"/>
              <w:left w:val="nil"/>
              <w:bottom w:val="single" w:sz="2" w:space="0" w:color="auto"/>
              <w:right w:val="nil"/>
            </w:tcBorders>
            <w:shd w:val="clear" w:color="auto" w:fill="auto"/>
            <w:noWrap/>
            <w:vAlign w:val="bottom"/>
            <w:hideMark/>
          </w:tcPr>
          <w:p w14:paraId="1DBD96C1" w14:textId="77777777" w:rsidR="00F87E58" w:rsidRPr="009C44C1" w:rsidRDefault="00F87E58" w:rsidP="00A26E71">
            <w:pPr>
              <w:pStyle w:val="cuatexto"/>
              <w:spacing w:line="240" w:lineRule="auto"/>
              <w:jc w:val="right"/>
              <w:rPr>
                <w:i/>
              </w:rPr>
            </w:pPr>
            <w:r>
              <w:rPr>
                <w:i/>
              </w:rPr>
              <w:t xml:space="preserve">-55.530.360</w:t>
            </w:r>
          </w:p>
        </w:tc>
      </w:tr>
      <w:tr w:rsidR="00F87E58" w:rsidRPr="009C44C1" w14:paraId="07C81A3F"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65439B32" w14:textId="77777777" w:rsidR="00F87E58" w:rsidRPr="009C44C1" w:rsidRDefault="00F87E58" w:rsidP="00A26E71">
            <w:pPr>
              <w:pStyle w:val="cuatexto"/>
              <w:spacing w:line="240" w:lineRule="auto"/>
              <w:jc w:val="left"/>
              <w:rPr>
                <w:i/>
              </w:rPr>
            </w:pPr>
            <w:r>
              <w:rPr>
                <w:i/>
              </w:rPr>
              <w:t xml:space="preserve">Kostua</w:t>
            </w:r>
          </w:p>
        </w:tc>
        <w:tc>
          <w:tcPr>
            <w:tcW w:w="1701" w:type="dxa"/>
            <w:tcBorders>
              <w:top w:val="single" w:sz="2" w:space="0" w:color="auto"/>
              <w:left w:val="nil"/>
              <w:bottom w:val="single" w:sz="2" w:space="0" w:color="auto"/>
              <w:right w:val="nil"/>
            </w:tcBorders>
            <w:shd w:val="clear" w:color="auto" w:fill="auto"/>
            <w:noWrap/>
            <w:vAlign w:val="bottom"/>
            <w:hideMark/>
          </w:tcPr>
          <w:p w14:paraId="6DA5AC19" w14:textId="77777777" w:rsidR="00F87E58" w:rsidRPr="009C44C1" w:rsidRDefault="00F87E58" w:rsidP="00A26E71">
            <w:pPr>
              <w:pStyle w:val="cuatexto"/>
              <w:spacing w:line="240" w:lineRule="auto"/>
              <w:jc w:val="right"/>
              <w:rPr>
                <w:i/>
              </w:rPr>
            </w:pPr>
            <w:r>
              <w:rPr>
                <w:i/>
              </w:rPr>
              <w:t xml:space="preserve">4.050.000</w:t>
            </w:r>
          </w:p>
        </w:tc>
      </w:tr>
      <w:tr w:rsidR="00F87E58" w:rsidRPr="009C44C1" w14:paraId="62A9166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22A38A60" w14:textId="77777777" w:rsidR="00F87E58" w:rsidRPr="009C44C1" w:rsidRDefault="00F87E58" w:rsidP="00A26E71">
            <w:pPr>
              <w:pStyle w:val="cuatexto"/>
              <w:spacing w:line="240" w:lineRule="auto"/>
              <w:jc w:val="left"/>
              <w:rPr>
                <w:i/>
              </w:rPr>
            </w:pPr>
            <w:r>
              <w:rPr>
                <w:i/>
              </w:rPr>
              <w:t xml:space="preserve">Ekitaldiko narriadura</w:t>
            </w:r>
          </w:p>
        </w:tc>
        <w:tc>
          <w:tcPr>
            <w:tcW w:w="1701" w:type="dxa"/>
            <w:tcBorders>
              <w:top w:val="single" w:sz="2" w:space="0" w:color="auto"/>
              <w:left w:val="nil"/>
              <w:bottom w:val="single" w:sz="2" w:space="0" w:color="auto"/>
              <w:right w:val="nil"/>
            </w:tcBorders>
            <w:shd w:val="clear" w:color="auto" w:fill="auto"/>
            <w:noWrap/>
            <w:vAlign w:val="bottom"/>
            <w:hideMark/>
          </w:tcPr>
          <w:p w14:paraId="77005425" w14:textId="77777777" w:rsidR="00F87E58" w:rsidRPr="009C44C1" w:rsidRDefault="00F87E58" w:rsidP="00A26E71">
            <w:pPr>
              <w:pStyle w:val="cuatexto"/>
              <w:spacing w:line="240" w:lineRule="auto"/>
              <w:jc w:val="right"/>
              <w:rPr>
                <w:i/>
              </w:rPr>
            </w:pPr>
            <w:r>
              <w:rPr>
                <w:i/>
              </w:rPr>
              <w:t xml:space="preserve">.</w:t>
            </w:r>
          </w:p>
        </w:tc>
      </w:tr>
      <w:tr w:rsidR="00F87E58" w:rsidRPr="009C44C1" w14:paraId="0FCD0DF7" w14:textId="77777777" w:rsidTr="00A26E71">
        <w:trPr>
          <w:trHeight w:val="170"/>
        </w:trPr>
        <w:tc>
          <w:tcPr>
            <w:tcW w:w="7371" w:type="dxa"/>
            <w:tcBorders>
              <w:top w:val="single" w:sz="2" w:space="0" w:color="auto"/>
              <w:left w:val="nil"/>
              <w:bottom w:val="single" w:sz="4" w:space="0" w:color="auto"/>
              <w:right w:val="nil"/>
            </w:tcBorders>
            <w:shd w:val="clear" w:color="auto" w:fill="auto"/>
            <w:noWrap/>
            <w:vAlign w:val="bottom"/>
            <w:hideMark/>
          </w:tcPr>
          <w:p w14:paraId="0BCCB30D" w14:textId="77777777" w:rsidR="00F87E58" w:rsidRPr="009C44C1" w:rsidRDefault="00F87E58" w:rsidP="00A26E71">
            <w:pPr>
              <w:pStyle w:val="cuatexto"/>
              <w:spacing w:line="240" w:lineRule="auto"/>
              <w:jc w:val="left"/>
              <w:rPr>
                <w:i/>
              </w:rPr>
            </w:pPr>
            <w:r>
              <w:rPr>
                <w:i/>
              </w:rPr>
              <w:t xml:space="preserve">Narriadura metatua</w:t>
            </w:r>
          </w:p>
        </w:tc>
        <w:tc>
          <w:tcPr>
            <w:tcW w:w="1701" w:type="dxa"/>
            <w:tcBorders>
              <w:top w:val="single" w:sz="2" w:space="0" w:color="auto"/>
              <w:left w:val="nil"/>
              <w:bottom w:val="single" w:sz="4" w:space="0" w:color="auto"/>
              <w:right w:val="nil"/>
            </w:tcBorders>
            <w:shd w:val="clear" w:color="auto" w:fill="auto"/>
            <w:noWrap/>
            <w:vAlign w:val="bottom"/>
            <w:hideMark/>
          </w:tcPr>
          <w:p w14:paraId="46FDC074" w14:textId="77777777" w:rsidR="00F87E58" w:rsidRPr="009C44C1" w:rsidRDefault="00F87E58" w:rsidP="00A26E71">
            <w:pPr>
              <w:pStyle w:val="cuatexto"/>
              <w:spacing w:line="240" w:lineRule="auto"/>
              <w:jc w:val="right"/>
              <w:rPr>
                <w:i/>
              </w:rPr>
            </w:pPr>
            <w:r>
              <w:rPr>
                <w:i/>
              </w:rPr>
              <w:t xml:space="preserve">-4.050.000</w:t>
            </w:r>
          </w:p>
        </w:tc>
      </w:tr>
      <w:tr w:rsidR="00F87E58" w:rsidRPr="009C44C1" w14:paraId="5576702A" w14:textId="77777777" w:rsidTr="00F87E58">
        <w:trPr>
          <w:trHeight w:val="198"/>
        </w:trPr>
        <w:tc>
          <w:tcPr>
            <w:tcW w:w="7371" w:type="dxa"/>
            <w:tcBorders>
              <w:top w:val="single" w:sz="4" w:space="0" w:color="auto"/>
              <w:left w:val="nil"/>
              <w:bottom w:val="single" w:sz="4" w:space="0" w:color="auto"/>
              <w:right w:val="nil"/>
            </w:tcBorders>
            <w:shd w:val="clear" w:color="auto" w:fill="auto"/>
            <w:noWrap/>
            <w:vAlign w:val="bottom"/>
            <w:hideMark/>
          </w:tcPr>
          <w:p w14:paraId="489D7ED1" w14:textId="77777777" w:rsidR="00F87E58" w:rsidRPr="009C44C1" w:rsidRDefault="00F87E58" w:rsidP="00F87E58">
            <w:pPr>
              <w:pStyle w:val="cuatexto"/>
              <w:jc w:val="left"/>
              <w:rPr>
                <w:i/>
              </w:rPr>
            </w:pPr>
            <w:r>
              <w:rPr>
                <w:i/>
              </w:rPr>
              <w:t xml:space="preserve">Jasotako dibidenduak</w:t>
            </w:r>
          </w:p>
        </w:tc>
        <w:tc>
          <w:tcPr>
            <w:tcW w:w="1701" w:type="dxa"/>
            <w:tcBorders>
              <w:top w:val="single" w:sz="4" w:space="0" w:color="auto"/>
              <w:left w:val="nil"/>
              <w:bottom w:val="single" w:sz="4" w:space="0" w:color="auto"/>
              <w:right w:val="nil"/>
            </w:tcBorders>
            <w:shd w:val="clear" w:color="auto" w:fill="auto"/>
            <w:noWrap/>
            <w:vAlign w:val="bottom"/>
            <w:hideMark/>
          </w:tcPr>
          <w:p w14:paraId="5D16F9B5" w14:textId="77777777" w:rsidR="00F87E58" w:rsidRPr="009C44C1" w:rsidRDefault="00F87E58" w:rsidP="00F87E58">
            <w:pPr>
              <w:pStyle w:val="cuatexto"/>
              <w:jc w:val="right"/>
              <w:rPr>
                <w:i/>
              </w:rPr>
            </w:pPr>
            <w:r>
              <w:rPr>
                <w:i/>
              </w:rPr>
              <w:t xml:space="preserve">-</w:t>
            </w:r>
          </w:p>
        </w:tc>
      </w:tr>
    </w:tbl>
    <w:p w14:paraId="3BB9EC2D" w14:textId="77777777" w:rsidR="00F87E58" w:rsidRDefault="00F87E58" w:rsidP="00F87E58">
      <w:pPr>
        <w:spacing w:after="0"/>
        <w:ind w:firstLine="0"/>
        <w:jc w:val="left"/>
        <w:rPr>
          <w:i/>
          <w:iCs/>
          <w:color w:val="000000"/>
          <w:spacing w:val="10"/>
          <w:kern w:val="28"/>
          <w:rFonts w:ascii="Arial" w:hAnsi="Arial"/>
        </w:rPr>
      </w:pPr>
      <w:r>
        <w:br w:type="page"/>
      </w:r>
    </w:p>
    <w:p w14:paraId="66A649EB" w14:textId="77777777" w:rsidR="00F87E58" w:rsidRPr="009C44C1" w:rsidRDefault="00F87E58" w:rsidP="00F87E58">
      <w:pPr>
        <w:pStyle w:val="atitulo3"/>
        <w:rPr>
          <w:sz w:val="20"/>
          <w:szCs w:val="20"/>
        </w:rPr>
      </w:pPr>
      <w:r>
        <w:rPr>
          <w:sz w:val="20"/>
        </w:rPr>
        <w:t xml:space="preserve">11.2 atala. Bermeak, abalak eta pasibo kontingenteak</w:t>
      </w:r>
      <w:r>
        <w:rPr>
          <w:sz w:val="20"/>
        </w:rPr>
        <w:t xml:space="preserve"> </w:t>
      </w:r>
    </w:p>
    <w:tbl>
      <w:tblPr>
        <w:tblW w:w="8789" w:type="dxa"/>
        <w:tblCellMar>
          <w:left w:w="70" w:type="dxa"/>
          <w:right w:w="70" w:type="dxa"/>
        </w:tblCellMar>
        <w:tblLook w:val="04A0" w:firstRow="1" w:lastRow="0" w:firstColumn="1" w:lastColumn="0" w:noHBand="0" w:noVBand="1"/>
      </w:tblPr>
      <w:tblGrid>
        <w:gridCol w:w="6804"/>
        <w:gridCol w:w="844"/>
        <w:gridCol w:w="1141"/>
      </w:tblGrid>
      <w:tr w:rsidR="00F87E58" w:rsidRPr="009C44C1" w14:paraId="6BEB1868" w14:textId="77777777" w:rsidTr="00F87E58">
        <w:trPr>
          <w:trHeight w:val="253"/>
        </w:trPr>
        <w:tc>
          <w:tcPr>
            <w:tcW w:w="6804" w:type="dxa"/>
            <w:tcBorders>
              <w:top w:val="single" w:sz="4" w:space="0" w:color="auto"/>
              <w:left w:val="nil"/>
              <w:bottom w:val="single" w:sz="4" w:space="0" w:color="auto"/>
              <w:right w:val="nil"/>
            </w:tcBorders>
            <w:shd w:val="clear" w:color="auto" w:fill="auto"/>
            <w:noWrap/>
            <w:vAlign w:val="center"/>
            <w:hideMark/>
          </w:tcPr>
          <w:p w14:paraId="146EB8D4" w14:textId="77777777" w:rsidR="00F87E58" w:rsidRPr="009C44C1" w:rsidRDefault="00F87E58" w:rsidP="00F87E58">
            <w:pPr>
              <w:pStyle w:val="cuadroCabe"/>
              <w:jc w:val="left"/>
            </w:pPr>
          </w:p>
        </w:tc>
        <w:tc>
          <w:tcPr>
            <w:tcW w:w="1127" w:type="dxa"/>
            <w:tcBorders>
              <w:top w:val="single" w:sz="4" w:space="0" w:color="auto"/>
              <w:left w:val="nil"/>
              <w:bottom w:val="single" w:sz="4" w:space="0" w:color="auto"/>
              <w:right w:val="nil"/>
            </w:tcBorders>
            <w:shd w:val="clear" w:color="auto" w:fill="auto"/>
            <w:vAlign w:val="center"/>
          </w:tcPr>
          <w:p w14:paraId="76B56B8A" w14:textId="77777777" w:rsidR="00F87E58" w:rsidRPr="009C44C1" w:rsidRDefault="00F87E58" w:rsidP="00F87E58">
            <w:pPr>
              <w:pStyle w:val="cuadroCabe"/>
              <w:jc w:val="right"/>
            </w:pPr>
            <w:r>
              <w:t xml:space="preserve">2022</w:t>
            </w:r>
          </w:p>
        </w:tc>
        <w:tc>
          <w:tcPr>
            <w:tcW w:w="1141" w:type="dxa"/>
            <w:tcBorders>
              <w:top w:val="single" w:sz="4" w:space="0" w:color="auto"/>
              <w:left w:val="nil"/>
              <w:bottom w:val="single" w:sz="4" w:space="0" w:color="auto"/>
              <w:right w:val="nil"/>
            </w:tcBorders>
            <w:shd w:val="clear" w:color="auto" w:fill="auto"/>
            <w:noWrap/>
            <w:vAlign w:val="center"/>
          </w:tcPr>
          <w:p w14:paraId="28EB74C3" w14:textId="77777777" w:rsidR="00F87E58" w:rsidRPr="009C44C1" w:rsidRDefault="00F87E58" w:rsidP="00F87E58">
            <w:pPr>
              <w:pStyle w:val="cuadroCabe"/>
              <w:jc w:val="right"/>
            </w:pPr>
            <w:r>
              <w:t xml:space="preserve">2021</w:t>
            </w:r>
          </w:p>
        </w:tc>
      </w:tr>
      <w:tr w:rsidR="00F87E58" w:rsidRPr="009C44C1" w14:paraId="41D4E776" w14:textId="77777777" w:rsidTr="00F87E58">
        <w:trPr>
          <w:trHeight w:val="198"/>
        </w:trPr>
        <w:tc>
          <w:tcPr>
            <w:tcW w:w="6804" w:type="dxa"/>
            <w:tcBorders>
              <w:top w:val="single" w:sz="4" w:space="0" w:color="auto"/>
              <w:left w:val="nil"/>
              <w:bottom w:val="single" w:sz="4" w:space="0" w:color="auto"/>
              <w:right w:val="nil"/>
            </w:tcBorders>
            <w:shd w:val="clear" w:color="auto" w:fill="auto"/>
            <w:noWrap/>
            <w:vAlign w:val="bottom"/>
            <w:hideMark/>
          </w:tcPr>
          <w:p w14:paraId="35143722" w14:textId="77777777" w:rsidR="00F87E58" w:rsidRPr="009C44C1" w:rsidRDefault="00F87E58" w:rsidP="00F87E58">
            <w:pPr>
              <w:pStyle w:val="cuatexto"/>
              <w:jc w:val="left"/>
              <w:rPr>
                <w:i/>
              </w:rPr>
            </w:pPr>
            <w:r>
              <w:rPr>
                <w:i/>
              </w:rPr>
              <w:t xml:space="preserve">Parque de la Naturaleza de Navarra SA</w:t>
            </w:r>
            <w:r>
              <w:rPr>
                <w:i/>
              </w:rPr>
              <w:t xml:space="preserve"> </w:t>
            </w:r>
          </w:p>
        </w:tc>
        <w:tc>
          <w:tcPr>
            <w:tcW w:w="1127" w:type="dxa"/>
            <w:tcBorders>
              <w:top w:val="single" w:sz="4" w:space="0" w:color="auto"/>
              <w:left w:val="nil"/>
              <w:bottom w:val="single" w:sz="4" w:space="0" w:color="auto"/>
              <w:right w:val="nil"/>
            </w:tcBorders>
          </w:tcPr>
          <w:p w14:paraId="6393D5D0" w14:textId="77777777" w:rsidR="00F87E58" w:rsidRPr="009C44C1" w:rsidRDefault="00F87E58" w:rsidP="00F87E58">
            <w:pPr>
              <w:pStyle w:val="cuatexto"/>
              <w:jc w:val="right"/>
              <w:rPr>
                <w:i/>
              </w:rPr>
            </w:pPr>
            <w:r>
              <w:rPr>
                <w:i/>
              </w:rPr>
              <w:t xml:space="preserve">180.000</w:t>
            </w:r>
          </w:p>
        </w:tc>
        <w:tc>
          <w:tcPr>
            <w:tcW w:w="1141" w:type="dxa"/>
            <w:tcBorders>
              <w:top w:val="single" w:sz="4" w:space="0" w:color="auto"/>
              <w:left w:val="nil"/>
              <w:bottom w:val="single" w:sz="4" w:space="0" w:color="auto"/>
              <w:right w:val="nil"/>
            </w:tcBorders>
            <w:shd w:val="clear" w:color="auto" w:fill="auto"/>
            <w:noWrap/>
            <w:vAlign w:val="bottom"/>
            <w:hideMark/>
          </w:tcPr>
          <w:p w14:paraId="397E6AD3" w14:textId="77777777" w:rsidR="00F87E58" w:rsidRPr="009C44C1" w:rsidRDefault="00F87E58" w:rsidP="00F87E58">
            <w:pPr>
              <w:pStyle w:val="cuatexto"/>
              <w:jc w:val="right"/>
              <w:rPr>
                <w:i/>
              </w:rPr>
            </w:pPr>
            <w:r>
              <w:rPr>
                <w:i/>
              </w:rPr>
              <w:t xml:space="preserve">180.000</w:t>
            </w:r>
          </w:p>
        </w:tc>
      </w:tr>
    </w:tbl>
    <w:p w14:paraId="1FC0664C" w14:textId="77777777" w:rsidR="00F87E58" w:rsidRPr="009C44C1" w:rsidRDefault="00F87E58" w:rsidP="00F87E58">
      <w:pPr>
        <w:pStyle w:val="atitulo3"/>
        <w:spacing w:before="240"/>
        <w:rPr>
          <w:sz w:val="20"/>
          <w:szCs w:val="20"/>
        </w:rPr>
      </w:pPr>
      <w:r>
        <w:rPr>
          <w:sz w:val="20"/>
        </w:rPr>
        <w:t xml:space="preserve">8.2.1 atala. Kredituak taldeko enpresei eta enpresa elkartuei</w:t>
      </w:r>
    </w:p>
    <w:tbl>
      <w:tblPr>
        <w:tblW w:w="8789" w:type="dxa"/>
        <w:tblCellMar>
          <w:left w:w="70" w:type="dxa"/>
          <w:right w:w="70" w:type="dxa"/>
        </w:tblCellMar>
        <w:tblLook w:val="04A0" w:firstRow="1" w:lastRow="0" w:firstColumn="1" w:lastColumn="0" w:noHBand="0" w:noVBand="1"/>
      </w:tblPr>
      <w:tblGrid>
        <w:gridCol w:w="7002"/>
        <w:gridCol w:w="1787"/>
      </w:tblGrid>
      <w:tr w:rsidR="00F87E58" w:rsidRPr="009C44C1" w14:paraId="5B27D1D7" w14:textId="77777777" w:rsidTr="00321B53">
        <w:trPr>
          <w:trHeight w:val="198"/>
        </w:trPr>
        <w:tc>
          <w:tcPr>
            <w:tcW w:w="7002" w:type="dxa"/>
            <w:tcBorders>
              <w:top w:val="single" w:sz="4" w:space="0" w:color="auto"/>
              <w:left w:val="nil"/>
              <w:bottom w:val="single" w:sz="4" w:space="0" w:color="auto"/>
              <w:right w:val="nil"/>
            </w:tcBorders>
            <w:shd w:val="clear" w:color="auto" w:fill="auto"/>
            <w:noWrap/>
            <w:vAlign w:val="bottom"/>
          </w:tcPr>
          <w:p w14:paraId="33212F94" w14:textId="77777777" w:rsidR="00F87E58" w:rsidRPr="009C44C1" w:rsidRDefault="00F87E58" w:rsidP="00F87E58">
            <w:pPr>
              <w:pStyle w:val="cuadroCabe"/>
              <w:jc w:val="left"/>
              <w:rPr>
                <w:i/>
                <w:sz w:val="20"/>
                <w:szCs w:val="20"/>
                <w:rFonts w:ascii="Arial Narrow" w:hAnsi="Arial Narrow"/>
              </w:rPr>
            </w:pPr>
            <w:r>
              <w:rPr>
                <w:i/>
                <w:sz w:val="20"/>
                <w:rFonts w:ascii="Arial Narrow" w:hAnsi="Arial Narrow"/>
              </w:rPr>
              <w:t xml:space="preserve">Kredituak</w:t>
            </w:r>
          </w:p>
        </w:tc>
        <w:tc>
          <w:tcPr>
            <w:tcW w:w="1787" w:type="dxa"/>
            <w:tcBorders>
              <w:top w:val="single" w:sz="4" w:space="0" w:color="auto"/>
              <w:left w:val="nil"/>
              <w:bottom w:val="single" w:sz="4" w:space="0" w:color="auto"/>
              <w:right w:val="nil"/>
            </w:tcBorders>
            <w:shd w:val="clear" w:color="auto" w:fill="auto"/>
            <w:noWrap/>
            <w:vAlign w:val="bottom"/>
          </w:tcPr>
          <w:p w14:paraId="1B2AFC90" w14:textId="77777777" w:rsidR="00F87E58" w:rsidRPr="009C44C1" w:rsidRDefault="00F87E58" w:rsidP="00F87E58">
            <w:pPr>
              <w:pStyle w:val="cuadroCabe"/>
              <w:jc w:val="right"/>
              <w:rPr>
                <w:i/>
                <w:sz w:val="20"/>
                <w:szCs w:val="20"/>
                <w:rFonts w:ascii="Arial Narrow" w:hAnsi="Arial Narrow"/>
              </w:rPr>
            </w:pPr>
            <w:r>
              <w:rPr>
                <w:i/>
                <w:sz w:val="20"/>
                <w:rFonts w:ascii="Arial Narrow" w:hAnsi="Arial Narrow"/>
              </w:rPr>
              <w:t xml:space="preserve">2022</w:t>
            </w:r>
          </w:p>
        </w:tc>
      </w:tr>
      <w:tr w:rsidR="00F87E58" w:rsidRPr="009C44C1" w14:paraId="6D280945" w14:textId="77777777" w:rsidTr="00321B53">
        <w:trPr>
          <w:trHeight w:val="198"/>
        </w:trPr>
        <w:tc>
          <w:tcPr>
            <w:tcW w:w="7002" w:type="dxa"/>
            <w:tcBorders>
              <w:top w:val="single" w:sz="4" w:space="0" w:color="auto"/>
              <w:left w:val="nil"/>
              <w:bottom w:val="single" w:sz="2" w:space="0" w:color="auto"/>
              <w:right w:val="nil"/>
            </w:tcBorders>
            <w:shd w:val="clear" w:color="auto" w:fill="auto"/>
            <w:noWrap/>
            <w:vAlign w:val="bottom"/>
            <w:hideMark/>
          </w:tcPr>
          <w:p w14:paraId="21AA016B" w14:textId="77777777" w:rsidR="00F87E58" w:rsidRPr="009C44C1" w:rsidRDefault="00F87E58" w:rsidP="00F87E58">
            <w:pPr>
              <w:pStyle w:val="cuadroCabe"/>
              <w:jc w:val="left"/>
              <w:rPr>
                <w:i/>
                <w:sz w:val="20"/>
                <w:szCs w:val="20"/>
                <w:rFonts w:ascii="Arial Narrow" w:hAnsi="Arial Narrow"/>
              </w:rPr>
            </w:pPr>
            <w:r>
              <w:rPr>
                <w:i/>
                <w:sz w:val="20"/>
                <w:rFonts w:ascii="Arial Narrow" w:hAnsi="Arial Narrow"/>
              </w:rPr>
              <w:t xml:space="preserve">Emandako zenbatekoa</w:t>
            </w:r>
          </w:p>
        </w:tc>
        <w:tc>
          <w:tcPr>
            <w:tcW w:w="1787" w:type="dxa"/>
            <w:tcBorders>
              <w:top w:val="single" w:sz="4" w:space="0" w:color="auto"/>
              <w:left w:val="nil"/>
              <w:bottom w:val="single" w:sz="2" w:space="0" w:color="auto"/>
              <w:right w:val="nil"/>
            </w:tcBorders>
            <w:shd w:val="clear" w:color="auto" w:fill="auto"/>
            <w:noWrap/>
            <w:vAlign w:val="bottom"/>
            <w:hideMark/>
          </w:tcPr>
          <w:p w14:paraId="12053752" w14:textId="77777777" w:rsidR="00F87E58" w:rsidRPr="009C44C1" w:rsidRDefault="00F87E58" w:rsidP="00F87E58">
            <w:pPr>
              <w:pStyle w:val="cuadroCabe"/>
              <w:jc w:val="right"/>
              <w:rPr>
                <w:i/>
                <w:sz w:val="20"/>
                <w:szCs w:val="20"/>
                <w:rFonts w:ascii="Arial Narrow" w:hAnsi="Arial Narrow"/>
              </w:rPr>
            </w:pPr>
            <w:r>
              <w:rPr>
                <w:i/>
                <w:sz w:val="20"/>
                <w:rFonts w:ascii="Arial Narrow" w:hAnsi="Arial Narrow"/>
              </w:rPr>
              <w:t xml:space="preserve">78.104.448</w:t>
            </w:r>
          </w:p>
        </w:tc>
      </w:tr>
      <w:tr w:rsidR="00F87E58" w:rsidRPr="009C44C1" w14:paraId="6EA432D3" w14:textId="77777777" w:rsidTr="00F87E58">
        <w:trPr>
          <w:trHeight w:val="198"/>
        </w:trPr>
        <w:tc>
          <w:tcPr>
            <w:tcW w:w="7002" w:type="dxa"/>
            <w:tcBorders>
              <w:top w:val="single" w:sz="2" w:space="0" w:color="auto"/>
              <w:left w:val="nil"/>
              <w:bottom w:val="single" w:sz="2" w:space="0" w:color="auto"/>
              <w:right w:val="nil"/>
            </w:tcBorders>
            <w:shd w:val="clear" w:color="auto" w:fill="auto"/>
            <w:noWrap/>
            <w:vAlign w:val="bottom"/>
            <w:hideMark/>
          </w:tcPr>
          <w:p w14:paraId="33F89D05" w14:textId="77777777" w:rsidR="00F87E58" w:rsidRPr="009C44C1" w:rsidRDefault="00F87E58" w:rsidP="00F87E58">
            <w:pPr>
              <w:pStyle w:val="cuadroCabe"/>
              <w:jc w:val="left"/>
              <w:rPr>
                <w:i/>
                <w:sz w:val="20"/>
                <w:szCs w:val="20"/>
                <w:rFonts w:ascii="Arial Narrow" w:hAnsi="Arial Narrow"/>
              </w:rPr>
            </w:pPr>
            <w:r>
              <w:rPr>
                <w:i/>
                <w:sz w:val="20"/>
                <w:rFonts w:ascii="Arial Narrow" w:hAnsi="Arial Narrow"/>
              </w:rPr>
              <w:t xml:space="preserve">Interesak</w:t>
            </w:r>
          </w:p>
        </w:tc>
        <w:tc>
          <w:tcPr>
            <w:tcW w:w="1787" w:type="dxa"/>
            <w:tcBorders>
              <w:top w:val="single" w:sz="2" w:space="0" w:color="auto"/>
              <w:left w:val="nil"/>
              <w:bottom w:val="single" w:sz="2" w:space="0" w:color="auto"/>
              <w:right w:val="nil"/>
            </w:tcBorders>
            <w:shd w:val="clear" w:color="auto" w:fill="auto"/>
            <w:noWrap/>
            <w:vAlign w:val="bottom"/>
            <w:hideMark/>
          </w:tcPr>
          <w:p w14:paraId="63AC9385" w14:textId="77777777" w:rsidR="00F87E58" w:rsidRPr="009C44C1" w:rsidRDefault="00F87E58" w:rsidP="00F87E58">
            <w:pPr>
              <w:pStyle w:val="cuadroCabe"/>
              <w:jc w:val="right"/>
              <w:rPr>
                <w:i/>
                <w:sz w:val="20"/>
                <w:szCs w:val="20"/>
                <w:rFonts w:ascii="Arial Narrow" w:hAnsi="Arial Narrow"/>
              </w:rPr>
            </w:pPr>
            <w:r>
              <w:rPr>
                <w:i/>
                <w:sz w:val="20"/>
                <w:rFonts w:ascii="Arial Narrow" w:hAnsi="Arial Narrow"/>
              </w:rPr>
              <w:t xml:space="preserve">187.706</w:t>
            </w:r>
          </w:p>
        </w:tc>
      </w:tr>
      <w:tr w:rsidR="00F87E58" w:rsidRPr="009C44C1" w14:paraId="23CFA131" w14:textId="77777777" w:rsidTr="00F87E58">
        <w:trPr>
          <w:trHeight w:val="198"/>
        </w:trPr>
        <w:tc>
          <w:tcPr>
            <w:tcW w:w="7002" w:type="dxa"/>
            <w:tcBorders>
              <w:top w:val="single" w:sz="2" w:space="0" w:color="auto"/>
              <w:left w:val="nil"/>
              <w:bottom w:val="single" w:sz="4" w:space="0" w:color="auto"/>
              <w:right w:val="nil"/>
            </w:tcBorders>
            <w:shd w:val="clear" w:color="auto" w:fill="auto"/>
            <w:noWrap/>
            <w:vAlign w:val="bottom"/>
            <w:hideMark/>
          </w:tcPr>
          <w:p w14:paraId="2C3EBCDE" w14:textId="77777777" w:rsidR="00F87E58" w:rsidRPr="009C44C1" w:rsidRDefault="00F87E58" w:rsidP="00F87E58">
            <w:pPr>
              <w:pStyle w:val="cuadroCabe"/>
              <w:jc w:val="left"/>
              <w:rPr>
                <w:i/>
                <w:sz w:val="20"/>
                <w:szCs w:val="20"/>
                <w:rFonts w:ascii="Arial Narrow" w:hAnsi="Arial Narrow"/>
              </w:rPr>
            </w:pPr>
            <w:r>
              <w:rPr>
                <w:i/>
                <w:sz w:val="20"/>
                <w:rFonts w:ascii="Arial Narrow" w:hAnsi="Arial Narrow"/>
              </w:rPr>
              <w:t xml:space="preserve">Narriadura</w:t>
            </w:r>
          </w:p>
        </w:tc>
        <w:tc>
          <w:tcPr>
            <w:tcW w:w="1787" w:type="dxa"/>
            <w:tcBorders>
              <w:top w:val="single" w:sz="2" w:space="0" w:color="auto"/>
              <w:left w:val="nil"/>
              <w:bottom w:val="single" w:sz="4" w:space="0" w:color="auto"/>
              <w:right w:val="nil"/>
            </w:tcBorders>
            <w:shd w:val="clear" w:color="auto" w:fill="auto"/>
            <w:noWrap/>
            <w:vAlign w:val="bottom"/>
            <w:hideMark/>
          </w:tcPr>
          <w:p w14:paraId="7DE05FFE" w14:textId="77777777" w:rsidR="00F87E58" w:rsidRPr="009C44C1" w:rsidRDefault="00F87E58" w:rsidP="00F87E58">
            <w:pPr>
              <w:pStyle w:val="cuadroCabe"/>
              <w:jc w:val="right"/>
              <w:rPr>
                <w:i/>
                <w:sz w:val="20"/>
                <w:szCs w:val="20"/>
                <w:rFonts w:ascii="Arial Narrow" w:hAnsi="Arial Narrow"/>
              </w:rPr>
            </w:pPr>
            <w:r>
              <w:rPr>
                <w:i/>
                <w:sz w:val="20"/>
                <w:rFonts w:ascii="Arial Narrow" w:hAnsi="Arial Narrow"/>
              </w:rPr>
              <w:t xml:space="preserve">-55.780.244</w:t>
            </w:r>
          </w:p>
        </w:tc>
      </w:tr>
      <w:tr w:rsidR="00F87E58" w:rsidRPr="009C44C1" w14:paraId="321A9606" w14:textId="77777777" w:rsidTr="00F87E58">
        <w:trPr>
          <w:trHeight w:val="198"/>
        </w:trPr>
        <w:tc>
          <w:tcPr>
            <w:tcW w:w="7002" w:type="dxa"/>
            <w:tcBorders>
              <w:top w:val="single" w:sz="2" w:space="0" w:color="auto"/>
              <w:left w:val="nil"/>
              <w:bottom w:val="single" w:sz="4" w:space="0" w:color="auto"/>
              <w:right w:val="nil"/>
            </w:tcBorders>
            <w:shd w:val="clear" w:color="auto" w:fill="auto"/>
            <w:noWrap/>
            <w:vAlign w:val="bottom"/>
          </w:tcPr>
          <w:p w14:paraId="6F678979" w14:textId="77777777" w:rsidR="00F87E58" w:rsidRPr="009C44C1" w:rsidRDefault="00F87E58" w:rsidP="00F87E58">
            <w:pPr>
              <w:pStyle w:val="cuadroCabe"/>
              <w:jc w:val="left"/>
              <w:rPr>
                <w:i/>
                <w:sz w:val="20"/>
                <w:szCs w:val="20"/>
                <w:rFonts w:ascii="Arial Narrow" w:hAnsi="Arial Narrow"/>
              </w:rPr>
            </w:pPr>
            <w:r>
              <w:rPr>
                <w:i/>
                <w:sz w:val="20"/>
                <w:rFonts w:ascii="Arial Narrow" w:hAnsi="Arial Narrow"/>
              </w:rPr>
              <w:t xml:space="preserve">Guztira</w:t>
            </w:r>
          </w:p>
        </w:tc>
        <w:tc>
          <w:tcPr>
            <w:tcW w:w="1787" w:type="dxa"/>
            <w:tcBorders>
              <w:top w:val="single" w:sz="2" w:space="0" w:color="auto"/>
              <w:left w:val="nil"/>
              <w:bottom w:val="single" w:sz="4" w:space="0" w:color="auto"/>
              <w:right w:val="nil"/>
            </w:tcBorders>
            <w:shd w:val="clear" w:color="auto" w:fill="auto"/>
            <w:noWrap/>
            <w:vAlign w:val="bottom"/>
          </w:tcPr>
          <w:p w14:paraId="7211DB65" w14:textId="77777777" w:rsidR="00F87E58" w:rsidRPr="009C44C1" w:rsidRDefault="00F87E58" w:rsidP="00F87E58">
            <w:pPr>
              <w:pStyle w:val="cuadroCabe"/>
              <w:jc w:val="right"/>
              <w:rPr>
                <w:i/>
                <w:sz w:val="20"/>
                <w:szCs w:val="20"/>
                <w:rFonts w:ascii="Arial Narrow" w:hAnsi="Arial Narrow"/>
              </w:rPr>
            </w:pPr>
            <w:r>
              <w:rPr>
                <w:i/>
                <w:sz w:val="20"/>
                <w:rFonts w:ascii="Arial Narrow" w:hAnsi="Arial Narrow"/>
              </w:rPr>
              <w:t xml:space="preserve">22.511.910</w:t>
            </w:r>
          </w:p>
        </w:tc>
      </w:tr>
    </w:tbl>
    <w:p w14:paraId="40FA200C" w14:textId="77777777" w:rsidR="00F87E58" w:rsidRPr="009C44C1" w:rsidRDefault="00F87E58" w:rsidP="00F87E58">
      <w:pPr>
        <w:autoSpaceDE w:val="0"/>
        <w:autoSpaceDN w:val="0"/>
        <w:adjustRightInd w:val="0"/>
        <w:spacing w:before="60" w:after="120"/>
        <w:ind w:left="278" w:hanging="278"/>
        <w:rPr>
          <w:sz w:val="16"/>
          <w:szCs w:val="16"/>
          <w:rFonts w:ascii="Arial Narrow" w:hAnsi="Arial Narrow"/>
        </w:rPr>
      </w:pPr>
      <w:r>
        <w:rPr>
          <w:sz w:val="16"/>
          <w:rFonts w:ascii="Arial Narrow" w:hAnsi="Arial Narrow"/>
        </w:rPr>
        <w:t xml:space="preserve">Oharra (1) 2022ko abenduaren 31n, 56.795.000 euro ziren partaidetza-maileguak”.</w:t>
      </w:r>
    </w:p>
    <w:p w14:paraId="56AC4B38" w14:textId="77777777" w:rsidR="00F87E58" w:rsidRDefault="00F87E58" w:rsidP="00F87E58">
      <w:pPr>
        <w:autoSpaceDE w:val="0"/>
        <w:autoSpaceDN w:val="0"/>
        <w:adjustRightInd w:val="0"/>
        <w:spacing w:after="120"/>
        <w:ind w:firstLine="280"/>
        <w:rPr>
          <w:color w:val="000000"/>
          <w:sz w:val="26"/>
          <w:szCs w:val="26"/>
        </w:rPr>
      </w:pPr>
      <w:r>
        <w:rPr>
          <w:color w:val="000000"/>
          <w:sz w:val="26"/>
        </w:rPr>
        <w:t xml:space="preserve">Informazio horri dagokionez, alderdi hauek nabarmenduko ditugu:</w:t>
      </w:r>
    </w:p>
    <w:p w14:paraId="2ACE7B89"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t xml:space="preserve">Sodenaren urteko kontuetan, gaur egun erabat narriatuta dago kapitalean egindako 4,05 milioiko ekarpena.</w:t>
      </w:r>
      <w:r>
        <w:t xml:space="preserve"> </w:t>
      </w:r>
      <w:r>
        <w:t xml:space="preserve">Izan ere, 2006ko ekitaldian iritsi zen erabateko narriadurara, taula honetan ikus daitekeenez:</w:t>
      </w:r>
    </w:p>
    <w:tbl>
      <w:tblPr>
        <w:tblW w:w="10881" w:type="dxa"/>
        <w:jc w:val="center"/>
        <w:tblCellMar>
          <w:left w:w="70" w:type="dxa"/>
          <w:right w:w="70" w:type="dxa"/>
        </w:tblCellMar>
        <w:tblLook w:val="04A0" w:firstRow="1" w:lastRow="0" w:firstColumn="1" w:lastColumn="0" w:noHBand="0" w:noVBand="1"/>
      </w:tblPr>
      <w:tblGrid>
        <w:gridCol w:w="992"/>
        <w:gridCol w:w="398"/>
        <w:gridCol w:w="452"/>
        <w:gridCol w:w="406"/>
        <w:gridCol w:w="542"/>
        <w:gridCol w:w="488"/>
        <w:gridCol w:w="476"/>
        <w:gridCol w:w="470"/>
        <w:gridCol w:w="409"/>
        <w:gridCol w:w="470"/>
        <w:gridCol w:w="566"/>
        <w:gridCol w:w="470"/>
        <w:gridCol w:w="523"/>
        <w:gridCol w:w="470"/>
        <w:gridCol w:w="393"/>
        <w:gridCol w:w="554"/>
        <w:gridCol w:w="454"/>
        <w:gridCol w:w="397"/>
        <w:gridCol w:w="393"/>
        <w:gridCol w:w="393"/>
        <w:gridCol w:w="393"/>
        <w:gridCol w:w="393"/>
        <w:gridCol w:w="379"/>
      </w:tblGrid>
      <w:tr w:rsidR="00F87E58" w:rsidRPr="00DB3C52" w14:paraId="383443EF" w14:textId="77777777" w:rsidTr="00F87E58">
        <w:trPr>
          <w:trHeight w:val="255"/>
          <w:jc w:val="center"/>
        </w:trPr>
        <w:tc>
          <w:tcPr>
            <w:tcW w:w="992" w:type="dxa"/>
            <w:tcBorders>
              <w:top w:val="single" w:sz="4" w:space="0" w:color="auto"/>
              <w:bottom w:val="single" w:sz="4" w:space="0" w:color="auto"/>
              <w:right w:val="nil"/>
            </w:tcBorders>
            <w:shd w:val="clear" w:color="auto" w:fill="9CC2E5"/>
            <w:noWrap/>
            <w:vAlign w:val="bottom"/>
          </w:tcPr>
          <w:p w14:paraId="4E660897" w14:textId="77777777" w:rsidR="00F87E58" w:rsidRPr="00DB3C52" w:rsidRDefault="00F87E58" w:rsidP="00F87E58">
            <w:pPr>
              <w:pStyle w:val="cuadroCabe"/>
              <w:ind w:right="-26"/>
              <w:jc w:val="right"/>
              <w:rPr>
                <w:sz w:val="12"/>
                <w:szCs w:val="12"/>
              </w:rPr>
            </w:pPr>
          </w:p>
        </w:tc>
        <w:tc>
          <w:tcPr>
            <w:tcW w:w="398" w:type="dxa"/>
            <w:tcBorders>
              <w:top w:val="single" w:sz="4" w:space="0" w:color="auto"/>
              <w:left w:val="nil"/>
              <w:bottom w:val="single" w:sz="4" w:space="0" w:color="auto"/>
              <w:right w:val="nil"/>
            </w:tcBorders>
            <w:shd w:val="clear" w:color="auto" w:fill="9CC2E5"/>
            <w:noWrap/>
            <w:vAlign w:val="bottom"/>
          </w:tcPr>
          <w:p w14:paraId="3B64702F" w14:textId="77777777" w:rsidR="00F87E58" w:rsidRPr="00DB3C52" w:rsidRDefault="00F87E58" w:rsidP="00F87E58">
            <w:pPr>
              <w:pStyle w:val="cuadroCabe"/>
              <w:tabs>
                <w:tab w:val="clear" w:pos="2835"/>
                <w:tab w:val="right" w:pos="331"/>
              </w:tabs>
              <w:ind w:left="-59"/>
              <w:jc w:val="right"/>
              <w:rPr>
                <w:sz w:val="12"/>
                <w:szCs w:val="12"/>
              </w:rPr>
            </w:pPr>
            <w:r>
              <w:rPr>
                <w:sz w:val="12"/>
              </w:rPr>
              <w:t xml:space="preserve">2001</w:t>
            </w:r>
          </w:p>
        </w:tc>
        <w:tc>
          <w:tcPr>
            <w:tcW w:w="452" w:type="dxa"/>
            <w:tcBorders>
              <w:top w:val="single" w:sz="4" w:space="0" w:color="auto"/>
              <w:left w:val="nil"/>
              <w:bottom w:val="single" w:sz="4" w:space="0" w:color="auto"/>
              <w:right w:val="nil"/>
            </w:tcBorders>
            <w:shd w:val="clear" w:color="auto" w:fill="9CC2E5"/>
            <w:noWrap/>
            <w:vAlign w:val="bottom"/>
          </w:tcPr>
          <w:p w14:paraId="1730810F" w14:textId="77777777" w:rsidR="00F87E58" w:rsidRPr="00DB3C52" w:rsidRDefault="00F87E58" w:rsidP="00F87E58">
            <w:pPr>
              <w:pStyle w:val="cuadroCabe"/>
              <w:tabs>
                <w:tab w:val="clear" w:pos="2835"/>
                <w:tab w:val="right" w:pos="331"/>
              </w:tabs>
              <w:ind w:left="-99"/>
              <w:jc w:val="right"/>
              <w:rPr>
                <w:sz w:val="12"/>
                <w:szCs w:val="12"/>
              </w:rPr>
            </w:pPr>
            <w:r>
              <w:rPr>
                <w:sz w:val="12"/>
              </w:rPr>
              <w:t xml:space="preserve">2002</w:t>
            </w:r>
          </w:p>
        </w:tc>
        <w:tc>
          <w:tcPr>
            <w:tcW w:w="406" w:type="dxa"/>
            <w:tcBorders>
              <w:top w:val="single" w:sz="4" w:space="0" w:color="auto"/>
              <w:left w:val="nil"/>
              <w:bottom w:val="single" w:sz="4" w:space="0" w:color="auto"/>
              <w:right w:val="nil"/>
            </w:tcBorders>
            <w:shd w:val="clear" w:color="auto" w:fill="9CC2E5"/>
            <w:noWrap/>
            <w:vAlign w:val="bottom"/>
          </w:tcPr>
          <w:p w14:paraId="3AD3E8F4" w14:textId="77777777" w:rsidR="00F87E58" w:rsidRPr="00DB3C52" w:rsidRDefault="00F87E58" w:rsidP="00F87E58">
            <w:pPr>
              <w:pStyle w:val="cuadroCabe"/>
              <w:ind w:left="-70"/>
              <w:jc w:val="right"/>
              <w:rPr>
                <w:sz w:val="12"/>
                <w:szCs w:val="12"/>
              </w:rPr>
            </w:pPr>
            <w:r>
              <w:rPr>
                <w:sz w:val="12"/>
              </w:rPr>
              <w:t xml:space="preserve">2003</w:t>
            </w:r>
          </w:p>
        </w:tc>
        <w:tc>
          <w:tcPr>
            <w:tcW w:w="542" w:type="dxa"/>
            <w:tcBorders>
              <w:top w:val="single" w:sz="4" w:space="0" w:color="auto"/>
              <w:left w:val="nil"/>
              <w:bottom w:val="single" w:sz="4" w:space="0" w:color="auto"/>
              <w:right w:val="nil"/>
            </w:tcBorders>
            <w:shd w:val="clear" w:color="auto" w:fill="9CC2E5"/>
            <w:noWrap/>
            <w:vAlign w:val="bottom"/>
          </w:tcPr>
          <w:p w14:paraId="6E9C9D92" w14:textId="77777777" w:rsidR="00F87E58" w:rsidRPr="00DB3C52" w:rsidRDefault="00F87E58" w:rsidP="00F87E58">
            <w:pPr>
              <w:pStyle w:val="cuadroCabe"/>
              <w:ind w:left="-39"/>
              <w:jc w:val="right"/>
              <w:rPr>
                <w:sz w:val="12"/>
                <w:szCs w:val="12"/>
              </w:rPr>
            </w:pPr>
            <w:r>
              <w:rPr>
                <w:sz w:val="12"/>
              </w:rPr>
              <w:t xml:space="preserve">2004</w:t>
            </w:r>
          </w:p>
        </w:tc>
        <w:tc>
          <w:tcPr>
            <w:tcW w:w="488" w:type="dxa"/>
            <w:tcBorders>
              <w:top w:val="single" w:sz="4" w:space="0" w:color="auto"/>
              <w:left w:val="nil"/>
              <w:bottom w:val="single" w:sz="4" w:space="0" w:color="auto"/>
              <w:right w:val="nil"/>
            </w:tcBorders>
            <w:shd w:val="clear" w:color="auto" w:fill="9CC2E5"/>
            <w:noWrap/>
            <w:vAlign w:val="bottom"/>
          </w:tcPr>
          <w:p w14:paraId="0955EE71" w14:textId="77777777" w:rsidR="00F87E58" w:rsidRPr="00DB3C52" w:rsidRDefault="00F87E58" w:rsidP="00F87E58">
            <w:pPr>
              <w:pStyle w:val="cuadroCabe"/>
              <w:ind w:left="-16"/>
              <w:jc w:val="right"/>
              <w:rPr>
                <w:sz w:val="12"/>
                <w:szCs w:val="12"/>
              </w:rPr>
            </w:pPr>
            <w:r>
              <w:rPr>
                <w:sz w:val="12"/>
              </w:rPr>
              <w:t xml:space="preserve">2005</w:t>
            </w:r>
          </w:p>
        </w:tc>
        <w:tc>
          <w:tcPr>
            <w:tcW w:w="476" w:type="dxa"/>
            <w:tcBorders>
              <w:top w:val="single" w:sz="4" w:space="0" w:color="auto"/>
              <w:left w:val="nil"/>
              <w:bottom w:val="single" w:sz="4" w:space="0" w:color="auto"/>
              <w:right w:val="nil"/>
            </w:tcBorders>
            <w:shd w:val="clear" w:color="auto" w:fill="8DB3E2" w:themeFill="text2" w:themeFillTint="66"/>
            <w:noWrap/>
            <w:vAlign w:val="bottom"/>
          </w:tcPr>
          <w:p w14:paraId="40A91707" w14:textId="77777777" w:rsidR="00F87E58" w:rsidRPr="00DB3C52" w:rsidRDefault="00F87E58" w:rsidP="00F87E58">
            <w:pPr>
              <w:pStyle w:val="cuadroCabe"/>
              <w:jc w:val="right"/>
              <w:rPr>
                <w:b/>
                <w:sz w:val="12"/>
                <w:szCs w:val="12"/>
              </w:rPr>
            </w:pPr>
            <w:r>
              <w:rPr>
                <w:b/>
                <w:sz w:val="12"/>
              </w:rPr>
              <w:t xml:space="preserve">2006</w:t>
            </w:r>
          </w:p>
        </w:tc>
        <w:tc>
          <w:tcPr>
            <w:tcW w:w="470" w:type="dxa"/>
            <w:tcBorders>
              <w:top w:val="single" w:sz="4" w:space="0" w:color="auto"/>
              <w:left w:val="nil"/>
              <w:bottom w:val="single" w:sz="4" w:space="0" w:color="auto"/>
              <w:right w:val="nil"/>
            </w:tcBorders>
            <w:shd w:val="clear" w:color="auto" w:fill="9CC2E5"/>
            <w:noWrap/>
            <w:vAlign w:val="bottom"/>
          </w:tcPr>
          <w:p w14:paraId="31E5474D" w14:textId="77777777" w:rsidR="00F87E58" w:rsidRPr="00DB3C52" w:rsidRDefault="00F87E58" w:rsidP="00F87E58">
            <w:pPr>
              <w:pStyle w:val="cuadroCabe"/>
              <w:ind w:left="-97"/>
              <w:jc w:val="right"/>
              <w:rPr>
                <w:sz w:val="12"/>
                <w:szCs w:val="12"/>
              </w:rPr>
            </w:pPr>
            <w:r>
              <w:rPr>
                <w:sz w:val="12"/>
              </w:rPr>
              <w:t xml:space="preserve">2007</w:t>
            </w:r>
          </w:p>
        </w:tc>
        <w:tc>
          <w:tcPr>
            <w:tcW w:w="409" w:type="dxa"/>
            <w:tcBorders>
              <w:top w:val="single" w:sz="4" w:space="0" w:color="auto"/>
              <w:left w:val="nil"/>
              <w:bottom w:val="single" w:sz="4" w:space="0" w:color="auto"/>
              <w:right w:val="nil"/>
            </w:tcBorders>
            <w:shd w:val="clear" w:color="auto" w:fill="9CC2E5"/>
            <w:noWrap/>
            <w:vAlign w:val="bottom"/>
          </w:tcPr>
          <w:p w14:paraId="43ED340F" w14:textId="77777777" w:rsidR="00F87E58" w:rsidRPr="00DB3C52" w:rsidRDefault="00F87E58" w:rsidP="00F87E58">
            <w:pPr>
              <w:pStyle w:val="cuadroCabe"/>
              <w:ind w:left="-97"/>
              <w:jc w:val="right"/>
              <w:rPr>
                <w:sz w:val="12"/>
                <w:szCs w:val="12"/>
              </w:rPr>
            </w:pPr>
            <w:r>
              <w:rPr>
                <w:sz w:val="12"/>
              </w:rPr>
              <w:t xml:space="preserve">2008</w:t>
            </w:r>
          </w:p>
        </w:tc>
        <w:tc>
          <w:tcPr>
            <w:tcW w:w="470" w:type="dxa"/>
            <w:tcBorders>
              <w:top w:val="single" w:sz="4" w:space="0" w:color="auto"/>
              <w:left w:val="nil"/>
              <w:bottom w:val="single" w:sz="4" w:space="0" w:color="auto"/>
              <w:right w:val="nil"/>
            </w:tcBorders>
            <w:shd w:val="clear" w:color="auto" w:fill="9CC2E5"/>
            <w:noWrap/>
            <w:vAlign w:val="bottom"/>
          </w:tcPr>
          <w:p w14:paraId="7DF2EA2E" w14:textId="77777777" w:rsidR="00F87E58" w:rsidRPr="00DB3C52" w:rsidRDefault="00F87E58" w:rsidP="00F87E58">
            <w:pPr>
              <w:pStyle w:val="cuadroCabe"/>
              <w:ind w:left="-97"/>
              <w:jc w:val="right"/>
              <w:rPr>
                <w:sz w:val="12"/>
                <w:szCs w:val="12"/>
              </w:rPr>
            </w:pPr>
            <w:r>
              <w:rPr>
                <w:sz w:val="12"/>
              </w:rPr>
              <w:t xml:space="preserve">2009</w:t>
            </w:r>
          </w:p>
        </w:tc>
        <w:tc>
          <w:tcPr>
            <w:tcW w:w="566" w:type="dxa"/>
            <w:tcBorders>
              <w:top w:val="single" w:sz="4" w:space="0" w:color="auto"/>
              <w:left w:val="nil"/>
              <w:bottom w:val="single" w:sz="4" w:space="0" w:color="auto"/>
              <w:right w:val="nil"/>
            </w:tcBorders>
            <w:shd w:val="clear" w:color="auto" w:fill="9CC2E5"/>
            <w:noWrap/>
            <w:vAlign w:val="bottom"/>
          </w:tcPr>
          <w:p w14:paraId="6B0ED288" w14:textId="77777777" w:rsidR="00F87E58" w:rsidRPr="00DB3C52" w:rsidRDefault="00F87E58" w:rsidP="00F87E58">
            <w:pPr>
              <w:pStyle w:val="cuadroCabe"/>
              <w:ind w:left="-97"/>
              <w:jc w:val="right"/>
              <w:rPr>
                <w:sz w:val="12"/>
                <w:szCs w:val="12"/>
              </w:rPr>
            </w:pPr>
            <w:r>
              <w:rPr>
                <w:sz w:val="12"/>
              </w:rPr>
              <w:t xml:space="preserve">2010</w:t>
            </w:r>
          </w:p>
        </w:tc>
        <w:tc>
          <w:tcPr>
            <w:tcW w:w="470" w:type="dxa"/>
            <w:tcBorders>
              <w:top w:val="single" w:sz="4" w:space="0" w:color="auto"/>
              <w:left w:val="nil"/>
              <w:bottom w:val="single" w:sz="4" w:space="0" w:color="auto"/>
              <w:right w:val="nil"/>
            </w:tcBorders>
            <w:shd w:val="clear" w:color="auto" w:fill="9CC2E5"/>
            <w:noWrap/>
            <w:vAlign w:val="bottom"/>
          </w:tcPr>
          <w:p w14:paraId="32AF93EF" w14:textId="77777777" w:rsidR="00F87E58" w:rsidRPr="00DB3C52" w:rsidRDefault="00F87E58" w:rsidP="00F87E58">
            <w:pPr>
              <w:pStyle w:val="cuadroCabe"/>
              <w:ind w:left="-97"/>
              <w:jc w:val="right"/>
              <w:rPr>
                <w:sz w:val="12"/>
                <w:szCs w:val="12"/>
              </w:rPr>
            </w:pPr>
            <w:r>
              <w:rPr>
                <w:sz w:val="12"/>
              </w:rPr>
              <w:t xml:space="preserve">2011</w:t>
            </w:r>
          </w:p>
        </w:tc>
        <w:tc>
          <w:tcPr>
            <w:tcW w:w="523" w:type="dxa"/>
            <w:tcBorders>
              <w:top w:val="single" w:sz="4" w:space="0" w:color="auto"/>
              <w:left w:val="nil"/>
              <w:bottom w:val="single" w:sz="4" w:space="0" w:color="auto"/>
              <w:right w:val="nil"/>
            </w:tcBorders>
            <w:shd w:val="clear" w:color="auto" w:fill="9CC2E5"/>
            <w:noWrap/>
            <w:vAlign w:val="bottom"/>
          </w:tcPr>
          <w:p w14:paraId="14CAFA4A" w14:textId="77777777" w:rsidR="00F87E58" w:rsidRPr="00DB3C52" w:rsidRDefault="00F87E58" w:rsidP="00F87E58">
            <w:pPr>
              <w:pStyle w:val="cuadroCabe"/>
              <w:ind w:left="-97"/>
              <w:jc w:val="right"/>
              <w:rPr>
                <w:sz w:val="12"/>
                <w:szCs w:val="12"/>
              </w:rPr>
            </w:pPr>
            <w:r>
              <w:rPr>
                <w:sz w:val="12"/>
              </w:rPr>
              <w:t xml:space="preserve">2012</w:t>
            </w:r>
          </w:p>
        </w:tc>
        <w:tc>
          <w:tcPr>
            <w:tcW w:w="470" w:type="dxa"/>
            <w:tcBorders>
              <w:top w:val="single" w:sz="4" w:space="0" w:color="auto"/>
              <w:left w:val="nil"/>
              <w:bottom w:val="single" w:sz="4" w:space="0" w:color="auto"/>
              <w:right w:val="nil"/>
            </w:tcBorders>
            <w:shd w:val="clear" w:color="auto" w:fill="9CC2E5"/>
            <w:noWrap/>
            <w:vAlign w:val="bottom"/>
          </w:tcPr>
          <w:p w14:paraId="49F0A0C7" w14:textId="77777777" w:rsidR="00F87E58" w:rsidRPr="00DB3C52" w:rsidRDefault="00F87E58" w:rsidP="00F87E58">
            <w:pPr>
              <w:pStyle w:val="cuadroCabe"/>
              <w:ind w:left="-97"/>
              <w:jc w:val="right"/>
              <w:rPr>
                <w:sz w:val="12"/>
                <w:szCs w:val="12"/>
              </w:rPr>
            </w:pPr>
            <w:r>
              <w:rPr>
                <w:sz w:val="12"/>
              </w:rPr>
              <w:t xml:space="preserve">2013</w:t>
            </w:r>
          </w:p>
        </w:tc>
        <w:tc>
          <w:tcPr>
            <w:tcW w:w="393" w:type="dxa"/>
            <w:tcBorders>
              <w:top w:val="single" w:sz="4" w:space="0" w:color="auto"/>
              <w:left w:val="nil"/>
              <w:bottom w:val="single" w:sz="4" w:space="0" w:color="auto"/>
              <w:right w:val="nil"/>
            </w:tcBorders>
            <w:shd w:val="clear" w:color="auto" w:fill="9CC2E5"/>
            <w:noWrap/>
            <w:vAlign w:val="bottom"/>
          </w:tcPr>
          <w:p w14:paraId="2F54DF77" w14:textId="77777777" w:rsidR="00F87E58" w:rsidRPr="00DB3C52" w:rsidRDefault="00F87E58" w:rsidP="00F87E58">
            <w:pPr>
              <w:pStyle w:val="cuadroCabe"/>
              <w:ind w:left="-97" w:right="-14"/>
              <w:jc w:val="right"/>
              <w:rPr>
                <w:sz w:val="12"/>
                <w:szCs w:val="12"/>
              </w:rPr>
            </w:pPr>
            <w:r>
              <w:rPr>
                <w:sz w:val="12"/>
              </w:rPr>
              <w:t xml:space="preserve">2014</w:t>
            </w:r>
          </w:p>
        </w:tc>
        <w:tc>
          <w:tcPr>
            <w:tcW w:w="554" w:type="dxa"/>
            <w:tcBorders>
              <w:top w:val="single" w:sz="4" w:space="0" w:color="auto"/>
              <w:left w:val="nil"/>
              <w:bottom w:val="single" w:sz="4" w:space="0" w:color="auto"/>
              <w:right w:val="nil"/>
            </w:tcBorders>
            <w:shd w:val="clear" w:color="auto" w:fill="9CC2E5"/>
            <w:noWrap/>
            <w:vAlign w:val="bottom"/>
          </w:tcPr>
          <w:p w14:paraId="660DA4A8" w14:textId="77777777" w:rsidR="00F87E58" w:rsidRPr="00DB3C52" w:rsidRDefault="00F87E58" w:rsidP="00F87E58">
            <w:pPr>
              <w:pStyle w:val="cuadroCabe"/>
              <w:ind w:left="-97"/>
              <w:jc w:val="right"/>
              <w:rPr>
                <w:sz w:val="12"/>
                <w:szCs w:val="12"/>
              </w:rPr>
            </w:pPr>
            <w:r>
              <w:rPr>
                <w:sz w:val="12"/>
              </w:rPr>
              <w:t xml:space="preserve">2015</w:t>
            </w:r>
          </w:p>
        </w:tc>
        <w:tc>
          <w:tcPr>
            <w:tcW w:w="454" w:type="dxa"/>
            <w:tcBorders>
              <w:top w:val="single" w:sz="4" w:space="0" w:color="auto"/>
              <w:left w:val="nil"/>
              <w:bottom w:val="single" w:sz="4" w:space="0" w:color="auto"/>
              <w:right w:val="nil"/>
            </w:tcBorders>
            <w:shd w:val="clear" w:color="auto" w:fill="9CC2E5"/>
            <w:noWrap/>
            <w:vAlign w:val="bottom"/>
          </w:tcPr>
          <w:p w14:paraId="3472A55C" w14:textId="77777777" w:rsidR="00F87E58" w:rsidRPr="00DB3C52" w:rsidRDefault="00F87E58" w:rsidP="00F87E58">
            <w:pPr>
              <w:pStyle w:val="cuadroCabe"/>
              <w:ind w:left="-97"/>
              <w:jc w:val="right"/>
              <w:rPr>
                <w:sz w:val="12"/>
                <w:szCs w:val="12"/>
              </w:rPr>
            </w:pPr>
            <w:r>
              <w:rPr>
                <w:sz w:val="12"/>
              </w:rPr>
              <w:t xml:space="preserve">2016</w:t>
            </w:r>
          </w:p>
        </w:tc>
        <w:tc>
          <w:tcPr>
            <w:tcW w:w="397" w:type="dxa"/>
            <w:tcBorders>
              <w:top w:val="single" w:sz="4" w:space="0" w:color="auto"/>
              <w:left w:val="nil"/>
              <w:bottom w:val="single" w:sz="4" w:space="0" w:color="auto"/>
              <w:right w:val="nil"/>
            </w:tcBorders>
            <w:shd w:val="clear" w:color="auto" w:fill="9CC2E5"/>
            <w:noWrap/>
            <w:vAlign w:val="bottom"/>
          </w:tcPr>
          <w:p w14:paraId="2D3E9C94" w14:textId="77777777" w:rsidR="00F87E58" w:rsidRPr="00DB3C52" w:rsidRDefault="00F87E58" w:rsidP="00F87E58">
            <w:pPr>
              <w:pStyle w:val="cuadroCabe"/>
              <w:ind w:left="-97"/>
              <w:jc w:val="right"/>
              <w:rPr>
                <w:sz w:val="12"/>
                <w:szCs w:val="12"/>
              </w:rPr>
            </w:pPr>
            <w:r>
              <w:rPr>
                <w:sz w:val="12"/>
              </w:rPr>
              <w:t xml:space="preserve">2017</w:t>
            </w:r>
          </w:p>
        </w:tc>
        <w:tc>
          <w:tcPr>
            <w:tcW w:w="393" w:type="dxa"/>
            <w:tcBorders>
              <w:top w:val="single" w:sz="4" w:space="0" w:color="auto"/>
              <w:left w:val="nil"/>
              <w:bottom w:val="single" w:sz="4" w:space="0" w:color="auto"/>
              <w:right w:val="nil"/>
            </w:tcBorders>
            <w:shd w:val="clear" w:color="auto" w:fill="9CC2E5"/>
            <w:noWrap/>
            <w:vAlign w:val="bottom"/>
          </w:tcPr>
          <w:p w14:paraId="5609B1A8" w14:textId="77777777" w:rsidR="00F87E58" w:rsidRPr="00DB3C52" w:rsidRDefault="00F87E58" w:rsidP="00F87E58">
            <w:pPr>
              <w:pStyle w:val="cuadroCabe"/>
              <w:ind w:left="-97"/>
              <w:jc w:val="right"/>
              <w:rPr>
                <w:sz w:val="12"/>
                <w:szCs w:val="12"/>
              </w:rPr>
            </w:pPr>
            <w:r>
              <w:rPr>
                <w:sz w:val="12"/>
              </w:rPr>
              <w:t xml:space="preserve">2018</w:t>
            </w:r>
          </w:p>
        </w:tc>
        <w:tc>
          <w:tcPr>
            <w:tcW w:w="393" w:type="dxa"/>
            <w:tcBorders>
              <w:top w:val="single" w:sz="4" w:space="0" w:color="auto"/>
              <w:left w:val="nil"/>
              <w:bottom w:val="single" w:sz="4" w:space="0" w:color="auto"/>
              <w:right w:val="nil"/>
            </w:tcBorders>
            <w:shd w:val="clear" w:color="auto" w:fill="9CC2E5"/>
            <w:noWrap/>
            <w:vAlign w:val="bottom"/>
          </w:tcPr>
          <w:p w14:paraId="4CF15658" w14:textId="77777777" w:rsidR="00F87E58" w:rsidRPr="00DB3C52" w:rsidRDefault="00F87E58" w:rsidP="00F87E58">
            <w:pPr>
              <w:pStyle w:val="cuadroCabe"/>
              <w:ind w:left="-97"/>
              <w:jc w:val="right"/>
              <w:rPr>
                <w:sz w:val="12"/>
                <w:szCs w:val="12"/>
              </w:rPr>
            </w:pPr>
            <w:r>
              <w:rPr>
                <w:sz w:val="12"/>
              </w:rPr>
              <w:t xml:space="preserve">2019</w:t>
            </w:r>
          </w:p>
        </w:tc>
        <w:tc>
          <w:tcPr>
            <w:tcW w:w="393" w:type="dxa"/>
            <w:tcBorders>
              <w:top w:val="single" w:sz="4" w:space="0" w:color="auto"/>
              <w:left w:val="nil"/>
              <w:bottom w:val="single" w:sz="4" w:space="0" w:color="auto"/>
              <w:right w:val="nil"/>
            </w:tcBorders>
            <w:shd w:val="clear" w:color="auto" w:fill="9CC2E5"/>
            <w:noWrap/>
            <w:vAlign w:val="bottom"/>
          </w:tcPr>
          <w:p w14:paraId="618A3F6A" w14:textId="77777777" w:rsidR="00F87E58" w:rsidRPr="00DB3C52" w:rsidRDefault="00F87E58" w:rsidP="00F87E58">
            <w:pPr>
              <w:pStyle w:val="cuadroCabe"/>
              <w:ind w:left="-97"/>
              <w:jc w:val="right"/>
              <w:rPr>
                <w:sz w:val="12"/>
                <w:szCs w:val="12"/>
              </w:rPr>
            </w:pPr>
            <w:r>
              <w:rPr>
                <w:sz w:val="12"/>
              </w:rPr>
              <w:t xml:space="preserve">2020</w:t>
            </w:r>
          </w:p>
        </w:tc>
        <w:tc>
          <w:tcPr>
            <w:tcW w:w="393" w:type="dxa"/>
            <w:tcBorders>
              <w:top w:val="single" w:sz="4" w:space="0" w:color="auto"/>
              <w:left w:val="nil"/>
              <w:bottom w:val="single" w:sz="4" w:space="0" w:color="auto"/>
              <w:right w:val="nil"/>
            </w:tcBorders>
            <w:shd w:val="clear" w:color="auto" w:fill="9CC2E5"/>
            <w:noWrap/>
            <w:vAlign w:val="bottom"/>
          </w:tcPr>
          <w:p w14:paraId="0FAFB05C" w14:textId="77777777" w:rsidR="00F87E58" w:rsidRPr="00DB3C52" w:rsidRDefault="00F87E58" w:rsidP="00F87E58">
            <w:pPr>
              <w:pStyle w:val="cuadroCabe"/>
              <w:ind w:left="-97"/>
              <w:jc w:val="right"/>
              <w:rPr>
                <w:sz w:val="12"/>
                <w:szCs w:val="12"/>
              </w:rPr>
            </w:pPr>
            <w:r>
              <w:rPr>
                <w:sz w:val="12"/>
              </w:rPr>
              <w:t xml:space="preserve">2021</w:t>
            </w:r>
          </w:p>
        </w:tc>
        <w:tc>
          <w:tcPr>
            <w:tcW w:w="379" w:type="dxa"/>
            <w:tcBorders>
              <w:top w:val="single" w:sz="4" w:space="0" w:color="auto"/>
              <w:left w:val="nil"/>
              <w:bottom w:val="single" w:sz="4" w:space="0" w:color="auto"/>
              <w:right w:val="nil"/>
            </w:tcBorders>
            <w:shd w:val="clear" w:color="auto" w:fill="9CC2E5"/>
            <w:noWrap/>
            <w:vAlign w:val="bottom"/>
          </w:tcPr>
          <w:p w14:paraId="620D6DA5" w14:textId="77777777" w:rsidR="00F87E58" w:rsidRPr="00DB3C52" w:rsidRDefault="00F87E58" w:rsidP="00F87E58">
            <w:pPr>
              <w:pStyle w:val="cuadroCabe"/>
              <w:ind w:left="-97"/>
              <w:jc w:val="right"/>
              <w:rPr>
                <w:sz w:val="12"/>
                <w:szCs w:val="12"/>
              </w:rPr>
            </w:pPr>
            <w:r>
              <w:rPr>
                <w:sz w:val="12"/>
              </w:rPr>
              <w:t xml:space="preserve">2022</w:t>
            </w:r>
          </w:p>
        </w:tc>
      </w:tr>
      <w:tr w:rsidR="00F87E58" w:rsidRPr="00DB3C52" w14:paraId="49CE55BE" w14:textId="77777777" w:rsidTr="00321B53">
        <w:trPr>
          <w:trHeight w:val="123"/>
          <w:jc w:val="center"/>
        </w:trPr>
        <w:tc>
          <w:tcPr>
            <w:tcW w:w="992" w:type="dxa"/>
            <w:tcBorders>
              <w:top w:val="single" w:sz="4" w:space="0" w:color="auto"/>
              <w:bottom w:val="single" w:sz="4" w:space="0" w:color="auto"/>
              <w:right w:val="nil"/>
            </w:tcBorders>
            <w:shd w:val="clear" w:color="auto" w:fill="auto"/>
            <w:noWrap/>
            <w:vAlign w:val="bottom"/>
            <w:hideMark/>
          </w:tcPr>
          <w:p w14:paraId="481EFE5E" w14:textId="77777777" w:rsidR="00F87E58" w:rsidRPr="00DB3C52" w:rsidRDefault="00F87E58" w:rsidP="00321B53">
            <w:pPr>
              <w:pStyle w:val="cuatexto"/>
              <w:spacing w:line="240" w:lineRule="auto"/>
              <w:ind w:right="-28"/>
              <w:jc w:val="left"/>
              <w:rPr>
                <w:sz w:val="12"/>
                <w:szCs w:val="12"/>
                <w:rFonts w:cs="Arial"/>
              </w:rPr>
            </w:pPr>
            <w:r>
              <w:rPr>
                <w:sz w:val="12"/>
              </w:rPr>
              <w:t xml:space="preserve">Partaidetzaren kontabilitate-narriadura</w:t>
            </w:r>
          </w:p>
        </w:tc>
        <w:tc>
          <w:tcPr>
            <w:tcW w:w="398" w:type="dxa"/>
            <w:tcBorders>
              <w:top w:val="single" w:sz="4" w:space="0" w:color="auto"/>
              <w:left w:val="nil"/>
              <w:bottom w:val="single" w:sz="4" w:space="0" w:color="auto"/>
              <w:right w:val="nil"/>
            </w:tcBorders>
            <w:shd w:val="clear" w:color="auto" w:fill="auto"/>
            <w:noWrap/>
            <w:vAlign w:val="center"/>
            <w:hideMark/>
          </w:tcPr>
          <w:p w14:paraId="68112E1E" w14:textId="77777777" w:rsidR="00F87E58" w:rsidRPr="00933B99" w:rsidRDefault="00F87E58" w:rsidP="00321B53">
            <w:pPr>
              <w:pStyle w:val="cuadroCabe"/>
              <w:tabs>
                <w:tab w:val="clear" w:pos="2835"/>
                <w:tab w:val="right" w:pos="331"/>
              </w:tabs>
              <w:spacing w:line="240" w:lineRule="auto"/>
              <w:jc w:val="right"/>
              <w:rPr>
                <w:sz w:val="12"/>
                <w:szCs w:val="12"/>
              </w:rPr>
            </w:pPr>
            <w:r>
              <w:rPr>
                <w:sz w:val="12"/>
              </w:rPr>
              <w:t xml:space="preserve">0,00</w:t>
            </w:r>
          </w:p>
        </w:tc>
        <w:tc>
          <w:tcPr>
            <w:tcW w:w="452" w:type="dxa"/>
            <w:tcBorders>
              <w:top w:val="single" w:sz="4" w:space="0" w:color="auto"/>
              <w:left w:val="nil"/>
              <w:bottom w:val="single" w:sz="4" w:space="0" w:color="auto"/>
              <w:right w:val="nil"/>
            </w:tcBorders>
            <w:shd w:val="clear" w:color="auto" w:fill="auto"/>
            <w:noWrap/>
            <w:vAlign w:val="center"/>
            <w:hideMark/>
          </w:tcPr>
          <w:p w14:paraId="76232A29" w14:textId="77777777" w:rsidR="00F87E58" w:rsidRPr="00DB3C52" w:rsidRDefault="00F87E58" w:rsidP="00321B53">
            <w:pPr>
              <w:pStyle w:val="cuatexto"/>
              <w:tabs>
                <w:tab w:val="clear" w:pos="2835"/>
                <w:tab w:val="right" w:pos="331"/>
              </w:tabs>
              <w:spacing w:line="240" w:lineRule="auto"/>
              <w:ind w:left="-99"/>
              <w:jc w:val="right"/>
              <w:rPr>
                <w:sz w:val="14"/>
                <w:szCs w:val="14"/>
                <w:rFonts w:cs="Arial"/>
              </w:rPr>
            </w:pPr>
            <w:r>
              <w:rPr>
                <w:sz w:val="14"/>
              </w:rPr>
              <w:t xml:space="preserve">(0,02)</w:t>
            </w:r>
          </w:p>
        </w:tc>
        <w:tc>
          <w:tcPr>
            <w:tcW w:w="406" w:type="dxa"/>
            <w:tcBorders>
              <w:top w:val="single" w:sz="4" w:space="0" w:color="auto"/>
              <w:left w:val="nil"/>
              <w:bottom w:val="single" w:sz="4" w:space="0" w:color="auto"/>
              <w:right w:val="nil"/>
            </w:tcBorders>
            <w:shd w:val="clear" w:color="auto" w:fill="auto"/>
            <w:noWrap/>
            <w:vAlign w:val="center"/>
            <w:hideMark/>
          </w:tcPr>
          <w:p w14:paraId="3E154B00" w14:textId="77777777" w:rsidR="00F87E58" w:rsidRPr="00DB3C52" w:rsidRDefault="00F87E58" w:rsidP="00321B53">
            <w:pPr>
              <w:pStyle w:val="cuatexto"/>
              <w:spacing w:line="240" w:lineRule="auto"/>
              <w:ind w:left="-70"/>
              <w:jc w:val="right"/>
              <w:rPr>
                <w:sz w:val="14"/>
                <w:szCs w:val="14"/>
                <w:rFonts w:cs="Arial"/>
              </w:rPr>
            </w:pPr>
            <w:r>
              <w:rPr>
                <w:sz w:val="14"/>
              </w:rPr>
              <w:t xml:space="preserve">(0,21)</w:t>
            </w:r>
          </w:p>
        </w:tc>
        <w:tc>
          <w:tcPr>
            <w:tcW w:w="542" w:type="dxa"/>
            <w:tcBorders>
              <w:top w:val="single" w:sz="4" w:space="0" w:color="auto"/>
              <w:left w:val="nil"/>
              <w:bottom w:val="single" w:sz="4" w:space="0" w:color="auto"/>
              <w:right w:val="nil"/>
            </w:tcBorders>
            <w:shd w:val="clear" w:color="auto" w:fill="auto"/>
            <w:noWrap/>
            <w:vAlign w:val="center"/>
            <w:hideMark/>
          </w:tcPr>
          <w:p w14:paraId="51EB0C40" w14:textId="77777777" w:rsidR="00F87E58" w:rsidRPr="00DB3C52" w:rsidRDefault="00F87E58" w:rsidP="00321B53">
            <w:pPr>
              <w:pStyle w:val="cuatexto"/>
              <w:spacing w:line="240" w:lineRule="auto"/>
              <w:ind w:left="-39"/>
              <w:jc w:val="right"/>
              <w:rPr>
                <w:sz w:val="14"/>
                <w:szCs w:val="14"/>
                <w:rFonts w:cs="Arial"/>
              </w:rPr>
            </w:pPr>
            <w:r>
              <w:rPr>
                <w:sz w:val="14"/>
              </w:rPr>
              <w:t xml:space="preserve">(1,37)</w:t>
            </w:r>
          </w:p>
        </w:tc>
        <w:tc>
          <w:tcPr>
            <w:tcW w:w="488" w:type="dxa"/>
            <w:tcBorders>
              <w:top w:val="single" w:sz="4" w:space="0" w:color="auto"/>
              <w:left w:val="nil"/>
              <w:bottom w:val="single" w:sz="4" w:space="0" w:color="auto"/>
              <w:right w:val="nil"/>
            </w:tcBorders>
            <w:shd w:val="clear" w:color="auto" w:fill="auto"/>
            <w:noWrap/>
            <w:vAlign w:val="center"/>
            <w:hideMark/>
          </w:tcPr>
          <w:p w14:paraId="4141D781" w14:textId="77777777" w:rsidR="00F87E58" w:rsidRPr="00DB3C52" w:rsidRDefault="00F87E58" w:rsidP="00321B53">
            <w:pPr>
              <w:pStyle w:val="cuatexto"/>
              <w:spacing w:line="240" w:lineRule="auto"/>
              <w:ind w:left="-16"/>
              <w:jc w:val="right"/>
              <w:rPr>
                <w:sz w:val="14"/>
                <w:szCs w:val="14"/>
                <w:rFonts w:cs="Arial"/>
              </w:rPr>
            </w:pPr>
            <w:r>
              <w:rPr>
                <w:sz w:val="14"/>
              </w:rPr>
              <w:t xml:space="preserve">(3,17)</w:t>
            </w:r>
          </w:p>
        </w:tc>
        <w:tc>
          <w:tcPr>
            <w:tcW w:w="476" w:type="dxa"/>
            <w:tcBorders>
              <w:top w:val="single" w:sz="4" w:space="0" w:color="auto"/>
              <w:left w:val="nil"/>
              <w:bottom w:val="single" w:sz="4" w:space="0" w:color="auto"/>
              <w:right w:val="nil"/>
            </w:tcBorders>
            <w:shd w:val="clear" w:color="auto" w:fill="auto"/>
            <w:noWrap/>
            <w:vAlign w:val="center"/>
            <w:hideMark/>
          </w:tcPr>
          <w:p w14:paraId="15F54B0E" w14:textId="77777777" w:rsidR="00F87E58" w:rsidRPr="00DB3C52" w:rsidRDefault="00F87E58" w:rsidP="00321B53">
            <w:pPr>
              <w:pStyle w:val="cuatexto"/>
              <w:spacing w:line="240" w:lineRule="auto"/>
              <w:jc w:val="right"/>
              <w:rPr>
                <w:b/>
                <w:sz w:val="14"/>
                <w:szCs w:val="14"/>
                <w:rFonts w:cs="Arial"/>
              </w:rPr>
            </w:pPr>
            <w:r>
              <w:rPr>
                <w:b/>
                <w:sz w:val="14"/>
              </w:rPr>
              <w:t xml:space="preserve">(4,05)</w:t>
            </w:r>
          </w:p>
        </w:tc>
        <w:tc>
          <w:tcPr>
            <w:tcW w:w="470" w:type="dxa"/>
            <w:tcBorders>
              <w:top w:val="single" w:sz="4" w:space="0" w:color="auto"/>
              <w:left w:val="nil"/>
              <w:bottom w:val="single" w:sz="4" w:space="0" w:color="auto"/>
              <w:right w:val="nil"/>
            </w:tcBorders>
            <w:shd w:val="clear" w:color="auto" w:fill="auto"/>
            <w:noWrap/>
            <w:vAlign w:val="center"/>
            <w:hideMark/>
          </w:tcPr>
          <w:p w14:paraId="7E4D0DBB"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409" w:type="dxa"/>
            <w:tcBorders>
              <w:top w:val="single" w:sz="4" w:space="0" w:color="auto"/>
              <w:left w:val="nil"/>
              <w:bottom w:val="single" w:sz="4" w:space="0" w:color="auto"/>
              <w:right w:val="nil"/>
            </w:tcBorders>
            <w:shd w:val="clear" w:color="auto" w:fill="auto"/>
            <w:noWrap/>
            <w:vAlign w:val="center"/>
            <w:hideMark/>
          </w:tcPr>
          <w:p w14:paraId="6D14C13B"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470" w:type="dxa"/>
            <w:tcBorders>
              <w:top w:val="single" w:sz="4" w:space="0" w:color="auto"/>
              <w:left w:val="nil"/>
              <w:bottom w:val="single" w:sz="4" w:space="0" w:color="auto"/>
              <w:right w:val="nil"/>
            </w:tcBorders>
            <w:shd w:val="clear" w:color="auto" w:fill="auto"/>
            <w:noWrap/>
            <w:vAlign w:val="center"/>
            <w:hideMark/>
          </w:tcPr>
          <w:p w14:paraId="5045EFD7"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566" w:type="dxa"/>
            <w:tcBorders>
              <w:top w:val="single" w:sz="4" w:space="0" w:color="auto"/>
              <w:left w:val="nil"/>
              <w:bottom w:val="single" w:sz="4" w:space="0" w:color="auto"/>
              <w:right w:val="nil"/>
            </w:tcBorders>
            <w:shd w:val="clear" w:color="auto" w:fill="auto"/>
            <w:noWrap/>
            <w:vAlign w:val="center"/>
            <w:hideMark/>
          </w:tcPr>
          <w:p w14:paraId="260EEB3E"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470" w:type="dxa"/>
            <w:tcBorders>
              <w:top w:val="single" w:sz="4" w:space="0" w:color="auto"/>
              <w:left w:val="nil"/>
              <w:bottom w:val="single" w:sz="4" w:space="0" w:color="auto"/>
              <w:right w:val="nil"/>
            </w:tcBorders>
            <w:shd w:val="clear" w:color="auto" w:fill="auto"/>
            <w:noWrap/>
            <w:vAlign w:val="center"/>
            <w:hideMark/>
          </w:tcPr>
          <w:p w14:paraId="25635EB9"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523" w:type="dxa"/>
            <w:tcBorders>
              <w:top w:val="single" w:sz="4" w:space="0" w:color="auto"/>
              <w:left w:val="nil"/>
              <w:bottom w:val="single" w:sz="4" w:space="0" w:color="auto"/>
              <w:right w:val="nil"/>
            </w:tcBorders>
            <w:shd w:val="clear" w:color="auto" w:fill="auto"/>
            <w:noWrap/>
            <w:vAlign w:val="center"/>
            <w:hideMark/>
          </w:tcPr>
          <w:p w14:paraId="7035B7B2"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470" w:type="dxa"/>
            <w:tcBorders>
              <w:top w:val="single" w:sz="4" w:space="0" w:color="auto"/>
              <w:left w:val="nil"/>
              <w:bottom w:val="single" w:sz="4" w:space="0" w:color="auto"/>
              <w:right w:val="nil"/>
            </w:tcBorders>
            <w:shd w:val="clear" w:color="auto" w:fill="auto"/>
            <w:noWrap/>
            <w:vAlign w:val="center"/>
            <w:hideMark/>
          </w:tcPr>
          <w:p w14:paraId="57D5155C"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3" w:type="dxa"/>
            <w:tcBorders>
              <w:top w:val="single" w:sz="4" w:space="0" w:color="auto"/>
              <w:left w:val="nil"/>
              <w:bottom w:val="single" w:sz="4" w:space="0" w:color="auto"/>
              <w:right w:val="nil"/>
            </w:tcBorders>
            <w:shd w:val="clear" w:color="auto" w:fill="auto"/>
            <w:noWrap/>
            <w:vAlign w:val="center"/>
            <w:hideMark/>
          </w:tcPr>
          <w:p w14:paraId="24A14144" w14:textId="77777777" w:rsidR="00F87E58" w:rsidRPr="00933B99" w:rsidRDefault="00F87E58" w:rsidP="00321B53">
            <w:pPr>
              <w:pStyle w:val="cuadroCabe"/>
              <w:spacing w:line="240" w:lineRule="auto"/>
              <w:ind w:left="-97" w:right="-14"/>
              <w:jc w:val="right"/>
              <w:rPr>
                <w:sz w:val="12"/>
                <w:szCs w:val="12"/>
              </w:rPr>
            </w:pPr>
            <w:r>
              <w:rPr>
                <w:sz w:val="12"/>
              </w:rPr>
              <w:t xml:space="preserve">(4,05)</w:t>
            </w:r>
          </w:p>
        </w:tc>
        <w:tc>
          <w:tcPr>
            <w:tcW w:w="554" w:type="dxa"/>
            <w:tcBorders>
              <w:top w:val="single" w:sz="4" w:space="0" w:color="auto"/>
              <w:left w:val="nil"/>
              <w:bottom w:val="single" w:sz="4" w:space="0" w:color="auto"/>
              <w:right w:val="nil"/>
            </w:tcBorders>
            <w:shd w:val="clear" w:color="auto" w:fill="auto"/>
            <w:noWrap/>
            <w:vAlign w:val="center"/>
            <w:hideMark/>
          </w:tcPr>
          <w:p w14:paraId="5951952F"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454" w:type="dxa"/>
            <w:tcBorders>
              <w:top w:val="single" w:sz="4" w:space="0" w:color="auto"/>
              <w:left w:val="nil"/>
              <w:bottom w:val="single" w:sz="4" w:space="0" w:color="auto"/>
              <w:right w:val="nil"/>
            </w:tcBorders>
            <w:shd w:val="clear" w:color="auto" w:fill="auto"/>
            <w:noWrap/>
            <w:vAlign w:val="center"/>
            <w:hideMark/>
          </w:tcPr>
          <w:p w14:paraId="29D510DB"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7" w:type="dxa"/>
            <w:tcBorders>
              <w:top w:val="single" w:sz="4" w:space="0" w:color="auto"/>
              <w:left w:val="nil"/>
              <w:bottom w:val="single" w:sz="4" w:space="0" w:color="auto"/>
              <w:right w:val="nil"/>
            </w:tcBorders>
            <w:shd w:val="clear" w:color="auto" w:fill="auto"/>
            <w:noWrap/>
            <w:vAlign w:val="center"/>
            <w:hideMark/>
          </w:tcPr>
          <w:p w14:paraId="6DF460CC"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3" w:type="dxa"/>
            <w:tcBorders>
              <w:top w:val="single" w:sz="4" w:space="0" w:color="auto"/>
              <w:left w:val="nil"/>
              <w:bottom w:val="single" w:sz="4" w:space="0" w:color="auto"/>
              <w:right w:val="nil"/>
            </w:tcBorders>
            <w:shd w:val="clear" w:color="auto" w:fill="auto"/>
            <w:noWrap/>
            <w:vAlign w:val="center"/>
            <w:hideMark/>
          </w:tcPr>
          <w:p w14:paraId="533257A3"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3" w:type="dxa"/>
            <w:tcBorders>
              <w:top w:val="single" w:sz="4" w:space="0" w:color="auto"/>
              <w:left w:val="nil"/>
              <w:bottom w:val="single" w:sz="4" w:space="0" w:color="auto"/>
              <w:right w:val="nil"/>
            </w:tcBorders>
            <w:shd w:val="clear" w:color="auto" w:fill="auto"/>
            <w:noWrap/>
            <w:vAlign w:val="center"/>
            <w:hideMark/>
          </w:tcPr>
          <w:p w14:paraId="4D58E6D9"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3" w:type="dxa"/>
            <w:tcBorders>
              <w:top w:val="single" w:sz="4" w:space="0" w:color="auto"/>
              <w:left w:val="nil"/>
              <w:bottom w:val="single" w:sz="4" w:space="0" w:color="auto"/>
              <w:right w:val="nil"/>
            </w:tcBorders>
            <w:shd w:val="clear" w:color="auto" w:fill="auto"/>
            <w:noWrap/>
            <w:vAlign w:val="center"/>
            <w:hideMark/>
          </w:tcPr>
          <w:p w14:paraId="669CFC7B"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93" w:type="dxa"/>
            <w:tcBorders>
              <w:top w:val="single" w:sz="4" w:space="0" w:color="auto"/>
              <w:left w:val="nil"/>
              <w:bottom w:val="single" w:sz="4" w:space="0" w:color="auto"/>
              <w:right w:val="nil"/>
            </w:tcBorders>
            <w:shd w:val="clear" w:color="auto" w:fill="auto"/>
            <w:noWrap/>
            <w:vAlign w:val="center"/>
            <w:hideMark/>
          </w:tcPr>
          <w:p w14:paraId="2F8ED8DF" w14:textId="77777777" w:rsidR="00F87E58" w:rsidRPr="00933B99" w:rsidRDefault="00F87E58" w:rsidP="00321B53">
            <w:pPr>
              <w:pStyle w:val="cuadroCabe"/>
              <w:spacing w:line="240" w:lineRule="auto"/>
              <w:ind w:left="-97"/>
              <w:jc w:val="right"/>
              <w:rPr>
                <w:sz w:val="12"/>
                <w:szCs w:val="12"/>
              </w:rPr>
            </w:pPr>
            <w:r>
              <w:rPr>
                <w:sz w:val="12"/>
              </w:rPr>
              <w:t xml:space="preserve">(4,05)</w:t>
            </w:r>
          </w:p>
        </w:tc>
        <w:tc>
          <w:tcPr>
            <w:tcW w:w="379" w:type="dxa"/>
            <w:tcBorders>
              <w:top w:val="single" w:sz="4" w:space="0" w:color="auto"/>
              <w:left w:val="nil"/>
              <w:bottom w:val="single" w:sz="4" w:space="0" w:color="auto"/>
              <w:right w:val="nil"/>
            </w:tcBorders>
            <w:shd w:val="clear" w:color="auto" w:fill="auto"/>
            <w:noWrap/>
            <w:vAlign w:val="center"/>
            <w:hideMark/>
          </w:tcPr>
          <w:p w14:paraId="1622A2DA" w14:textId="77777777" w:rsidR="00F87E58" w:rsidRPr="00DB3C52" w:rsidRDefault="00F87E58" w:rsidP="00321B53">
            <w:pPr>
              <w:pStyle w:val="cuatexto"/>
              <w:spacing w:line="240" w:lineRule="auto"/>
              <w:ind w:left="-97"/>
              <w:jc w:val="right"/>
              <w:rPr>
                <w:sz w:val="14"/>
                <w:szCs w:val="14"/>
                <w:rFonts w:cs="Arial"/>
              </w:rPr>
            </w:pPr>
            <w:r>
              <w:rPr>
                <w:sz w:val="14"/>
              </w:rPr>
              <w:t xml:space="preserve">(4,05)</w:t>
            </w:r>
          </w:p>
        </w:tc>
      </w:tr>
    </w:tbl>
    <w:p w14:paraId="0BBC3DFB"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ind w:left="0" w:firstLine="289"/>
        <w:rPr>
          <w:szCs w:val="26"/>
        </w:rPr>
      </w:pPr>
      <w:r>
        <w:t xml:space="preserve">2022ko abenduaren 31n, emandako maileguen guztizko zenbatekoa 78,1 milioi da, eta horren barruan honako hauek bereizi behar dira:</w:t>
      </w:r>
    </w:p>
    <w:p w14:paraId="4FA2857F"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after="240"/>
        <w:ind w:left="0" w:firstLine="284"/>
        <w:rPr>
          <w:szCs w:val="26"/>
        </w:rPr>
      </w:pPr>
      <w:r>
        <w:t xml:space="preserve">Mailegu narriatuak, guztira 55,78 milioi, Sodenak hutsegintzat jotzen dituenak urtero Nafarroako Gobernuari baimena eskatzen dionean maileguak emateko. </w:t>
      </w:r>
      <w:r>
        <w:t xml:space="preserve"> </w:t>
      </w:r>
      <w:r>
        <w:t xml:space="preserve">Urteko narriadura Parquenasaren urteko galeren bilakaeraren arabera zenbatesten eta kontabilizatzen da:</w:t>
      </w:r>
    </w:p>
    <w:tbl>
      <w:tblPr>
        <w:tblW w:w="11018" w:type="dxa"/>
        <w:jc w:val="center"/>
        <w:tblCellMar>
          <w:left w:w="70" w:type="dxa"/>
          <w:right w:w="70" w:type="dxa"/>
        </w:tblCellMar>
        <w:tblLook w:val="04A0" w:firstRow="1" w:lastRow="0" w:firstColumn="1" w:lastColumn="0" w:noHBand="0" w:noVBand="1"/>
      </w:tblPr>
      <w:tblGrid>
        <w:gridCol w:w="1179"/>
        <w:gridCol w:w="440"/>
        <w:gridCol w:w="434"/>
        <w:gridCol w:w="476"/>
        <w:gridCol w:w="522"/>
        <w:gridCol w:w="476"/>
        <w:gridCol w:w="476"/>
        <w:gridCol w:w="467"/>
        <w:gridCol w:w="467"/>
        <w:gridCol w:w="467"/>
        <w:gridCol w:w="428"/>
        <w:gridCol w:w="474"/>
        <w:gridCol w:w="482"/>
        <w:gridCol w:w="400"/>
        <w:gridCol w:w="467"/>
        <w:gridCol w:w="460"/>
        <w:gridCol w:w="440"/>
        <w:gridCol w:w="420"/>
        <w:gridCol w:w="375"/>
        <w:gridCol w:w="370"/>
        <w:gridCol w:w="400"/>
        <w:gridCol w:w="476"/>
        <w:gridCol w:w="422"/>
      </w:tblGrid>
      <w:tr w:rsidR="00F87E58" w:rsidRPr="00587163" w14:paraId="42579E29" w14:textId="77777777" w:rsidTr="00F87E58">
        <w:trPr>
          <w:trHeight w:val="255"/>
          <w:jc w:val="center"/>
        </w:trPr>
        <w:tc>
          <w:tcPr>
            <w:tcW w:w="1179" w:type="dxa"/>
            <w:tcBorders>
              <w:top w:val="single" w:sz="4" w:space="0" w:color="auto"/>
              <w:bottom w:val="single" w:sz="4" w:space="0" w:color="auto"/>
              <w:right w:val="nil"/>
            </w:tcBorders>
            <w:shd w:val="clear" w:color="auto" w:fill="9CC2E5"/>
            <w:noWrap/>
            <w:vAlign w:val="center"/>
          </w:tcPr>
          <w:p w14:paraId="28E845A2" w14:textId="77777777" w:rsidR="00F87E58" w:rsidRPr="00587163" w:rsidRDefault="00F87E58" w:rsidP="00F87E58">
            <w:pPr>
              <w:pStyle w:val="cuadroCabe"/>
              <w:ind w:left="-78"/>
              <w:rPr>
                <w:sz w:val="12"/>
                <w:szCs w:val="12"/>
              </w:rPr>
            </w:pPr>
          </w:p>
        </w:tc>
        <w:tc>
          <w:tcPr>
            <w:tcW w:w="440" w:type="dxa"/>
            <w:tcBorders>
              <w:top w:val="single" w:sz="4" w:space="0" w:color="auto"/>
              <w:left w:val="nil"/>
              <w:bottom w:val="single" w:sz="4" w:space="0" w:color="auto"/>
              <w:right w:val="nil"/>
            </w:tcBorders>
            <w:shd w:val="clear" w:color="auto" w:fill="9CC2E5"/>
            <w:noWrap/>
            <w:vAlign w:val="center"/>
          </w:tcPr>
          <w:p w14:paraId="71C4324A" w14:textId="77777777" w:rsidR="00F87E58" w:rsidRPr="00587163" w:rsidRDefault="00F87E58" w:rsidP="00F87E58">
            <w:pPr>
              <w:pStyle w:val="cuadroCabe"/>
              <w:jc w:val="right"/>
              <w:rPr>
                <w:sz w:val="12"/>
                <w:szCs w:val="12"/>
              </w:rPr>
            </w:pPr>
            <w:r>
              <w:rPr>
                <w:sz w:val="12"/>
              </w:rPr>
              <w:t xml:space="preserve">2001</w:t>
            </w:r>
          </w:p>
        </w:tc>
        <w:tc>
          <w:tcPr>
            <w:tcW w:w="434" w:type="dxa"/>
            <w:tcBorders>
              <w:top w:val="single" w:sz="4" w:space="0" w:color="auto"/>
              <w:left w:val="nil"/>
              <w:bottom w:val="single" w:sz="4" w:space="0" w:color="auto"/>
              <w:right w:val="nil"/>
            </w:tcBorders>
            <w:shd w:val="clear" w:color="auto" w:fill="9CC2E5"/>
            <w:noWrap/>
            <w:vAlign w:val="center"/>
          </w:tcPr>
          <w:p w14:paraId="0ECA23F1" w14:textId="77777777" w:rsidR="00F87E58" w:rsidRPr="00587163" w:rsidRDefault="00F87E58" w:rsidP="00F87E58">
            <w:pPr>
              <w:pStyle w:val="cuadroCabe"/>
              <w:ind w:left="-167"/>
              <w:jc w:val="right"/>
              <w:rPr>
                <w:sz w:val="12"/>
                <w:szCs w:val="12"/>
              </w:rPr>
            </w:pPr>
            <w:r>
              <w:rPr>
                <w:sz w:val="12"/>
              </w:rPr>
              <w:t xml:space="preserve">2002</w:t>
            </w:r>
          </w:p>
        </w:tc>
        <w:tc>
          <w:tcPr>
            <w:tcW w:w="476" w:type="dxa"/>
            <w:tcBorders>
              <w:top w:val="single" w:sz="4" w:space="0" w:color="auto"/>
              <w:left w:val="nil"/>
              <w:bottom w:val="single" w:sz="4" w:space="0" w:color="auto"/>
              <w:right w:val="nil"/>
            </w:tcBorders>
            <w:shd w:val="clear" w:color="auto" w:fill="9CC2E5"/>
            <w:noWrap/>
            <w:vAlign w:val="center"/>
          </w:tcPr>
          <w:p w14:paraId="7BD18D1E" w14:textId="77777777" w:rsidR="00F87E58" w:rsidRPr="00587163" w:rsidRDefault="00F87E58" w:rsidP="00F87E58">
            <w:pPr>
              <w:pStyle w:val="cuadroCabe"/>
              <w:jc w:val="right"/>
              <w:rPr>
                <w:sz w:val="12"/>
                <w:szCs w:val="12"/>
              </w:rPr>
            </w:pPr>
            <w:r>
              <w:rPr>
                <w:sz w:val="12"/>
              </w:rPr>
              <w:t xml:space="preserve">2003</w:t>
            </w:r>
          </w:p>
        </w:tc>
        <w:tc>
          <w:tcPr>
            <w:tcW w:w="522" w:type="dxa"/>
            <w:tcBorders>
              <w:top w:val="single" w:sz="4" w:space="0" w:color="auto"/>
              <w:left w:val="nil"/>
              <w:bottom w:val="single" w:sz="4" w:space="0" w:color="auto"/>
              <w:right w:val="nil"/>
            </w:tcBorders>
            <w:shd w:val="clear" w:color="auto" w:fill="9CC2E5"/>
            <w:noWrap/>
            <w:vAlign w:val="center"/>
          </w:tcPr>
          <w:p w14:paraId="311FBD6C" w14:textId="77777777" w:rsidR="00F87E58" w:rsidRPr="00587163" w:rsidRDefault="00F87E58" w:rsidP="00F87E58">
            <w:pPr>
              <w:pStyle w:val="cuadroCabe"/>
              <w:jc w:val="right"/>
              <w:rPr>
                <w:sz w:val="12"/>
                <w:szCs w:val="12"/>
              </w:rPr>
            </w:pPr>
            <w:r>
              <w:rPr>
                <w:sz w:val="12"/>
              </w:rPr>
              <w:t xml:space="preserve">2004</w:t>
            </w:r>
          </w:p>
        </w:tc>
        <w:tc>
          <w:tcPr>
            <w:tcW w:w="476" w:type="dxa"/>
            <w:tcBorders>
              <w:top w:val="single" w:sz="4" w:space="0" w:color="auto"/>
              <w:left w:val="nil"/>
              <w:bottom w:val="single" w:sz="4" w:space="0" w:color="auto"/>
              <w:right w:val="nil"/>
            </w:tcBorders>
            <w:shd w:val="clear" w:color="auto" w:fill="9CC2E5"/>
            <w:noWrap/>
            <w:vAlign w:val="center"/>
          </w:tcPr>
          <w:p w14:paraId="29B2A616" w14:textId="77777777" w:rsidR="00F87E58" w:rsidRPr="00587163" w:rsidRDefault="00F87E58" w:rsidP="00F87E58">
            <w:pPr>
              <w:pStyle w:val="cuadroCabe"/>
              <w:jc w:val="right"/>
              <w:rPr>
                <w:sz w:val="12"/>
                <w:szCs w:val="12"/>
              </w:rPr>
            </w:pPr>
            <w:r>
              <w:rPr>
                <w:sz w:val="12"/>
              </w:rPr>
              <w:t xml:space="preserve">2005</w:t>
            </w:r>
          </w:p>
        </w:tc>
        <w:tc>
          <w:tcPr>
            <w:tcW w:w="476" w:type="dxa"/>
            <w:tcBorders>
              <w:top w:val="single" w:sz="4" w:space="0" w:color="auto"/>
              <w:left w:val="nil"/>
              <w:bottom w:val="single" w:sz="4" w:space="0" w:color="auto"/>
              <w:right w:val="nil"/>
            </w:tcBorders>
            <w:shd w:val="clear" w:color="auto" w:fill="9CC2E5"/>
            <w:noWrap/>
            <w:vAlign w:val="center"/>
          </w:tcPr>
          <w:p w14:paraId="459A6944" w14:textId="77777777" w:rsidR="00F87E58" w:rsidRPr="00587163" w:rsidRDefault="00F87E58" w:rsidP="00F87E58">
            <w:pPr>
              <w:pStyle w:val="cuadroCabe"/>
              <w:jc w:val="right"/>
              <w:rPr>
                <w:sz w:val="12"/>
                <w:szCs w:val="12"/>
              </w:rPr>
            </w:pPr>
            <w:r>
              <w:rPr>
                <w:sz w:val="12"/>
              </w:rPr>
              <w:t xml:space="preserve">2006</w:t>
            </w:r>
          </w:p>
        </w:tc>
        <w:tc>
          <w:tcPr>
            <w:tcW w:w="467" w:type="dxa"/>
            <w:tcBorders>
              <w:top w:val="single" w:sz="4" w:space="0" w:color="auto"/>
              <w:left w:val="nil"/>
              <w:bottom w:val="single" w:sz="4" w:space="0" w:color="auto"/>
              <w:right w:val="nil"/>
            </w:tcBorders>
            <w:shd w:val="clear" w:color="auto" w:fill="9CC2E5"/>
            <w:noWrap/>
            <w:vAlign w:val="center"/>
          </w:tcPr>
          <w:p w14:paraId="4FC53649" w14:textId="77777777" w:rsidR="00F87E58" w:rsidRPr="00587163" w:rsidRDefault="00F87E58" w:rsidP="00F87E58">
            <w:pPr>
              <w:pStyle w:val="cuadroCabe"/>
              <w:ind w:left="-124" w:right="-20"/>
              <w:jc w:val="right"/>
              <w:rPr>
                <w:sz w:val="12"/>
                <w:szCs w:val="12"/>
              </w:rPr>
            </w:pPr>
            <w:r>
              <w:rPr>
                <w:sz w:val="12"/>
              </w:rPr>
              <w:t xml:space="preserve">2007</w:t>
            </w:r>
          </w:p>
        </w:tc>
        <w:tc>
          <w:tcPr>
            <w:tcW w:w="467" w:type="dxa"/>
            <w:tcBorders>
              <w:top w:val="single" w:sz="4" w:space="0" w:color="auto"/>
              <w:left w:val="nil"/>
              <w:bottom w:val="single" w:sz="4" w:space="0" w:color="auto"/>
              <w:right w:val="nil"/>
            </w:tcBorders>
            <w:shd w:val="clear" w:color="auto" w:fill="9CC2E5"/>
            <w:noWrap/>
            <w:vAlign w:val="center"/>
          </w:tcPr>
          <w:p w14:paraId="5BC06D87" w14:textId="77777777" w:rsidR="00F87E58" w:rsidRPr="00587163" w:rsidRDefault="00F87E58" w:rsidP="00F87E58">
            <w:pPr>
              <w:pStyle w:val="cuadroCabe"/>
              <w:ind w:left="-122" w:right="-36"/>
              <w:jc w:val="right"/>
              <w:rPr>
                <w:sz w:val="12"/>
                <w:szCs w:val="12"/>
              </w:rPr>
            </w:pPr>
            <w:r>
              <w:rPr>
                <w:sz w:val="12"/>
              </w:rPr>
              <w:t xml:space="preserve">2008</w:t>
            </w:r>
          </w:p>
        </w:tc>
        <w:tc>
          <w:tcPr>
            <w:tcW w:w="467" w:type="dxa"/>
            <w:tcBorders>
              <w:top w:val="single" w:sz="4" w:space="0" w:color="auto"/>
              <w:left w:val="nil"/>
              <w:bottom w:val="single" w:sz="4" w:space="0" w:color="auto"/>
              <w:right w:val="nil"/>
            </w:tcBorders>
            <w:shd w:val="clear" w:color="auto" w:fill="9CC2E5"/>
            <w:noWrap/>
            <w:vAlign w:val="center"/>
          </w:tcPr>
          <w:p w14:paraId="0036BA2D" w14:textId="77777777" w:rsidR="00F87E58" w:rsidRPr="00587163" w:rsidRDefault="00F87E58" w:rsidP="00F87E58">
            <w:pPr>
              <w:pStyle w:val="cuadroCabe"/>
              <w:ind w:left="-121" w:right="-38"/>
              <w:jc w:val="right"/>
              <w:rPr>
                <w:sz w:val="12"/>
                <w:szCs w:val="12"/>
              </w:rPr>
            </w:pPr>
            <w:r>
              <w:rPr>
                <w:sz w:val="12"/>
              </w:rPr>
              <w:t xml:space="preserve">2009</w:t>
            </w:r>
          </w:p>
        </w:tc>
        <w:tc>
          <w:tcPr>
            <w:tcW w:w="428" w:type="dxa"/>
            <w:tcBorders>
              <w:top w:val="single" w:sz="4" w:space="0" w:color="auto"/>
              <w:left w:val="nil"/>
              <w:bottom w:val="single" w:sz="4" w:space="0" w:color="auto"/>
              <w:right w:val="nil"/>
            </w:tcBorders>
            <w:shd w:val="clear" w:color="auto" w:fill="9CC2E5"/>
            <w:noWrap/>
            <w:vAlign w:val="center"/>
          </w:tcPr>
          <w:p w14:paraId="4E90F390" w14:textId="77777777" w:rsidR="00F87E58" w:rsidRPr="00587163" w:rsidRDefault="00F87E58" w:rsidP="00F87E58">
            <w:pPr>
              <w:pStyle w:val="cuadroCabe"/>
              <w:ind w:left="-118" w:right="-40"/>
              <w:jc w:val="right"/>
              <w:rPr>
                <w:sz w:val="12"/>
                <w:szCs w:val="12"/>
              </w:rPr>
            </w:pPr>
            <w:r>
              <w:rPr>
                <w:sz w:val="12"/>
              </w:rPr>
              <w:t xml:space="preserve">2010</w:t>
            </w:r>
          </w:p>
        </w:tc>
        <w:tc>
          <w:tcPr>
            <w:tcW w:w="474" w:type="dxa"/>
            <w:tcBorders>
              <w:top w:val="single" w:sz="4" w:space="0" w:color="auto"/>
              <w:left w:val="nil"/>
              <w:bottom w:val="single" w:sz="4" w:space="0" w:color="auto"/>
              <w:right w:val="nil"/>
            </w:tcBorders>
            <w:shd w:val="clear" w:color="auto" w:fill="9CC2E5"/>
            <w:noWrap/>
            <w:vAlign w:val="center"/>
          </w:tcPr>
          <w:p w14:paraId="29DCC364" w14:textId="77777777" w:rsidR="00F87E58" w:rsidRPr="00587163" w:rsidRDefault="00F87E58" w:rsidP="00F87E58">
            <w:pPr>
              <w:pStyle w:val="cuadroCabe"/>
              <w:ind w:left="-72"/>
              <w:jc w:val="right"/>
              <w:rPr>
                <w:sz w:val="12"/>
                <w:szCs w:val="12"/>
              </w:rPr>
            </w:pPr>
            <w:r>
              <w:rPr>
                <w:sz w:val="12"/>
              </w:rPr>
              <w:t xml:space="preserve">2011</w:t>
            </w:r>
          </w:p>
        </w:tc>
        <w:tc>
          <w:tcPr>
            <w:tcW w:w="482" w:type="dxa"/>
            <w:tcBorders>
              <w:top w:val="single" w:sz="4" w:space="0" w:color="auto"/>
              <w:left w:val="nil"/>
              <w:bottom w:val="single" w:sz="4" w:space="0" w:color="auto"/>
              <w:right w:val="nil"/>
            </w:tcBorders>
            <w:shd w:val="clear" w:color="auto" w:fill="9CC2E5"/>
            <w:noWrap/>
            <w:vAlign w:val="center"/>
          </w:tcPr>
          <w:p w14:paraId="1540A0A8" w14:textId="77777777" w:rsidR="00F87E58" w:rsidRPr="00587163" w:rsidRDefault="00F87E58" w:rsidP="00F87E58">
            <w:pPr>
              <w:pStyle w:val="cuadroCabe"/>
              <w:ind w:left="-64"/>
              <w:jc w:val="right"/>
              <w:rPr>
                <w:sz w:val="12"/>
                <w:szCs w:val="12"/>
              </w:rPr>
            </w:pPr>
            <w:r>
              <w:rPr>
                <w:sz w:val="12"/>
              </w:rPr>
              <w:t xml:space="preserve">2012</w:t>
            </w:r>
          </w:p>
        </w:tc>
        <w:tc>
          <w:tcPr>
            <w:tcW w:w="400" w:type="dxa"/>
            <w:tcBorders>
              <w:top w:val="single" w:sz="4" w:space="0" w:color="auto"/>
              <w:left w:val="nil"/>
              <w:bottom w:val="single" w:sz="4" w:space="0" w:color="auto"/>
              <w:right w:val="nil"/>
            </w:tcBorders>
            <w:shd w:val="clear" w:color="auto" w:fill="9CC2E5"/>
            <w:noWrap/>
            <w:vAlign w:val="center"/>
          </w:tcPr>
          <w:p w14:paraId="6B6011E3" w14:textId="77777777" w:rsidR="00F87E58" w:rsidRPr="00587163" w:rsidRDefault="00F87E58" w:rsidP="00F87E58">
            <w:pPr>
              <w:pStyle w:val="cuadroCabe"/>
              <w:ind w:left="-146"/>
              <w:jc w:val="right"/>
              <w:rPr>
                <w:sz w:val="12"/>
                <w:szCs w:val="12"/>
              </w:rPr>
            </w:pPr>
            <w:r>
              <w:rPr>
                <w:sz w:val="12"/>
              </w:rPr>
              <w:t xml:space="preserve">2013</w:t>
            </w:r>
          </w:p>
        </w:tc>
        <w:tc>
          <w:tcPr>
            <w:tcW w:w="467" w:type="dxa"/>
            <w:tcBorders>
              <w:top w:val="single" w:sz="4" w:space="0" w:color="auto"/>
              <w:left w:val="nil"/>
              <w:bottom w:val="single" w:sz="4" w:space="0" w:color="auto"/>
              <w:right w:val="nil"/>
            </w:tcBorders>
            <w:shd w:val="clear" w:color="auto" w:fill="9CC2E5"/>
            <w:noWrap/>
            <w:vAlign w:val="center"/>
          </w:tcPr>
          <w:p w14:paraId="5F9B2EE5" w14:textId="77777777" w:rsidR="00F87E58" w:rsidRPr="00587163" w:rsidRDefault="00F87E58" w:rsidP="00F87E58">
            <w:pPr>
              <w:pStyle w:val="cuadroCabe"/>
              <w:ind w:left="-81" w:hanging="70"/>
              <w:jc w:val="right"/>
              <w:rPr>
                <w:sz w:val="12"/>
                <w:szCs w:val="12"/>
              </w:rPr>
            </w:pPr>
            <w:r>
              <w:rPr>
                <w:sz w:val="12"/>
              </w:rPr>
              <w:t xml:space="preserve">2014</w:t>
            </w:r>
          </w:p>
        </w:tc>
        <w:tc>
          <w:tcPr>
            <w:tcW w:w="460" w:type="dxa"/>
            <w:tcBorders>
              <w:top w:val="single" w:sz="4" w:space="0" w:color="auto"/>
              <w:left w:val="nil"/>
              <w:bottom w:val="single" w:sz="4" w:space="0" w:color="auto"/>
              <w:right w:val="nil"/>
            </w:tcBorders>
            <w:shd w:val="clear" w:color="auto" w:fill="9CC2E5"/>
            <w:noWrap/>
            <w:vAlign w:val="center"/>
          </w:tcPr>
          <w:p w14:paraId="5F62E3BA" w14:textId="77777777" w:rsidR="00F87E58" w:rsidRPr="00587163" w:rsidRDefault="00F87E58" w:rsidP="00F87E58">
            <w:pPr>
              <w:pStyle w:val="cuadroCabe"/>
              <w:ind w:left="-86"/>
              <w:jc w:val="right"/>
              <w:rPr>
                <w:sz w:val="12"/>
                <w:szCs w:val="12"/>
              </w:rPr>
            </w:pPr>
            <w:r>
              <w:rPr>
                <w:sz w:val="12"/>
              </w:rPr>
              <w:t xml:space="preserve">2015</w:t>
            </w:r>
          </w:p>
        </w:tc>
        <w:tc>
          <w:tcPr>
            <w:tcW w:w="440" w:type="dxa"/>
            <w:tcBorders>
              <w:top w:val="single" w:sz="4" w:space="0" w:color="auto"/>
              <w:left w:val="nil"/>
              <w:bottom w:val="single" w:sz="4" w:space="0" w:color="auto"/>
              <w:right w:val="nil"/>
            </w:tcBorders>
            <w:shd w:val="clear" w:color="auto" w:fill="9CC2E5"/>
            <w:noWrap/>
            <w:vAlign w:val="center"/>
          </w:tcPr>
          <w:p w14:paraId="6FC73CEB" w14:textId="77777777" w:rsidR="00F87E58" w:rsidRPr="00587163" w:rsidRDefault="00F87E58" w:rsidP="00F87E58">
            <w:pPr>
              <w:pStyle w:val="cuadroCabe"/>
              <w:ind w:left="-106"/>
              <w:jc w:val="right"/>
              <w:rPr>
                <w:sz w:val="12"/>
                <w:szCs w:val="12"/>
              </w:rPr>
            </w:pPr>
            <w:r>
              <w:rPr>
                <w:sz w:val="12"/>
              </w:rPr>
              <w:t xml:space="preserve">2016</w:t>
            </w:r>
          </w:p>
        </w:tc>
        <w:tc>
          <w:tcPr>
            <w:tcW w:w="420" w:type="dxa"/>
            <w:tcBorders>
              <w:top w:val="single" w:sz="4" w:space="0" w:color="auto"/>
              <w:left w:val="nil"/>
              <w:bottom w:val="single" w:sz="4" w:space="0" w:color="auto"/>
              <w:right w:val="nil"/>
            </w:tcBorders>
            <w:shd w:val="clear" w:color="auto" w:fill="9CC2E5"/>
            <w:noWrap/>
            <w:vAlign w:val="center"/>
          </w:tcPr>
          <w:p w14:paraId="49790838" w14:textId="77777777" w:rsidR="00F87E58" w:rsidRPr="00587163" w:rsidRDefault="00F87E58" w:rsidP="00F87E58">
            <w:pPr>
              <w:pStyle w:val="cuadroCabe"/>
              <w:ind w:left="-126"/>
              <w:jc w:val="right"/>
              <w:rPr>
                <w:sz w:val="12"/>
                <w:szCs w:val="12"/>
              </w:rPr>
            </w:pPr>
            <w:r>
              <w:rPr>
                <w:sz w:val="12"/>
              </w:rPr>
              <w:t xml:space="preserve">2017</w:t>
            </w:r>
          </w:p>
        </w:tc>
        <w:tc>
          <w:tcPr>
            <w:tcW w:w="375" w:type="dxa"/>
            <w:tcBorders>
              <w:top w:val="single" w:sz="4" w:space="0" w:color="auto"/>
              <w:left w:val="nil"/>
              <w:bottom w:val="single" w:sz="4" w:space="0" w:color="auto"/>
              <w:right w:val="nil"/>
            </w:tcBorders>
            <w:shd w:val="clear" w:color="auto" w:fill="9CC2E5"/>
            <w:noWrap/>
            <w:vAlign w:val="center"/>
          </w:tcPr>
          <w:p w14:paraId="433D2822" w14:textId="77777777" w:rsidR="00F87E58" w:rsidRPr="00587163" w:rsidRDefault="00F87E58" w:rsidP="00F87E58">
            <w:pPr>
              <w:pStyle w:val="cuadroCabe"/>
              <w:ind w:left="-171"/>
              <w:jc w:val="right"/>
              <w:rPr>
                <w:sz w:val="12"/>
                <w:szCs w:val="12"/>
              </w:rPr>
            </w:pPr>
            <w:r>
              <w:rPr>
                <w:sz w:val="12"/>
              </w:rPr>
              <w:t xml:space="preserve">2018</w:t>
            </w:r>
          </w:p>
        </w:tc>
        <w:tc>
          <w:tcPr>
            <w:tcW w:w="370" w:type="dxa"/>
            <w:tcBorders>
              <w:top w:val="single" w:sz="4" w:space="0" w:color="auto"/>
              <w:left w:val="nil"/>
              <w:bottom w:val="single" w:sz="4" w:space="0" w:color="auto"/>
              <w:right w:val="nil"/>
            </w:tcBorders>
            <w:shd w:val="clear" w:color="auto" w:fill="9CC2E5"/>
            <w:noWrap/>
            <w:vAlign w:val="center"/>
          </w:tcPr>
          <w:p w14:paraId="1C396763" w14:textId="77777777" w:rsidR="00F87E58" w:rsidRPr="00587163" w:rsidRDefault="00F87E58" w:rsidP="00F87E58">
            <w:pPr>
              <w:pStyle w:val="cuadroCabe"/>
              <w:ind w:left="-176"/>
              <w:jc w:val="right"/>
              <w:rPr>
                <w:sz w:val="12"/>
                <w:szCs w:val="12"/>
              </w:rPr>
            </w:pPr>
            <w:r>
              <w:rPr>
                <w:sz w:val="12"/>
              </w:rPr>
              <w:t xml:space="preserve">2019</w:t>
            </w:r>
          </w:p>
        </w:tc>
        <w:tc>
          <w:tcPr>
            <w:tcW w:w="400" w:type="dxa"/>
            <w:tcBorders>
              <w:top w:val="single" w:sz="4" w:space="0" w:color="auto"/>
              <w:left w:val="nil"/>
              <w:bottom w:val="single" w:sz="4" w:space="0" w:color="auto"/>
              <w:right w:val="nil"/>
            </w:tcBorders>
            <w:shd w:val="clear" w:color="auto" w:fill="9CC2E5"/>
            <w:noWrap/>
            <w:vAlign w:val="center"/>
          </w:tcPr>
          <w:p w14:paraId="613FFBEF" w14:textId="77777777" w:rsidR="00F87E58" w:rsidRPr="00587163" w:rsidRDefault="00F87E58" w:rsidP="00F87E58">
            <w:pPr>
              <w:pStyle w:val="cuadroCabe"/>
              <w:ind w:left="-146"/>
              <w:jc w:val="right"/>
              <w:rPr>
                <w:sz w:val="12"/>
                <w:szCs w:val="12"/>
              </w:rPr>
            </w:pPr>
            <w:r>
              <w:rPr>
                <w:sz w:val="12"/>
              </w:rPr>
              <w:t xml:space="preserve">2020</w:t>
            </w:r>
          </w:p>
        </w:tc>
        <w:tc>
          <w:tcPr>
            <w:tcW w:w="476" w:type="dxa"/>
            <w:tcBorders>
              <w:top w:val="single" w:sz="4" w:space="0" w:color="auto"/>
              <w:left w:val="nil"/>
              <w:bottom w:val="single" w:sz="4" w:space="0" w:color="auto"/>
              <w:right w:val="nil"/>
            </w:tcBorders>
            <w:shd w:val="clear" w:color="auto" w:fill="9CC2E5"/>
            <w:noWrap/>
            <w:vAlign w:val="center"/>
          </w:tcPr>
          <w:p w14:paraId="6EB0D7CA" w14:textId="77777777" w:rsidR="00F87E58" w:rsidRPr="00587163" w:rsidRDefault="00F87E58" w:rsidP="00F87E58">
            <w:pPr>
              <w:pStyle w:val="cuadroCabe"/>
              <w:ind w:left="-70"/>
              <w:jc w:val="right"/>
              <w:rPr>
                <w:sz w:val="12"/>
                <w:szCs w:val="12"/>
              </w:rPr>
            </w:pPr>
            <w:r>
              <w:rPr>
                <w:sz w:val="12"/>
              </w:rPr>
              <w:t xml:space="preserve">2021</w:t>
            </w:r>
          </w:p>
        </w:tc>
        <w:tc>
          <w:tcPr>
            <w:tcW w:w="422" w:type="dxa"/>
            <w:tcBorders>
              <w:top w:val="single" w:sz="4" w:space="0" w:color="auto"/>
              <w:left w:val="nil"/>
              <w:bottom w:val="single" w:sz="4" w:space="0" w:color="auto"/>
              <w:right w:val="nil"/>
            </w:tcBorders>
            <w:shd w:val="clear" w:color="auto" w:fill="9CC2E5"/>
            <w:noWrap/>
            <w:vAlign w:val="center"/>
          </w:tcPr>
          <w:p w14:paraId="115343AA" w14:textId="77777777" w:rsidR="00F87E58" w:rsidRPr="00587163" w:rsidRDefault="00F87E58" w:rsidP="00F87E58">
            <w:pPr>
              <w:pStyle w:val="cuadroCabe"/>
              <w:ind w:left="-124"/>
              <w:jc w:val="right"/>
              <w:rPr>
                <w:sz w:val="12"/>
                <w:szCs w:val="12"/>
              </w:rPr>
            </w:pPr>
            <w:r>
              <w:rPr>
                <w:sz w:val="12"/>
              </w:rPr>
              <w:t xml:space="preserve">2022</w:t>
            </w:r>
          </w:p>
        </w:tc>
      </w:tr>
      <w:tr w:rsidR="00F87E58" w:rsidRPr="00CC0F93" w14:paraId="35BA397B" w14:textId="77777777" w:rsidTr="00F87E58">
        <w:trPr>
          <w:trHeight w:val="198"/>
          <w:jc w:val="center"/>
        </w:trPr>
        <w:tc>
          <w:tcPr>
            <w:tcW w:w="1179" w:type="dxa"/>
            <w:tcBorders>
              <w:top w:val="single" w:sz="4" w:space="0" w:color="auto"/>
              <w:bottom w:val="single" w:sz="2" w:space="0" w:color="auto"/>
              <w:right w:val="nil"/>
            </w:tcBorders>
            <w:shd w:val="clear" w:color="auto" w:fill="auto"/>
            <w:noWrap/>
            <w:vAlign w:val="center"/>
          </w:tcPr>
          <w:p w14:paraId="365B56B9" w14:textId="77777777" w:rsidR="00F87E58" w:rsidRPr="00143FB3" w:rsidRDefault="00F87E58" w:rsidP="00321B53">
            <w:pPr>
              <w:pStyle w:val="cuatexto"/>
              <w:spacing w:line="240" w:lineRule="auto"/>
              <w:rPr>
                <w:sz w:val="12"/>
                <w:szCs w:val="12"/>
              </w:rPr>
            </w:pPr>
            <w:r>
              <w:rPr>
                <w:sz w:val="12"/>
              </w:rPr>
              <w:t xml:space="preserve">Ekitaldiko emaitza</w:t>
            </w:r>
          </w:p>
        </w:tc>
        <w:tc>
          <w:tcPr>
            <w:tcW w:w="440" w:type="dxa"/>
            <w:tcBorders>
              <w:top w:val="single" w:sz="4" w:space="0" w:color="auto"/>
              <w:left w:val="nil"/>
              <w:bottom w:val="single" w:sz="2" w:space="0" w:color="auto"/>
              <w:right w:val="nil"/>
            </w:tcBorders>
            <w:shd w:val="clear" w:color="auto" w:fill="auto"/>
            <w:noWrap/>
            <w:vAlign w:val="center"/>
          </w:tcPr>
          <w:p w14:paraId="691ACA27" w14:textId="77777777" w:rsidR="00F87E58" w:rsidRPr="00CC0F93" w:rsidRDefault="00F87E58" w:rsidP="00321B53">
            <w:pPr>
              <w:pStyle w:val="cuatexto"/>
              <w:spacing w:line="240" w:lineRule="auto"/>
              <w:jc w:val="right"/>
              <w:rPr>
                <w:sz w:val="14"/>
                <w:szCs w:val="14"/>
              </w:rPr>
            </w:pPr>
            <w:r>
              <w:rPr>
                <w:sz w:val="14"/>
              </w:rPr>
              <w:t xml:space="preserve">0,00</w:t>
            </w:r>
          </w:p>
        </w:tc>
        <w:tc>
          <w:tcPr>
            <w:tcW w:w="434" w:type="dxa"/>
            <w:tcBorders>
              <w:top w:val="single" w:sz="4" w:space="0" w:color="auto"/>
              <w:left w:val="nil"/>
              <w:bottom w:val="single" w:sz="2" w:space="0" w:color="auto"/>
              <w:right w:val="nil"/>
            </w:tcBorders>
            <w:shd w:val="clear" w:color="auto" w:fill="auto"/>
            <w:noWrap/>
            <w:vAlign w:val="center"/>
          </w:tcPr>
          <w:p w14:paraId="43CA16EE" w14:textId="77777777" w:rsidR="00F87E58" w:rsidRPr="00CC0F93" w:rsidRDefault="00F87E58" w:rsidP="00321B53">
            <w:pPr>
              <w:pStyle w:val="cuatexto"/>
              <w:spacing w:line="240" w:lineRule="auto"/>
              <w:ind w:left="-167"/>
              <w:jc w:val="right"/>
              <w:rPr>
                <w:sz w:val="14"/>
                <w:szCs w:val="14"/>
              </w:rPr>
            </w:pPr>
            <w:r>
              <w:rPr>
                <w:sz w:val="14"/>
              </w:rPr>
              <w:t xml:space="preserve">(0,04)</w:t>
            </w:r>
          </w:p>
        </w:tc>
        <w:tc>
          <w:tcPr>
            <w:tcW w:w="476" w:type="dxa"/>
            <w:tcBorders>
              <w:top w:val="single" w:sz="4" w:space="0" w:color="auto"/>
              <w:left w:val="nil"/>
              <w:bottom w:val="single" w:sz="2" w:space="0" w:color="auto"/>
              <w:right w:val="nil"/>
            </w:tcBorders>
            <w:shd w:val="clear" w:color="auto" w:fill="auto"/>
            <w:noWrap/>
            <w:vAlign w:val="center"/>
          </w:tcPr>
          <w:p w14:paraId="3ADE7D5B" w14:textId="77777777" w:rsidR="00F87E58" w:rsidRPr="00CC0F93" w:rsidRDefault="00F87E58" w:rsidP="00321B53">
            <w:pPr>
              <w:pStyle w:val="cuatexto"/>
              <w:spacing w:line="240" w:lineRule="auto"/>
              <w:jc w:val="right"/>
              <w:rPr>
                <w:sz w:val="14"/>
                <w:szCs w:val="14"/>
              </w:rPr>
            </w:pPr>
            <w:r>
              <w:rPr>
                <w:sz w:val="14"/>
              </w:rPr>
              <w:t xml:space="preserve">(0,44)</w:t>
            </w:r>
          </w:p>
        </w:tc>
        <w:tc>
          <w:tcPr>
            <w:tcW w:w="522" w:type="dxa"/>
            <w:tcBorders>
              <w:top w:val="single" w:sz="4" w:space="0" w:color="auto"/>
              <w:left w:val="nil"/>
              <w:bottom w:val="single" w:sz="2" w:space="0" w:color="auto"/>
              <w:right w:val="nil"/>
            </w:tcBorders>
            <w:shd w:val="clear" w:color="auto" w:fill="auto"/>
            <w:noWrap/>
            <w:vAlign w:val="center"/>
          </w:tcPr>
          <w:p w14:paraId="047BDE2F" w14:textId="77777777" w:rsidR="00F87E58" w:rsidRPr="00CC0F93" w:rsidRDefault="00F87E58" w:rsidP="00321B53">
            <w:pPr>
              <w:pStyle w:val="cuatexto"/>
              <w:spacing w:line="240" w:lineRule="auto"/>
              <w:jc w:val="right"/>
              <w:rPr>
                <w:sz w:val="14"/>
                <w:szCs w:val="14"/>
              </w:rPr>
            </w:pPr>
            <w:r>
              <w:rPr>
                <w:sz w:val="14"/>
              </w:rPr>
              <w:t xml:space="preserve">(2,58)</w:t>
            </w:r>
          </w:p>
        </w:tc>
        <w:tc>
          <w:tcPr>
            <w:tcW w:w="476" w:type="dxa"/>
            <w:tcBorders>
              <w:top w:val="single" w:sz="4" w:space="0" w:color="auto"/>
              <w:left w:val="nil"/>
              <w:bottom w:val="single" w:sz="2" w:space="0" w:color="auto"/>
              <w:right w:val="nil"/>
            </w:tcBorders>
            <w:shd w:val="clear" w:color="auto" w:fill="auto"/>
            <w:noWrap/>
            <w:vAlign w:val="center"/>
          </w:tcPr>
          <w:p w14:paraId="1F07678D" w14:textId="77777777" w:rsidR="00F87E58" w:rsidRPr="00CC0F93" w:rsidRDefault="00F87E58" w:rsidP="00321B53">
            <w:pPr>
              <w:pStyle w:val="cuatexto"/>
              <w:spacing w:line="240" w:lineRule="auto"/>
              <w:jc w:val="right"/>
              <w:rPr>
                <w:sz w:val="14"/>
                <w:szCs w:val="14"/>
              </w:rPr>
            </w:pPr>
            <w:r>
              <w:rPr>
                <w:sz w:val="14"/>
              </w:rPr>
              <w:t xml:space="preserve">(4,00)</w:t>
            </w:r>
          </w:p>
        </w:tc>
        <w:tc>
          <w:tcPr>
            <w:tcW w:w="476" w:type="dxa"/>
            <w:tcBorders>
              <w:top w:val="single" w:sz="4" w:space="0" w:color="auto"/>
              <w:left w:val="nil"/>
              <w:bottom w:val="single" w:sz="2" w:space="0" w:color="auto"/>
              <w:right w:val="nil"/>
            </w:tcBorders>
            <w:shd w:val="clear" w:color="auto" w:fill="auto"/>
            <w:noWrap/>
            <w:vAlign w:val="center"/>
          </w:tcPr>
          <w:p w14:paraId="7A1C41B8" w14:textId="77777777" w:rsidR="00F87E58" w:rsidRPr="00CC0F93" w:rsidRDefault="00F87E58" w:rsidP="00321B53">
            <w:pPr>
              <w:pStyle w:val="cuatexto"/>
              <w:spacing w:line="240" w:lineRule="auto"/>
              <w:jc w:val="right"/>
              <w:rPr>
                <w:sz w:val="14"/>
                <w:szCs w:val="14"/>
              </w:rPr>
            </w:pPr>
            <w:r>
              <w:rPr>
                <w:sz w:val="14"/>
              </w:rPr>
              <w:t xml:space="preserve">(4,46)</w:t>
            </w:r>
          </w:p>
        </w:tc>
        <w:tc>
          <w:tcPr>
            <w:tcW w:w="467" w:type="dxa"/>
            <w:tcBorders>
              <w:top w:val="single" w:sz="4" w:space="0" w:color="auto"/>
              <w:left w:val="nil"/>
              <w:bottom w:val="single" w:sz="2" w:space="0" w:color="auto"/>
              <w:right w:val="nil"/>
            </w:tcBorders>
            <w:shd w:val="clear" w:color="auto" w:fill="auto"/>
            <w:noWrap/>
            <w:vAlign w:val="center"/>
          </w:tcPr>
          <w:p w14:paraId="29122436" w14:textId="77777777" w:rsidR="00F87E58" w:rsidRPr="00CC0F93" w:rsidRDefault="00F87E58" w:rsidP="00321B53">
            <w:pPr>
              <w:pStyle w:val="cuatexto"/>
              <w:spacing w:line="240" w:lineRule="auto"/>
              <w:ind w:left="-124" w:right="-20"/>
              <w:jc w:val="right"/>
              <w:rPr>
                <w:sz w:val="14"/>
                <w:szCs w:val="14"/>
              </w:rPr>
            </w:pPr>
            <w:r>
              <w:rPr>
                <w:sz w:val="14"/>
              </w:rPr>
              <w:t xml:space="preserve">(4,38)</w:t>
            </w:r>
          </w:p>
        </w:tc>
        <w:tc>
          <w:tcPr>
            <w:tcW w:w="467" w:type="dxa"/>
            <w:tcBorders>
              <w:top w:val="single" w:sz="4" w:space="0" w:color="auto"/>
              <w:left w:val="nil"/>
              <w:bottom w:val="single" w:sz="2" w:space="0" w:color="auto"/>
              <w:right w:val="nil"/>
            </w:tcBorders>
            <w:shd w:val="clear" w:color="auto" w:fill="auto"/>
            <w:noWrap/>
            <w:vAlign w:val="center"/>
          </w:tcPr>
          <w:p w14:paraId="3803E28A" w14:textId="77777777" w:rsidR="00F87E58" w:rsidRPr="00CC0F93" w:rsidRDefault="00F87E58" w:rsidP="00321B53">
            <w:pPr>
              <w:pStyle w:val="cuatexto"/>
              <w:spacing w:line="240" w:lineRule="auto"/>
              <w:ind w:left="-122" w:right="-36"/>
              <w:jc w:val="right"/>
              <w:rPr>
                <w:sz w:val="14"/>
                <w:szCs w:val="14"/>
              </w:rPr>
            </w:pPr>
            <w:r>
              <w:rPr>
                <w:sz w:val="14"/>
              </w:rPr>
              <w:t xml:space="preserve">(4,17)</w:t>
            </w:r>
          </w:p>
        </w:tc>
        <w:tc>
          <w:tcPr>
            <w:tcW w:w="467" w:type="dxa"/>
            <w:tcBorders>
              <w:top w:val="single" w:sz="4" w:space="0" w:color="auto"/>
              <w:left w:val="nil"/>
              <w:bottom w:val="single" w:sz="2" w:space="0" w:color="auto"/>
              <w:right w:val="nil"/>
            </w:tcBorders>
            <w:shd w:val="clear" w:color="auto" w:fill="auto"/>
            <w:noWrap/>
            <w:vAlign w:val="center"/>
          </w:tcPr>
          <w:p w14:paraId="0816A772" w14:textId="77777777" w:rsidR="00F87E58" w:rsidRPr="00CC0F93" w:rsidRDefault="00F87E58" w:rsidP="00321B53">
            <w:pPr>
              <w:pStyle w:val="cuatexto"/>
              <w:spacing w:line="240" w:lineRule="auto"/>
              <w:ind w:left="-121" w:right="-38"/>
              <w:jc w:val="right"/>
              <w:rPr>
                <w:sz w:val="14"/>
                <w:szCs w:val="14"/>
              </w:rPr>
            </w:pPr>
            <w:r>
              <w:rPr>
                <w:sz w:val="14"/>
              </w:rPr>
              <w:t xml:space="preserve">(4,14)</w:t>
            </w:r>
          </w:p>
        </w:tc>
        <w:tc>
          <w:tcPr>
            <w:tcW w:w="428" w:type="dxa"/>
            <w:tcBorders>
              <w:top w:val="single" w:sz="4" w:space="0" w:color="auto"/>
              <w:left w:val="nil"/>
              <w:bottom w:val="single" w:sz="2" w:space="0" w:color="auto"/>
              <w:right w:val="nil"/>
            </w:tcBorders>
            <w:shd w:val="clear" w:color="auto" w:fill="auto"/>
            <w:noWrap/>
            <w:vAlign w:val="center"/>
          </w:tcPr>
          <w:p w14:paraId="682275B0" w14:textId="77777777" w:rsidR="00F87E58" w:rsidRPr="00CC0F93" w:rsidRDefault="00F87E58" w:rsidP="00321B53">
            <w:pPr>
              <w:pStyle w:val="cuatexto"/>
              <w:spacing w:line="240" w:lineRule="auto"/>
              <w:ind w:left="-118" w:right="-40"/>
              <w:jc w:val="right"/>
              <w:rPr>
                <w:sz w:val="14"/>
                <w:szCs w:val="14"/>
              </w:rPr>
            </w:pPr>
            <w:r>
              <w:rPr>
                <w:sz w:val="14"/>
              </w:rPr>
              <w:t xml:space="preserve">(4,30)</w:t>
            </w:r>
          </w:p>
        </w:tc>
        <w:tc>
          <w:tcPr>
            <w:tcW w:w="474" w:type="dxa"/>
            <w:tcBorders>
              <w:top w:val="single" w:sz="4" w:space="0" w:color="auto"/>
              <w:left w:val="nil"/>
              <w:bottom w:val="single" w:sz="2" w:space="0" w:color="auto"/>
              <w:right w:val="nil"/>
            </w:tcBorders>
            <w:shd w:val="clear" w:color="auto" w:fill="auto"/>
            <w:noWrap/>
            <w:vAlign w:val="center"/>
          </w:tcPr>
          <w:p w14:paraId="0D09C066" w14:textId="77777777" w:rsidR="00F87E58" w:rsidRPr="00CC0F93" w:rsidRDefault="00F87E58" w:rsidP="00321B53">
            <w:pPr>
              <w:pStyle w:val="cuatexto"/>
              <w:spacing w:line="240" w:lineRule="auto"/>
              <w:ind w:left="-72"/>
              <w:jc w:val="right"/>
              <w:rPr>
                <w:sz w:val="14"/>
                <w:szCs w:val="14"/>
              </w:rPr>
            </w:pPr>
            <w:r>
              <w:rPr>
                <w:sz w:val="14"/>
              </w:rPr>
              <w:t xml:space="preserve">(4,04)</w:t>
            </w:r>
          </w:p>
        </w:tc>
        <w:tc>
          <w:tcPr>
            <w:tcW w:w="482" w:type="dxa"/>
            <w:tcBorders>
              <w:top w:val="single" w:sz="4" w:space="0" w:color="auto"/>
              <w:left w:val="nil"/>
              <w:bottom w:val="single" w:sz="2" w:space="0" w:color="auto"/>
              <w:right w:val="nil"/>
            </w:tcBorders>
            <w:shd w:val="clear" w:color="auto" w:fill="auto"/>
            <w:noWrap/>
            <w:vAlign w:val="center"/>
          </w:tcPr>
          <w:p w14:paraId="4A26CC44" w14:textId="77777777" w:rsidR="00F87E58" w:rsidRPr="00CC0F93" w:rsidRDefault="00F87E58" w:rsidP="00321B53">
            <w:pPr>
              <w:pStyle w:val="cuatexto"/>
              <w:spacing w:line="240" w:lineRule="auto"/>
              <w:ind w:left="-64"/>
              <w:jc w:val="right"/>
              <w:rPr>
                <w:sz w:val="14"/>
                <w:szCs w:val="14"/>
              </w:rPr>
            </w:pPr>
            <w:r>
              <w:rPr>
                <w:sz w:val="14"/>
              </w:rPr>
              <w:t xml:space="preserve">(4,05)</w:t>
            </w:r>
          </w:p>
        </w:tc>
        <w:tc>
          <w:tcPr>
            <w:tcW w:w="400" w:type="dxa"/>
            <w:tcBorders>
              <w:top w:val="single" w:sz="4" w:space="0" w:color="auto"/>
              <w:left w:val="nil"/>
              <w:bottom w:val="single" w:sz="2" w:space="0" w:color="auto"/>
              <w:right w:val="nil"/>
            </w:tcBorders>
            <w:shd w:val="clear" w:color="auto" w:fill="auto"/>
            <w:noWrap/>
            <w:vAlign w:val="center"/>
          </w:tcPr>
          <w:p w14:paraId="4D7723EB" w14:textId="77777777" w:rsidR="00F87E58" w:rsidRPr="00CC0F93" w:rsidRDefault="00F87E58" w:rsidP="00321B53">
            <w:pPr>
              <w:pStyle w:val="cuatexto"/>
              <w:spacing w:line="240" w:lineRule="auto"/>
              <w:ind w:left="-146"/>
              <w:jc w:val="right"/>
              <w:rPr>
                <w:sz w:val="14"/>
                <w:szCs w:val="14"/>
              </w:rPr>
            </w:pPr>
            <w:r>
              <w:rPr>
                <w:sz w:val="14"/>
              </w:rPr>
              <w:t xml:space="preserve">(3,80)</w:t>
            </w:r>
          </w:p>
        </w:tc>
        <w:tc>
          <w:tcPr>
            <w:tcW w:w="467" w:type="dxa"/>
            <w:tcBorders>
              <w:top w:val="single" w:sz="4" w:space="0" w:color="auto"/>
              <w:left w:val="nil"/>
              <w:bottom w:val="single" w:sz="2" w:space="0" w:color="auto"/>
              <w:right w:val="nil"/>
            </w:tcBorders>
            <w:shd w:val="clear" w:color="auto" w:fill="auto"/>
            <w:noWrap/>
            <w:vAlign w:val="center"/>
          </w:tcPr>
          <w:p w14:paraId="6EA9D8B1" w14:textId="77777777" w:rsidR="00F87E58" w:rsidRPr="00CC0F93" w:rsidRDefault="00F87E58" w:rsidP="00321B53">
            <w:pPr>
              <w:pStyle w:val="cuatexto"/>
              <w:spacing w:line="240" w:lineRule="auto"/>
              <w:ind w:left="-81" w:hanging="70"/>
              <w:jc w:val="right"/>
              <w:rPr>
                <w:sz w:val="14"/>
                <w:szCs w:val="14"/>
              </w:rPr>
            </w:pPr>
            <w:r>
              <w:rPr>
                <w:sz w:val="14"/>
              </w:rPr>
              <w:t xml:space="preserve">(2,86)</w:t>
            </w:r>
          </w:p>
        </w:tc>
        <w:tc>
          <w:tcPr>
            <w:tcW w:w="460" w:type="dxa"/>
            <w:tcBorders>
              <w:top w:val="single" w:sz="4" w:space="0" w:color="auto"/>
              <w:left w:val="nil"/>
              <w:bottom w:val="single" w:sz="2" w:space="0" w:color="auto"/>
              <w:right w:val="nil"/>
            </w:tcBorders>
            <w:shd w:val="clear" w:color="auto" w:fill="auto"/>
            <w:noWrap/>
            <w:vAlign w:val="center"/>
          </w:tcPr>
          <w:p w14:paraId="04EAF4D7" w14:textId="77777777" w:rsidR="00F87E58" w:rsidRPr="00CC0F93" w:rsidRDefault="00F87E58" w:rsidP="00321B53">
            <w:pPr>
              <w:pStyle w:val="cuatexto"/>
              <w:spacing w:line="240" w:lineRule="auto"/>
              <w:ind w:left="-86"/>
              <w:jc w:val="right"/>
              <w:rPr>
                <w:sz w:val="14"/>
                <w:szCs w:val="14"/>
              </w:rPr>
            </w:pPr>
            <w:r>
              <w:rPr>
                <w:sz w:val="14"/>
              </w:rPr>
              <w:t xml:space="preserve">(2,93)</w:t>
            </w:r>
          </w:p>
        </w:tc>
        <w:tc>
          <w:tcPr>
            <w:tcW w:w="440" w:type="dxa"/>
            <w:tcBorders>
              <w:top w:val="single" w:sz="4" w:space="0" w:color="auto"/>
              <w:left w:val="nil"/>
              <w:bottom w:val="single" w:sz="2" w:space="0" w:color="auto"/>
              <w:right w:val="nil"/>
            </w:tcBorders>
            <w:shd w:val="clear" w:color="auto" w:fill="auto"/>
            <w:noWrap/>
            <w:vAlign w:val="center"/>
          </w:tcPr>
          <w:p w14:paraId="44BF9D5E" w14:textId="77777777" w:rsidR="00F87E58" w:rsidRPr="00CC0F93" w:rsidRDefault="00F87E58" w:rsidP="00321B53">
            <w:pPr>
              <w:pStyle w:val="cuatexto"/>
              <w:spacing w:line="240" w:lineRule="auto"/>
              <w:ind w:left="-106"/>
              <w:jc w:val="right"/>
              <w:rPr>
                <w:sz w:val="14"/>
                <w:szCs w:val="14"/>
              </w:rPr>
            </w:pPr>
            <w:r>
              <w:rPr>
                <w:sz w:val="14"/>
              </w:rPr>
              <w:t xml:space="preserve">(2,50)</w:t>
            </w:r>
          </w:p>
        </w:tc>
        <w:tc>
          <w:tcPr>
            <w:tcW w:w="420" w:type="dxa"/>
            <w:tcBorders>
              <w:top w:val="single" w:sz="4" w:space="0" w:color="auto"/>
              <w:left w:val="nil"/>
              <w:bottom w:val="single" w:sz="2" w:space="0" w:color="auto"/>
              <w:right w:val="nil"/>
            </w:tcBorders>
            <w:shd w:val="clear" w:color="auto" w:fill="auto"/>
            <w:noWrap/>
            <w:vAlign w:val="center"/>
          </w:tcPr>
          <w:p w14:paraId="06050102" w14:textId="77777777" w:rsidR="00F87E58" w:rsidRPr="00CC0F93" w:rsidRDefault="00F87E58" w:rsidP="00321B53">
            <w:pPr>
              <w:pStyle w:val="cuatexto"/>
              <w:spacing w:line="240" w:lineRule="auto"/>
              <w:ind w:left="-126"/>
              <w:jc w:val="right"/>
              <w:rPr>
                <w:sz w:val="14"/>
                <w:szCs w:val="14"/>
              </w:rPr>
            </w:pPr>
            <w:r>
              <w:rPr>
                <w:sz w:val="14"/>
              </w:rPr>
              <w:t xml:space="preserve">(2,54)</w:t>
            </w:r>
          </w:p>
        </w:tc>
        <w:tc>
          <w:tcPr>
            <w:tcW w:w="375" w:type="dxa"/>
            <w:tcBorders>
              <w:top w:val="single" w:sz="4" w:space="0" w:color="auto"/>
              <w:left w:val="nil"/>
              <w:bottom w:val="single" w:sz="2" w:space="0" w:color="auto"/>
              <w:right w:val="nil"/>
            </w:tcBorders>
            <w:shd w:val="clear" w:color="auto" w:fill="auto"/>
            <w:noWrap/>
            <w:vAlign w:val="center"/>
          </w:tcPr>
          <w:p w14:paraId="090465BF" w14:textId="77777777" w:rsidR="00F87E58" w:rsidRPr="00CC0F93" w:rsidRDefault="00F87E58" w:rsidP="00321B53">
            <w:pPr>
              <w:pStyle w:val="cuatexto"/>
              <w:spacing w:line="240" w:lineRule="auto"/>
              <w:ind w:left="-171"/>
              <w:jc w:val="right"/>
              <w:rPr>
                <w:sz w:val="14"/>
                <w:szCs w:val="14"/>
              </w:rPr>
            </w:pPr>
            <w:r>
              <w:rPr>
                <w:sz w:val="14"/>
              </w:rPr>
              <w:t xml:space="preserve">(2,44)</w:t>
            </w:r>
          </w:p>
        </w:tc>
        <w:tc>
          <w:tcPr>
            <w:tcW w:w="370" w:type="dxa"/>
            <w:tcBorders>
              <w:top w:val="single" w:sz="4" w:space="0" w:color="auto"/>
              <w:left w:val="nil"/>
              <w:bottom w:val="single" w:sz="2" w:space="0" w:color="auto"/>
              <w:right w:val="nil"/>
            </w:tcBorders>
            <w:shd w:val="clear" w:color="auto" w:fill="auto"/>
            <w:noWrap/>
            <w:vAlign w:val="center"/>
          </w:tcPr>
          <w:p w14:paraId="08C016D3" w14:textId="77777777" w:rsidR="00F87E58" w:rsidRPr="00CC0F93" w:rsidRDefault="00F87E58" w:rsidP="00321B53">
            <w:pPr>
              <w:pStyle w:val="cuatexto"/>
              <w:spacing w:line="240" w:lineRule="auto"/>
              <w:ind w:left="-176"/>
              <w:jc w:val="right"/>
              <w:rPr>
                <w:sz w:val="14"/>
                <w:szCs w:val="14"/>
              </w:rPr>
            </w:pPr>
            <w:r>
              <w:rPr>
                <w:sz w:val="14"/>
              </w:rPr>
              <w:t xml:space="preserve">(2,69)</w:t>
            </w:r>
          </w:p>
        </w:tc>
        <w:tc>
          <w:tcPr>
            <w:tcW w:w="400" w:type="dxa"/>
            <w:tcBorders>
              <w:top w:val="single" w:sz="4" w:space="0" w:color="auto"/>
              <w:left w:val="nil"/>
              <w:bottom w:val="single" w:sz="2" w:space="0" w:color="auto"/>
              <w:right w:val="nil"/>
            </w:tcBorders>
            <w:shd w:val="clear" w:color="auto" w:fill="auto"/>
            <w:noWrap/>
            <w:vAlign w:val="center"/>
          </w:tcPr>
          <w:p w14:paraId="4C38463D" w14:textId="77777777" w:rsidR="00F87E58" w:rsidRPr="00CC0F93" w:rsidRDefault="00F87E58" w:rsidP="00321B53">
            <w:pPr>
              <w:pStyle w:val="cuatexto"/>
              <w:spacing w:line="240" w:lineRule="auto"/>
              <w:ind w:left="-146"/>
              <w:jc w:val="right"/>
              <w:rPr>
                <w:sz w:val="14"/>
                <w:szCs w:val="14"/>
              </w:rPr>
            </w:pPr>
            <w:r>
              <w:rPr>
                <w:sz w:val="14"/>
              </w:rPr>
              <w:t xml:space="preserve">(3,34)</w:t>
            </w:r>
          </w:p>
        </w:tc>
        <w:tc>
          <w:tcPr>
            <w:tcW w:w="476" w:type="dxa"/>
            <w:tcBorders>
              <w:top w:val="single" w:sz="4" w:space="0" w:color="auto"/>
              <w:left w:val="nil"/>
              <w:bottom w:val="single" w:sz="2" w:space="0" w:color="auto"/>
              <w:right w:val="nil"/>
            </w:tcBorders>
            <w:shd w:val="clear" w:color="auto" w:fill="auto"/>
            <w:noWrap/>
            <w:vAlign w:val="center"/>
          </w:tcPr>
          <w:p w14:paraId="25EB64BC" w14:textId="77777777" w:rsidR="00F87E58" w:rsidRPr="00CC0F93" w:rsidRDefault="00F87E58" w:rsidP="00321B53">
            <w:pPr>
              <w:pStyle w:val="cuatexto"/>
              <w:spacing w:line="240" w:lineRule="auto"/>
              <w:ind w:left="-70"/>
              <w:jc w:val="right"/>
              <w:rPr>
                <w:sz w:val="14"/>
                <w:szCs w:val="14"/>
              </w:rPr>
            </w:pPr>
            <w:r>
              <w:rPr>
                <w:sz w:val="14"/>
              </w:rPr>
              <w:t xml:space="preserve">(2,00)</w:t>
            </w:r>
          </w:p>
        </w:tc>
        <w:tc>
          <w:tcPr>
            <w:tcW w:w="422" w:type="dxa"/>
            <w:tcBorders>
              <w:top w:val="single" w:sz="4" w:space="0" w:color="auto"/>
              <w:left w:val="nil"/>
              <w:bottom w:val="single" w:sz="2" w:space="0" w:color="auto"/>
              <w:right w:val="nil"/>
            </w:tcBorders>
            <w:shd w:val="clear" w:color="auto" w:fill="auto"/>
            <w:noWrap/>
            <w:vAlign w:val="center"/>
          </w:tcPr>
          <w:p w14:paraId="52843A37" w14:textId="77777777" w:rsidR="00F87E58" w:rsidRPr="00CC0F93" w:rsidRDefault="00F87E58" w:rsidP="00321B53">
            <w:pPr>
              <w:pStyle w:val="cuatexto"/>
              <w:spacing w:line="240" w:lineRule="auto"/>
              <w:ind w:left="-124"/>
              <w:jc w:val="right"/>
              <w:rPr>
                <w:sz w:val="14"/>
                <w:szCs w:val="14"/>
              </w:rPr>
            </w:pPr>
            <w:r>
              <w:rPr>
                <w:sz w:val="14"/>
              </w:rPr>
              <w:t xml:space="preserve">(2,21)</w:t>
            </w:r>
          </w:p>
        </w:tc>
      </w:tr>
      <w:tr w:rsidR="00F87E58" w:rsidRPr="00CC0F93" w14:paraId="4BF39FC1" w14:textId="77777777" w:rsidTr="00321B53">
        <w:trPr>
          <w:trHeight w:val="198"/>
          <w:jc w:val="center"/>
        </w:trPr>
        <w:tc>
          <w:tcPr>
            <w:tcW w:w="1179" w:type="dxa"/>
            <w:tcBorders>
              <w:top w:val="single" w:sz="2" w:space="0" w:color="auto"/>
              <w:bottom w:val="single" w:sz="4" w:space="0" w:color="auto"/>
              <w:right w:val="nil"/>
            </w:tcBorders>
            <w:shd w:val="clear" w:color="auto" w:fill="auto"/>
            <w:noWrap/>
            <w:vAlign w:val="center"/>
          </w:tcPr>
          <w:p w14:paraId="443BF3EF" w14:textId="77777777" w:rsidR="00F87E58" w:rsidRPr="00143FB3" w:rsidRDefault="00F87E58" w:rsidP="00321B53">
            <w:pPr>
              <w:pStyle w:val="cuatexto"/>
              <w:spacing w:line="240" w:lineRule="auto"/>
              <w:rPr>
                <w:sz w:val="12"/>
                <w:szCs w:val="12"/>
              </w:rPr>
            </w:pPr>
            <w:r>
              <w:rPr>
                <w:sz w:val="12"/>
              </w:rPr>
              <w:t xml:space="preserve">Maileguen</w:t>
            </w:r>
            <w:r>
              <w:rPr>
                <w:sz w:val="12"/>
              </w:rPr>
              <w:t xml:space="preserve"> </w:t>
            </w:r>
          </w:p>
          <w:p w14:paraId="4B09DFE8" w14:textId="77777777" w:rsidR="00F87E58" w:rsidRPr="00143FB3" w:rsidRDefault="00F87E58" w:rsidP="00321B53">
            <w:pPr>
              <w:pStyle w:val="cuatexto"/>
              <w:spacing w:line="240" w:lineRule="auto"/>
              <w:rPr>
                <w:sz w:val="12"/>
                <w:szCs w:val="12"/>
              </w:rPr>
            </w:pPr>
            <w:r>
              <w:rPr>
                <w:sz w:val="12"/>
              </w:rPr>
              <w:t xml:space="preserve">urteko narriadura</w:t>
            </w:r>
          </w:p>
        </w:tc>
        <w:tc>
          <w:tcPr>
            <w:tcW w:w="440" w:type="dxa"/>
            <w:tcBorders>
              <w:top w:val="single" w:sz="2" w:space="0" w:color="auto"/>
              <w:left w:val="nil"/>
              <w:bottom w:val="single" w:sz="4" w:space="0" w:color="auto"/>
              <w:right w:val="nil"/>
            </w:tcBorders>
            <w:shd w:val="clear" w:color="auto" w:fill="auto"/>
            <w:noWrap/>
            <w:vAlign w:val="center"/>
          </w:tcPr>
          <w:p w14:paraId="54DF9714" w14:textId="77777777" w:rsidR="00F87E58" w:rsidRPr="00CC0F93" w:rsidRDefault="00F87E58" w:rsidP="00F87E58">
            <w:pPr>
              <w:pStyle w:val="cuatexto"/>
              <w:jc w:val="right"/>
              <w:rPr>
                <w:sz w:val="14"/>
                <w:szCs w:val="14"/>
              </w:rPr>
            </w:pPr>
            <w:r>
              <w:rPr>
                <w:sz w:val="14"/>
              </w:rPr>
              <w:t xml:space="preserve">0,00</w:t>
            </w:r>
          </w:p>
        </w:tc>
        <w:tc>
          <w:tcPr>
            <w:tcW w:w="434" w:type="dxa"/>
            <w:tcBorders>
              <w:top w:val="single" w:sz="2" w:space="0" w:color="auto"/>
              <w:left w:val="nil"/>
              <w:bottom w:val="single" w:sz="4" w:space="0" w:color="auto"/>
              <w:right w:val="nil"/>
            </w:tcBorders>
            <w:shd w:val="clear" w:color="auto" w:fill="auto"/>
            <w:noWrap/>
            <w:vAlign w:val="center"/>
          </w:tcPr>
          <w:p w14:paraId="20B3C544" w14:textId="77777777" w:rsidR="00F87E58" w:rsidRPr="00CC0F93" w:rsidRDefault="00F87E58" w:rsidP="00F87E58">
            <w:pPr>
              <w:pStyle w:val="cuatexto"/>
              <w:ind w:left="-167"/>
              <w:jc w:val="right"/>
              <w:rPr>
                <w:sz w:val="14"/>
                <w:szCs w:val="14"/>
              </w:rPr>
            </w:pPr>
            <w:r>
              <w:rPr>
                <w:sz w:val="14"/>
              </w:rPr>
              <w:t xml:space="preserve">0,00</w:t>
            </w:r>
          </w:p>
        </w:tc>
        <w:tc>
          <w:tcPr>
            <w:tcW w:w="476" w:type="dxa"/>
            <w:tcBorders>
              <w:top w:val="single" w:sz="2" w:space="0" w:color="auto"/>
              <w:left w:val="nil"/>
              <w:bottom w:val="single" w:sz="4" w:space="0" w:color="auto"/>
              <w:right w:val="nil"/>
            </w:tcBorders>
            <w:shd w:val="clear" w:color="auto" w:fill="auto"/>
            <w:noWrap/>
            <w:vAlign w:val="center"/>
          </w:tcPr>
          <w:p w14:paraId="2BA383DE" w14:textId="77777777" w:rsidR="00F87E58" w:rsidRPr="00CC0F93" w:rsidRDefault="00F87E58" w:rsidP="00F87E58">
            <w:pPr>
              <w:pStyle w:val="cuatexto"/>
              <w:jc w:val="right"/>
              <w:rPr>
                <w:sz w:val="14"/>
                <w:szCs w:val="14"/>
              </w:rPr>
            </w:pPr>
            <w:r>
              <w:rPr>
                <w:sz w:val="14"/>
              </w:rPr>
              <w:t xml:space="preserve">0,00</w:t>
            </w:r>
          </w:p>
        </w:tc>
        <w:tc>
          <w:tcPr>
            <w:tcW w:w="522" w:type="dxa"/>
            <w:tcBorders>
              <w:top w:val="single" w:sz="2" w:space="0" w:color="auto"/>
              <w:left w:val="nil"/>
              <w:bottom w:val="single" w:sz="4" w:space="0" w:color="auto"/>
              <w:right w:val="nil"/>
            </w:tcBorders>
            <w:shd w:val="clear" w:color="auto" w:fill="auto"/>
            <w:noWrap/>
            <w:vAlign w:val="center"/>
          </w:tcPr>
          <w:p w14:paraId="3B069E09" w14:textId="77777777" w:rsidR="00F87E58" w:rsidRPr="00CC0F93" w:rsidRDefault="00F87E58" w:rsidP="00F87E58">
            <w:pPr>
              <w:pStyle w:val="cuatexto"/>
              <w:jc w:val="right"/>
              <w:rPr>
                <w:sz w:val="14"/>
                <w:szCs w:val="14"/>
              </w:rPr>
            </w:pPr>
            <w:r>
              <w:rPr>
                <w:sz w:val="14"/>
              </w:rPr>
              <w:t xml:space="preserve">0,00</w:t>
            </w:r>
          </w:p>
        </w:tc>
        <w:tc>
          <w:tcPr>
            <w:tcW w:w="476" w:type="dxa"/>
            <w:tcBorders>
              <w:top w:val="single" w:sz="2" w:space="0" w:color="auto"/>
              <w:left w:val="nil"/>
              <w:bottom w:val="single" w:sz="4" w:space="0" w:color="auto"/>
              <w:right w:val="nil"/>
            </w:tcBorders>
            <w:shd w:val="clear" w:color="auto" w:fill="auto"/>
            <w:noWrap/>
            <w:vAlign w:val="center"/>
          </w:tcPr>
          <w:p w14:paraId="07E99691" w14:textId="77777777" w:rsidR="00F87E58" w:rsidRPr="00CC0F93" w:rsidRDefault="00F87E58" w:rsidP="00F87E58">
            <w:pPr>
              <w:pStyle w:val="cuatexto"/>
              <w:jc w:val="right"/>
              <w:rPr>
                <w:sz w:val="14"/>
                <w:szCs w:val="14"/>
              </w:rPr>
            </w:pPr>
            <w:r>
              <w:rPr>
                <w:sz w:val="14"/>
              </w:rPr>
              <w:t xml:space="preserve">(4,04)</w:t>
            </w:r>
          </w:p>
        </w:tc>
        <w:tc>
          <w:tcPr>
            <w:tcW w:w="476" w:type="dxa"/>
            <w:tcBorders>
              <w:top w:val="single" w:sz="2" w:space="0" w:color="auto"/>
              <w:left w:val="nil"/>
              <w:bottom w:val="single" w:sz="4" w:space="0" w:color="auto"/>
              <w:right w:val="nil"/>
            </w:tcBorders>
            <w:shd w:val="clear" w:color="auto" w:fill="auto"/>
            <w:noWrap/>
            <w:vAlign w:val="center"/>
          </w:tcPr>
          <w:p w14:paraId="2741DD3E" w14:textId="77777777" w:rsidR="00F87E58" w:rsidRPr="00CC0F93" w:rsidRDefault="00F87E58" w:rsidP="00F87E58">
            <w:pPr>
              <w:pStyle w:val="cuatexto"/>
              <w:jc w:val="right"/>
              <w:rPr>
                <w:sz w:val="14"/>
                <w:szCs w:val="14"/>
              </w:rPr>
            </w:pPr>
            <w:r>
              <w:rPr>
                <w:sz w:val="14"/>
              </w:rPr>
              <w:t xml:space="preserve">(2,38)</w:t>
            </w:r>
          </w:p>
        </w:tc>
        <w:tc>
          <w:tcPr>
            <w:tcW w:w="467" w:type="dxa"/>
            <w:tcBorders>
              <w:top w:val="single" w:sz="2" w:space="0" w:color="auto"/>
              <w:left w:val="nil"/>
              <w:bottom w:val="single" w:sz="4" w:space="0" w:color="auto"/>
              <w:right w:val="nil"/>
            </w:tcBorders>
            <w:shd w:val="clear" w:color="auto" w:fill="auto"/>
            <w:noWrap/>
            <w:vAlign w:val="center"/>
          </w:tcPr>
          <w:p w14:paraId="24D15F94" w14:textId="77777777" w:rsidR="00F87E58" w:rsidRPr="00CC0F93" w:rsidRDefault="00F87E58" w:rsidP="00F87E58">
            <w:pPr>
              <w:pStyle w:val="cuatexto"/>
              <w:ind w:left="-124" w:right="-20"/>
              <w:jc w:val="right"/>
              <w:rPr>
                <w:sz w:val="14"/>
                <w:szCs w:val="14"/>
              </w:rPr>
            </w:pPr>
            <w:r>
              <w:rPr>
                <w:sz w:val="14"/>
              </w:rPr>
              <w:t xml:space="preserve">(4,01)</w:t>
            </w:r>
          </w:p>
        </w:tc>
        <w:tc>
          <w:tcPr>
            <w:tcW w:w="467" w:type="dxa"/>
            <w:tcBorders>
              <w:top w:val="single" w:sz="2" w:space="0" w:color="auto"/>
              <w:left w:val="nil"/>
              <w:bottom w:val="single" w:sz="4" w:space="0" w:color="auto"/>
              <w:right w:val="nil"/>
            </w:tcBorders>
            <w:shd w:val="clear" w:color="auto" w:fill="auto"/>
            <w:noWrap/>
            <w:vAlign w:val="center"/>
          </w:tcPr>
          <w:p w14:paraId="0F4C7242" w14:textId="77777777" w:rsidR="00F87E58" w:rsidRPr="00CC0F93" w:rsidRDefault="00F87E58" w:rsidP="00F87E58">
            <w:pPr>
              <w:pStyle w:val="cuatexto"/>
              <w:ind w:left="-122" w:right="-36"/>
              <w:jc w:val="right"/>
              <w:rPr>
                <w:sz w:val="14"/>
                <w:szCs w:val="14"/>
              </w:rPr>
            </w:pPr>
            <w:r>
              <w:rPr>
                <w:sz w:val="14"/>
              </w:rPr>
              <w:t xml:space="preserve">(3,83)</w:t>
            </w:r>
          </w:p>
        </w:tc>
        <w:tc>
          <w:tcPr>
            <w:tcW w:w="467" w:type="dxa"/>
            <w:tcBorders>
              <w:top w:val="single" w:sz="2" w:space="0" w:color="auto"/>
              <w:left w:val="nil"/>
              <w:bottom w:val="single" w:sz="4" w:space="0" w:color="auto"/>
              <w:right w:val="nil"/>
            </w:tcBorders>
            <w:shd w:val="clear" w:color="auto" w:fill="auto"/>
            <w:noWrap/>
            <w:vAlign w:val="center"/>
          </w:tcPr>
          <w:p w14:paraId="02C7F804" w14:textId="77777777" w:rsidR="00F87E58" w:rsidRPr="00CC0F93" w:rsidRDefault="00F87E58" w:rsidP="00F87E58">
            <w:pPr>
              <w:pStyle w:val="cuatexto"/>
              <w:ind w:left="-121" w:right="-38"/>
              <w:jc w:val="right"/>
              <w:rPr>
                <w:sz w:val="14"/>
                <w:szCs w:val="14"/>
              </w:rPr>
            </w:pPr>
            <w:r>
              <w:rPr>
                <w:sz w:val="14"/>
              </w:rPr>
              <w:t xml:space="preserve">(2,75)</w:t>
            </w:r>
          </w:p>
        </w:tc>
        <w:tc>
          <w:tcPr>
            <w:tcW w:w="428" w:type="dxa"/>
            <w:tcBorders>
              <w:top w:val="single" w:sz="2" w:space="0" w:color="auto"/>
              <w:left w:val="nil"/>
              <w:bottom w:val="single" w:sz="4" w:space="0" w:color="auto"/>
              <w:right w:val="nil"/>
            </w:tcBorders>
            <w:shd w:val="clear" w:color="auto" w:fill="auto"/>
            <w:noWrap/>
            <w:vAlign w:val="center"/>
          </w:tcPr>
          <w:p w14:paraId="4C82611B" w14:textId="77777777" w:rsidR="00F87E58" w:rsidRPr="00CC0F93" w:rsidRDefault="00F87E58" w:rsidP="00F87E58">
            <w:pPr>
              <w:pStyle w:val="cuatexto"/>
              <w:ind w:left="-118" w:right="-40"/>
              <w:jc w:val="right"/>
              <w:rPr>
                <w:sz w:val="14"/>
                <w:szCs w:val="14"/>
              </w:rPr>
            </w:pPr>
            <w:r>
              <w:rPr>
                <w:sz w:val="14"/>
              </w:rPr>
              <w:t xml:space="preserve">(2,82)</w:t>
            </w:r>
          </w:p>
        </w:tc>
        <w:tc>
          <w:tcPr>
            <w:tcW w:w="474" w:type="dxa"/>
            <w:tcBorders>
              <w:top w:val="single" w:sz="2" w:space="0" w:color="auto"/>
              <w:left w:val="nil"/>
              <w:bottom w:val="single" w:sz="4" w:space="0" w:color="auto"/>
              <w:right w:val="nil"/>
            </w:tcBorders>
            <w:shd w:val="clear" w:color="auto" w:fill="auto"/>
            <w:noWrap/>
            <w:vAlign w:val="center"/>
          </w:tcPr>
          <w:p w14:paraId="40D436BB" w14:textId="77777777" w:rsidR="00F87E58" w:rsidRPr="00CC0F93" w:rsidRDefault="00F87E58" w:rsidP="00F87E58">
            <w:pPr>
              <w:pStyle w:val="cuatexto"/>
              <w:ind w:left="-72"/>
              <w:jc w:val="right"/>
              <w:rPr>
                <w:sz w:val="14"/>
                <w:szCs w:val="14"/>
              </w:rPr>
            </w:pPr>
            <w:r>
              <w:rPr>
                <w:sz w:val="14"/>
              </w:rPr>
              <w:t xml:space="preserve">(4,35)</w:t>
            </w:r>
          </w:p>
        </w:tc>
        <w:tc>
          <w:tcPr>
            <w:tcW w:w="482" w:type="dxa"/>
            <w:tcBorders>
              <w:top w:val="single" w:sz="2" w:space="0" w:color="auto"/>
              <w:left w:val="nil"/>
              <w:bottom w:val="single" w:sz="4" w:space="0" w:color="auto"/>
              <w:right w:val="nil"/>
            </w:tcBorders>
            <w:shd w:val="clear" w:color="auto" w:fill="auto"/>
            <w:noWrap/>
            <w:vAlign w:val="center"/>
          </w:tcPr>
          <w:p w14:paraId="28448052" w14:textId="77777777" w:rsidR="00F87E58" w:rsidRPr="00CC0F93" w:rsidRDefault="00F87E58" w:rsidP="00F87E58">
            <w:pPr>
              <w:pStyle w:val="cuatexto"/>
              <w:ind w:left="-64"/>
              <w:jc w:val="right"/>
              <w:rPr>
                <w:sz w:val="14"/>
                <w:szCs w:val="14"/>
              </w:rPr>
            </w:pPr>
            <w:r>
              <w:rPr>
                <w:sz w:val="14"/>
              </w:rPr>
              <w:t xml:space="preserve">(4,03)</w:t>
            </w:r>
          </w:p>
        </w:tc>
        <w:tc>
          <w:tcPr>
            <w:tcW w:w="400" w:type="dxa"/>
            <w:tcBorders>
              <w:top w:val="single" w:sz="2" w:space="0" w:color="auto"/>
              <w:left w:val="nil"/>
              <w:bottom w:val="single" w:sz="4" w:space="0" w:color="auto"/>
              <w:right w:val="nil"/>
            </w:tcBorders>
            <w:shd w:val="clear" w:color="auto" w:fill="auto"/>
            <w:noWrap/>
            <w:vAlign w:val="center"/>
          </w:tcPr>
          <w:p w14:paraId="66FBA234" w14:textId="77777777" w:rsidR="00F87E58" w:rsidRPr="00CC0F93" w:rsidRDefault="00F87E58" w:rsidP="00F87E58">
            <w:pPr>
              <w:pStyle w:val="cuatexto"/>
              <w:ind w:left="-146"/>
              <w:jc w:val="right"/>
              <w:rPr>
                <w:sz w:val="14"/>
                <w:szCs w:val="14"/>
              </w:rPr>
            </w:pPr>
            <w:r>
              <w:rPr>
                <w:sz w:val="14"/>
              </w:rPr>
              <w:t xml:space="preserve">(4,00)</w:t>
            </w:r>
          </w:p>
        </w:tc>
        <w:tc>
          <w:tcPr>
            <w:tcW w:w="467" w:type="dxa"/>
            <w:tcBorders>
              <w:top w:val="single" w:sz="2" w:space="0" w:color="auto"/>
              <w:left w:val="nil"/>
              <w:bottom w:val="single" w:sz="4" w:space="0" w:color="auto"/>
              <w:right w:val="nil"/>
            </w:tcBorders>
            <w:shd w:val="clear" w:color="auto" w:fill="auto"/>
            <w:noWrap/>
            <w:vAlign w:val="center"/>
          </w:tcPr>
          <w:p w14:paraId="5E8A8B9E" w14:textId="77777777" w:rsidR="00F87E58" w:rsidRPr="00CC0F93" w:rsidRDefault="00F87E58" w:rsidP="00F87E58">
            <w:pPr>
              <w:pStyle w:val="cuatexto"/>
              <w:ind w:left="-81" w:hanging="70"/>
              <w:jc w:val="right"/>
              <w:rPr>
                <w:sz w:val="14"/>
                <w:szCs w:val="14"/>
              </w:rPr>
            </w:pPr>
            <w:r>
              <w:rPr>
                <w:sz w:val="14"/>
              </w:rPr>
              <w:t xml:space="preserve">(2,68)</w:t>
            </w:r>
          </w:p>
        </w:tc>
        <w:tc>
          <w:tcPr>
            <w:tcW w:w="460" w:type="dxa"/>
            <w:tcBorders>
              <w:top w:val="single" w:sz="2" w:space="0" w:color="auto"/>
              <w:left w:val="nil"/>
              <w:bottom w:val="single" w:sz="4" w:space="0" w:color="auto"/>
              <w:right w:val="nil"/>
            </w:tcBorders>
            <w:shd w:val="clear" w:color="auto" w:fill="auto"/>
            <w:noWrap/>
            <w:vAlign w:val="center"/>
          </w:tcPr>
          <w:p w14:paraId="041B075E" w14:textId="77777777" w:rsidR="00F87E58" w:rsidRPr="00CC0F93" w:rsidRDefault="00F87E58" w:rsidP="00F87E58">
            <w:pPr>
              <w:pStyle w:val="cuatexto"/>
              <w:ind w:left="-86"/>
              <w:jc w:val="right"/>
              <w:rPr>
                <w:sz w:val="14"/>
                <w:szCs w:val="14"/>
              </w:rPr>
            </w:pPr>
            <w:r>
              <w:rPr>
                <w:sz w:val="14"/>
              </w:rPr>
              <w:t xml:space="preserve">(2,91)</w:t>
            </w:r>
          </w:p>
        </w:tc>
        <w:tc>
          <w:tcPr>
            <w:tcW w:w="440" w:type="dxa"/>
            <w:tcBorders>
              <w:top w:val="single" w:sz="2" w:space="0" w:color="auto"/>
              <w:left w:val="nil"/>
              <w:bottom w:val="single" w:sz="4" w:space="0" w:color="auto"/>
              <w:right w:val="nil"/>
            </w:tcBorders>
            <w:shd w:val="clear" w:color="auto" w:fill="auto"/>
            <w:noWrap/>
            <w:vAlign w:val="center"/>
          </w:tcPr>
          <w:p w14:paraId="1BF641E5" w14:textId="77777777" w:rsidR="00F87E58" w:rsidRPr="00CC0F93" w:rsidRDefault="00F87E58" w:rsidP="00F87E58">
            <w:pPr>
              <w:pStyle w:val="cuatexto"/>
              <w:ind w:left="-106"/>
              <w:jc w:val="right"/>
              <w:rPr>
                <w:sz w:val="14"/>
                <w:szCs w:val="14"/>
              </w:rPr>
            </w:pPr>
            <w:r>
              <w:rPr>
                <w:sz w:val="14"/>
              </w:rPr>
              <w:t xml:space="preserve">(2,71)</w:t>
            </w:r>
          </w:p>
        </w:tc>
        <w:tc>
          <w:tcPr>
            <w:tcW w:w="420" w:type="dxa"/>
            <w:tcBorders>
              <w:top w:val="single" w:sz="2" w:space="0" w:color="auto"/>
              <w:left w:val="nil"/>
              <w:bottom w:val="single" w:sz="4" w:space="0" w:color="auto"/>
              <w:right w:val="nil"/>
            </w:tcBorders>
            <w:shd w:val="clear" w:color="auto" w:fill="auto"/>
            <w:noWrap/>
            <w:vAlign w:val="center"/>
          </w:tcPr>
          <w:p w14:paraId="514AB021" w14:textId="77777777" w:rsidR="00F87E58" w:rsidRPr="00CC0F93" w:rsidRDefault="00F87E58" w:rsidP="00F87E58">
            <w:pPr>
              <w:pStyle w:val="cuatexto"/>
              <w:ind w:left="-126"/>
              <w:jc w:val="right"/>
              <w:rPr>
                <w:sz w:val="14"/>
                <w:szCs w:val="14"/>
              </w:rPr>
            </w:pPr>
            <w:r>
              <w:rPr>
                <w:sz w:val="14"/>
              </w:rPr>
              <w:t xml:space="preserve">(2,49)</w:t>
            </w:r>
          </w:p>
        </w:tc>
        <w:tc>
          <w:tcPr>
            <w:tcW w:w="375" w:type="dxa"/>
            <w:tcBorders>
              <w:top w:val="single" w:sz="2" w:space="0" w:color="auto"/>
              <w:left w:val="nil"/>
              <w:bottom w:val="single" w:sz="4" w:space="0" w:color="auto"/>
              <w:right w:val="nil"/>
            </w:tcBorders>
            <w:shd w:val="clear" w:color="auto" w:fill="auto"/>
            <w:noWrap/>
            <w:vAlign w:val="center"/>
          </w:tcPr>
          <w:p w14:paraId="3953B5D5" w14:textId="77777777" w:rsidR="00F87E58" w:rsidRPr="00CC0F93" w:rsidRDefault="00F87E58" w:rsidP="00F87E58">
            <w:pPr>
              <w:pStyle w:val="cuatexto"/>
              <w:ind w:left="-171"/>
              <w:jc w:val="right"/>
              <w:rPr>
                <w:sz w:val="14"/>
                <w:szCs w:val="14"/>
              </w:rPr>
            </w:pPr>
            <w:r>
              <w:rPr>
                <w:sz w:val="14"/>
              </w:rPr>
              <w:t xml:space="preserve">(2,36)</w:t>
            </w:r>
          </w:p>
        </w:tc>
        <w:tc>
          <w:tcPr>
            <w:tcW w:w="370" w:type="dxa"/>
            <w:tcBorders>
              <w:top w:val="single" w:sz="2" w:space="0" w:color="auto"/>
              <w:left w:val="nil"/>
              <w:bottom w:val="single" w:sz="4" w:space="0" w:color="auto"/>
              <w:right w:val="nil"/>
            </w:tcBorders>
            <w:shd w:val="clear" w:color="auto" w:fill="auto"/>
            <w:noWrap/>
            <w:vAlign w:val="center"/>
          </w:tcPr>
          <w:p w14:paraId="5B739008" w14:textId="77777777" w:rsidR="00F87E58" w:rsidRPr="00CC0F93" w:rsidRDefault="00F87E58" w:rsidP="00F87E58">
            <w:pPr>
              <w:pStyle w:val="cuatexto"/>
              <w:ind w:left="-176"/>
              <w:jc w:val="right"/>
              <w:rPr>
                <w:sz w:val="14"/>
                <w:szCs w:val="14"/>
              </w:rPr>
            </w:pPr>
            <w:r>
              <w:rPr>
                <w:sz w:val="14"/>
              </w:rPr>
              <w:t xml:space="preserve">(2,85)</w:t>
            </w:r>
          </w:p>
        </w:tc>
        <w:tc>
          <w:tcPr>
            <w:tcW w:w="400" w:type="dxa"/>
            <w:tcBorders>
              <w:top w:val="single" w:sz="2" w:space="0" w:color="auto"/>
              <w:left w:val="nil"/>
              <w:bottom w:val="single" w:sz="4" w:space="0" w:color="auto"/>
              <w:right w:val="nil"/>
            </w:tcBorders>
            <w:shd w:val="clear" w:color="auto" w:fill="auto"/>
            <w:noWrap/>
            <w:vAlign w:val="center"/>
          </w:tcPr>
          <w:p w14:paraId="7B697312" w14:textId="77777777" w:rsidR="00F87E58" w:rsidRPr="00CC0F93" w:rsidRDefault="00F87E58" w:rsidP="00F87E58">
            <w:pPr>
              <w:pStyle w:val="cuatexto"/>
              <w:ind w:left="-146"/>
              <w:jc w:val="right"/>
              <w:rPr>
                <w:sz w:val="14"/>
                <w:szCs w:val="14"/>
              </w:rPr>
            </w:pPr>
            <w:r>
              <w:rPr>
                <w:sz w:val="14"/>
              </w:rPr>
              <w:t xml:space="preserve">(3,35)</w:t>
            </w:r>
          </w:p>
        </w:tc>
        <w:tc>
          <w:tcPr>
            <w:tcW w:w="476" w:type="dxa"/>
            <w:tcBorders>
              <w:top w:val="single" w:sz="2" w:space="0" w:color="auto"/>
              <w:left w:val="nil"/>
              <w:bottom w:val="single" w:sz="4" w:space="0" w:color="auto"/>
              <w:right w:val="nil"/>
            </w:tcBorders>
            <w:shd w:val="clear" w:color="auto" w:fill="auto"/>
            <w:noWrap/>
            <w:vAlign w:val="center"/>
          </w:tcPr>
          <w:p w14:paraId="17707686" w14:textId="77777777" w:rsidR="00F87E58" w:rsidRPr="00CC0F93" w:rsidRDefault="00F87E58" w:rsidP="00F87E58">
            <w:pPr>
              <w:pStyle w:val="cuatexto"/>
              <w:ind w:left="-70"/>
              <w:jc w:val="right"/>
              <w:rPr>
                <w:sz w:val="14"/>
                <w:szCs w:val="14"/>
              </w:rPr>
            </w:pPr>
            <w:r>
              <w:rPr>
                <w:sz w:val="14"/>
              </w:rPr>
              <w:t xml:space="preserve">(1,99)</w:t>
            </w:r>
          </w:p>
        </w:tc>
        <w:tc>
          <w:tcPr>
            <w:tcW w:w="422" w:type="dxa"/>
            <w:tcBorders>
              <w:top w:val="single" w:sz="2" w:space="0" w:color="auto"/>
              <w:left w:val="nil"/>
              <w:bottom w:val="single" w:sz="4" w:space="0" w:color="auto"/>
              <w:right w:val="nil"/>
            </w:tcBorders>
            <w:shd w:val="clear" w:color="auto" w:fill="auto"/>
            <w:noWrap/>
            <w:vAlign w:val="center"/>
          </w:tcPr>
          <w:p w14:paraId="507FA541" w14:textId="77777777" w:rsidR="00F87E58" w:rsidRPr="00CC0F93" w:rsidRDefault="00F87E58" w:rsidP="00F87E58">
            <w:pPr>
              <w:pStyle w:val="cuatexto"/>
              <w:ind w:left="-124"/>
              <w:jc w:val="right"/>
              <w:rPr>
                <w:sz w:val="14"/>
                <w:szCs w:val="14"/>
              </w:rPr>
            </w:pPr>
            <w:r>
              <w:rPr>
                <w:sz w:val="14"/>
              </w:rPr>
              <w:t xml:space="preserve">(2,22)</w:t>
            </w:r>
          </w:p>
        </w:tc>
      </w:tr>
      <w:tr w:rsidR="00F87E58" w:rsidRPr="00CC0F93" w14:paraId="21E9C1DD" w14:textId="77777777" w:rsidTr="00321B53">
        <w:trPr>
          <w:trHeight w:val="198"/>
          <w:jc w:val="center"/>
        </w:trPr>
        <w:tc>
          <w:tcPr>
            <w:tcW w:w="1179" w:type="dxa"/>
            <w:tcBorders>
              <w:top w:val="single" w:sz="4" w:space="0" w:color="auto"/>
              <w:bottom w:val="single" w:sz="4" w:space="0" w:color="auto"/>
              <w:right w:val="nil"/>
            </w:tcBorders>
            <w:shd w:val="clear" w:color="auto" w:fill="auto"/>
            <w:noWrap/>
            <w:vAlign w:val="center"/>
          </w:tcPr>
          <w:p w14:paraId="5C449397" w14:textId="77777777" w:rsidR="00F87E58" w:rsidRPr="00143FB3" w:rsidRDefault="00F87E58" w:rsidP="00321B53">
            <w:pPr>
              <w:pStyle w:val="cuatexto"/>
              <w:spacing w:line="240" w:lineRule="auto"/>
              <w:rPr>
                <w:sz w:val="12"/>
                <w:szCs w:val="12"/>
              </w:rPr>
            </w:pPr>
            <w:r>
              <w:rPr>
                <w:sz w:val="12"/>
              </w:rPr>
              <w:t xml:space="preserve">Maileguen narriadura metatua</w:t>
            </w:r>
            <w:r>
              <w:rPr>
                <w:sz w:val="12"/>
              </w:rPr>
              <w:t xml:space="preserve"> </w:t>
            </w:r>
          </w:p>
        </w:tc>
        <w:tc>
          <w:tcPr>
            <w:tcW w:w="440" w:type="dxa"/>
            <w:tcBorders>
              <w:top w:val="single" w:sz="4" w:space="0" w:color="auto"/>
              <w:left w:val="nil"/>
              <w:bottom w:val="single" w:sz="4" w:space="0" w:color="auto"/>
              <w:right w:val="nil"/>
            </w:tcBorders>
            <w:shd w:val="clear" w:color="auto" w:fill="auto"/>
            <w:noWrap/>
            <w:vAlign w:val="center"/>
          </w:tcPr>
          <w:p w14:paraId="4DDEF7F3" w14:textId="77777777" w:rsidR="00F87E58" w:rsidRPr="00CC0F93" w:rsidRDefault="00F87E58" w:rsidP="00F87E58">
            <w:pPr>
              <w:pStyle w:val="cuatexto"/>
              <w:jc w:val="right"/>
              <w:rPr>
                <w:sz w:val="14"/>
                <w:szCs w:val="14"/>
              </w:rPr>
            </w:pPr>
            <w:r>
              <w:rPr>
                <w:sz w:val="14"/>
              </w:rPr>
              <w:t xml:space="preserve">0,00</w:t>
            </w:r>
          </w:p>
        </w:tc>
        <w:tc>
          <w:tcPr>
            <w:tcW w:w="434" w:type="dxa"/>
            <w:tcBorders>
              <w:top w:val="single" w:sz="4" w:space="0" w:color="auto"/>
              <w:left w:val="nil"/>
              <w:bottom w:val="single" w:sz="4" w:space="0" w:color="auto"/>
              <w:right w:val="nil"/>
            </w:tcBorders>
            <w:shd w:val="clear" w:color="auto" w:fill="auto"/>
            <w:noWrap/>
            <w:vAlign w:val="center"/>
          </w:tcPr>
          <w:p w14:paraId="7DDAF4EC" w14:textId="77777777" w:rsidR="00F87E58" w:rsidRPr="00CC0F93" w:rsidRDefault="00F87E58" w:rsidP="00F87E58">
            <w:pPr>
              <w:pStyle w:val="cuatexto"/>
              <w:ind w:left="-167"/>
              <w:jc w:val="right"/>
              <w:rPr>
                <w:sz w:val="14"/>
                <w:szCs w:val="14"/>
              </w:rPr>
            </w:pPr>
            <w:r>
              <w:rPr>
                <w:sz w:val="14"/>
              </w:rPr>
              <w:t xml:space="preserve">0,00</w:t>
            </w:r>
          </w:p>
        </w:tc>
        <w:tc>
          <w:tcPr>
            <w:tcW w:w="476" w:type="dxa"/>
            <w:tcBorders>
              <w:top w:val="single" w:sz="4" w:space="0" w:color="auto"/>
              <w:left w:val="nil"/>
              <w:bottom w:val="single" w:sz="4" w:space="0" w:color="auto"/>
              <w:right w:val="nil"/>
            </w:tcBorders>
            <w:shd w:val="clear" w:color="auto" w:fill="auto"/>
            <w:noWrap/>
            <w:vAlign w:val="center"/>
          </w:tcPr>
          <w:p w14:paraId="53F30528" w14:textId="77777777" w:rsidR="00F87E58" w:rsidRPr="00CC0F93" w:rsidRDefault="00F87E58" w:rsidP="00F87E58">
            <w:pPr>
              <w:pStyle w:val="cuatexto"/>
              <w:jc w:val="right"/>
              <w:rPr>
                <w:sz w:val="14"/>
                <w:szCs w:val="14"/>
              </w:rPr>
            </w:pPr>
            <w:r>
              <w:rPr>
                <w:sz w:val="14"/>
              </w:rPr>
              <w:t xml:space="preserve">0,00</w:t>
            </w:r>
          </w:p>
        </w:tc>
        <w:tc>
          <w:tcPr>
            <w:tcW w:w="522" w:type="dxa"/>
            <w:tcBorders>
              <w:top w:val="single" w:sz="4" w:space="0" w:color="auto"/>
              <w:left w:val="nil"/>
              <w:bottom w:val="single" w:sz="4" w:space="0" w:color="auto"/>
              <w:right w:val="nil"/>
            </w:tcBorders>
            <w:shd w:val="clear" w:color="auto" w:fill="auto"/>
            <w:noWrap/>
            <w:vAlign w:val="center"/>
          </w:tcPr>
          <w:p w14:paraId="2D19C073" w14:textId="77777777" w:rsidR="00F87E58" w:rsidRPr="00CC0F93" w:rsidRDefault="00F87E58" w:rsidP="00F87E58">
            <w:pPr>
              <w:pStyle w:val="cuatexto"/>
              <w:jc w:val="right"/>
              <w:rPr>
                <w:sz w:val="14"/>
                <w:szCs w:val="14"/>
              </w:rPr>
            </w:pPr>
            <w:r>
              <w:rPr>
                <w:sz w:val="14"/>
              </w:rPr>
              <w:t xml:space="preserve">0,00</w:t>
            </w:r>
          </w:p>
        </w:tc>
        <w:tc>
          <w:tcPr>
            <w:tcW w:w="476" w:type="dxa"/>
            <w:tcBorders>
              <w:top w:val="single" w:sz="4" w:space="0" w:color="auto"/>
              <w:left w:val="nil"/>
              <w:bottom w:val="single" w:sz="4" w:space="0" w:color="auto"/>
              <w:right w:val="nil"/>
            </w:tcBorders>
            <w:shd w:val="clear" w:color="auto" w:fill="auto"/>
            <w:noWrap/>
            <w:vAlign w:val="center"/>
          </w:tcPr>
          <w:p w14:paraId="4FF8CB5A" w14:textId="77777777" w:rsidR="00F87E58" w:rsidRPr="00CC0F93" w:rsidRDefault="00F87E58" w:rsidP="00F87E58">
            <w:pPr>
              <w:pStyle w:val="cuatexto"/>
              <w:jc w:val="right"/>
              <w:rPr>
                <w:sz w:val="14"/>
                <w:szCs w:val="14"/>
              </w:rPr>
            </w:pPr>
            <w:r>
              <w:rPr>
                <w:sz w:val="14"/>
              </w:rPr>
              <w:t xml:space="preserve">(4,04)</w:t>
            </w:r>
          </w:p>
        </w:tc>
        <w:tc>
          <w:tcPr>
            <w:tcW w:w="476" w:type="dxa"/>
            <w:tcBorders>
              <w:top w:val="single" w:sz="4" w:space="0" w:color="auto"/>
              <w:left w:val="nil"/>
              <w:bottom w:val="single" w:sz="4" w:space="0" w:color="auto"/>
              <w:right w:val="nil"/>
            </w:tcBorders>
            <w:shd w:val="clear" w:color="auto" w:fill="auto"/>
            <w:noWrap/>
            <w:vAlign w:val="center"/>
          </w:tcPr>
          <w:p w14:paraId="169E11CA" w14:textId="77777777" w:rsidR="00F87E58" w:rsidRPr="00CC0F93" w:rsidRDefault="00F87E58" w:rsidP="00F87E58">
            <w:pPr>
              <w:pStyle w:val="cuatexto"/>
              <w:jc w:val="right"/>
              <w:rPr>
                <w:sz w:val="14"/>
                <w:szCs w:val="14"/>
              </w:rPr>
            </w:pPr>
            <w:r>
              <w:rPr>
                <w:sz w:val="14"/>
              </w:rPr>
              <w:t xml:space="preserve">(6,42)</w:t>
            </w:r>
          </w:p>
        </w:tc>
        <w:tc>
          <w:tcPr>
            <w:tcW w:w="467" w:type="dxa"/>
            <w:tcBorders>
              <w:top w:val="single" w:sz="4" w:space="0" w:color="auto"/>
              <w:left w:val="nil"/>
              <w:bottom w:val="single" w:sz="4" w:space="0" w:color="auto"/>
              <w:right w:val="nil"/>
            </w:tcBorders>
            <w:shd w:val="clear" w:color="auto" w:fill="auto"/>
            <w:noWrap/>
            <w:vAlign w:val="center"/>
          </w:tcPr>
          <w:p w14:paraId="491D40E8" w14:textId="77777777" w:rsidR="00F87E58" w:rsidRPr="00CC0F93" w:rsidRDefault="00F87E58" w:rsidP="00F87E58">
            <w:pPr>
              <w:pStyle w:val="cuatexto"/>
              <w:ind w:left="-124" w:right="-20"/>
              <w:jc w:val="right"/>
              <w:rPr>
                <w:sz w:val="14"/>
                <w:szCs w:val="14"/>
              </w:rPr>
            </w:pPr>
            <w:r>
              <w:rPr>
                <w:sz w:val="14"/>
              </w:rPr>
              <w:t xml:space="preserve">(10,43)</w:t>
            </w:r>
          </w:p>
        </w:tc>
        <w:tc>
          <w:tcPr>
            <w:tcW w:w="467" w:type="dxa"/>
            <w:tcBorders>
              <w:top w:val="single" w:sz="4" w:space="0" w:color="auto"/>
              <w:left w:val="nil"/>
              <w:bottom w:val="single" w:sz="4" w:space="0" w:color="auto"/>
              <w:right w:val="nil"/>
            </w:tcBorders>
            <w:shd w:val="clear" w:color="auto" w:fill="auto"/>
            <w:noWrap/>
            <w:vAlign w:val="center"/>
          </w:tcPr>
          <w:p w14:paraId="024FEBE9" w14:textId="77777777" w:rsidR="00F87E58" w:rsidRPr="00CC0F93" w:rsidRDefault="00F87E58" w:rsidP="00F87E58">
            <w:pPr>
              <w:pStyle w:val="cuatexto"/>
              <w:ind w:left="-122" w:right="-36"/>
              <w:jc w:val="right"/>
              <w:rPr>
                <w:sz w:val="14"/>
                <w:szCs w:val="14"/>
              </w:rPr>
            </w:pPr>
            <w:r>
              <w:rPr>
                <w:sz w:val="14"/>
              </w:rPr>
              <w:t xml:space="preserve">(14,26)</w:t>
            </w:r>
          </w:p>
        </w:tc>
        <w:tc>
          <w:tcPr>
            <w:tcW w:w="467" w:type="dxa"/>
            <w:tcBorders>
              <w:top w:val="single" w:sz="4" w:space="0" w:color="auto"/>
              <w:left w:val="nil"/>
              <w:bottom w:val="single" w:sz="4" w:space="0" w:color="auto"/>
              <w:right w:val="nil"/>
            </w:tcBorders>
            <w:shd w:val="clear" w:color="auto" w:fill="auto"/>
            <w:noWrap/>
            <w:vAlign w:val="center"/>
          </w:tcPr>
          <w:p w14:paraId="4F1A0523" w14:textId="77777777" w:rsidR="00F87E58" w:rsidRPr="00CC0F93" w:rsidRDefault="00F87E58" w:rsidP="00F87E58">
            <w:pPr>
              <w:pStyle w:val="cuatexto"/>
              <w:ind w:left="-121" w:right="-38"/>
              <w:jc w:val="right"/>
              <w:rPr>
                <w:sz w:val="14"/>
                <w:szCs w:val="14"/>
              </w:rPr>
            </w:pPr>
            <w:r>
              <w:rPr>
                <w:sz w:val="14"/>
              </w:rPr>
              <w:t xml:space="preserve">(17,01)</w:t>
            </w:r>
          </w:p>
        </w:tc>
        <w:tc>
          <w:tcPr>
            <w:tcW w:w="428" w:type="dxa"/>
            <w:tcBorders>
              <w:top w:val="single" w:sz="4" w:space="0" w:color="auto"/>
              <w:left w:val="nil"/>
              <w:bottom w:val="single" w:sz="4" w:space="0" w:color="auto"/>
              <w:right w:val="nil"/>
            </w:tcBorders>
            <w:shd w:val="clear" w:color="auto" w:fill="auto"/>
            <w:noWrap/>
            <w:vAlign w:val="center"/>
          </w:tcPr>
          <w:p w14:paraId="3443F219" w14:textId="77777777" w:rsidR="00F87E58" w:rsidRPr="00CC0F93" w:rsidRDefault="00F87E58" w:rsidP="00F87E58">
            <w:pPr>
              <w:pStyle w:val="cuatexto"/>
              <w:ind w:left="-118" w:right="-40"/>
              <w:jc w:val="right"/>
              <w:rPr>
                <w:sz w:val="14"/>
                <w:szCs w:val="14"/>
              </w:rPr>
            </w:pPr>
            <w:r>
              <w:rPr>
                <w:sz w:val="14"/>
              </w:rPr>
              <w:t xml:space="preserve">(19,83)</w:t>
            </w:r>
          </w:p>
        </w:tc>
        <w:tc>
          <w:tcPr>
            <w:tcW w:w="474" w:type="dxa"/>
            <w:tcBorders>
              <w:top w:val="single" w:sz="4" w:space="0" w:color="auto"/>
              <w:left w:val="nil"/>
              <w:bottom w:val="single" w:sz="4" w:space="0" w:color="auto"/>
              <w:right w:val="nil"/>
            </w:tcBorders>
            <w:shd w:val="clear" w:color="auto" w:fill="auto"/>
            <w:noWrap/>
            <w:vAlign w:val="center"/>
          </w:tcPr>
          <w:p w14:paraId="2DAB8685" w14:textId="77777777" w:rsidR="00F87E58" w:rsidRPr="00CC0F93" w:rsidRDefault="00F87E58" w:rsidP="00F87E58">
            <w:pPr>
              <w:pStyle w:val="cuatexto"/>
              <w:ind w:left="-72"/>
              <w:jc w:val="right"/>
              <w:rPr>
                <w:sz w:val="14"/>
                <w:szCs w:val="14"/>
              </w:rPr>
            </w:pPr>
            <w:r>
              <w:rPr>
                <w:sz w:val="14"/>
              </w:rPr>
              <w:t xml:space="preserve">(24,18)</w:t>
            </w:r>
          </w:p>
        </w:tc>
        <w:tc>
          <w:tcPr>
            <w:tcW w:w="482" w:type="dxa"/>
            <w:tcBorders>
              <w:top w:val="single" w:sz="4" w:space="0" w:color="auto"/>
              <w:left w:val="nil"/>
              <w:bottom w:val="single" w:sz="4" w:space="0" w:color="auto"/>
              <w:right w:val="nil"/>
            </w:tcBorders>
            <w:shd w:val="clear" w:color="auto" w:fill="auto"/>
            <w:noWrap/>
            <w:vAlign w:val="center"/>
          </w:tcPr>
          <w:p w14:paraId="28546333" w14:textId="77777777" w:rsidR="00F87E58" w:rsidRPr="00CC0F93" w:rsidRDefault="00F87E58" w:rsidP="00F87E58">
            <w:pPr>
              <w:pStyle w:val="cuatexto"/>
              <w:ind w:left="-64"/>
              <w:jc w:val="right"/>
              <w:rPr>
                <w:sz w:val="14"/>
                <w:szCs w:val="14"/>
              </w:rPr>
            </w:pPr>
            <w:r>
              <w:rPr>
                <w:sz w:val="14"/>
              </w:rPr>
              <w:t xml:space="preserve">(28,21)</w:t>
            </w:r>
          </w:p>
        </w:tc>
        <w:tc>
          <w:tcPr>
            <w:tcW w:w="400" w:type="dxa"/>
            <w:tcBorders>
              <w:top w:val="single" w:sz="4" w:space="0" w:color="auto"/>
              <w:left w:val="nil"/>
              <w:bottom w:val="single" w:sz="4" w:space="0" w:color="auto"/>
              <w:right w:val="nil"/>
            </w:tcBorders>
            <w:shd w:val="clear" w:color="auto" w:fill="auto"/>
            <w:noWrap/>
            <w:vAlign w:val="center"/>
          </w:tcPr>
          <w:p w14:paraId="486E6EEC" w14:textId="77777777" w:rsidR="00F87E58" w:rsidRPr="00CC0F93" w:rsidRDefault="00F87E58" w:rsidP="00F87E58">
            <w:pPr>
              <w:pStyle w:val="cuatexto"/>
              <w:ind w:left="-146"/>
              <w:jc w:val="right"/>
              <w:rPr>
                <w:sz w:val="14"/>
                <w:szCs w:val="14"/>
              </w:rPr>
            </w:pPr>
            <w:r>
              <w:rPr>
                <w:sz w:val="14"/>
              </w:rPr>
              <w:t xml:space="preserve">(32,21)</w:t>
            </w:r>
          </w:p>
        </w:tc>
        <w:tc>
          <w:tcPr>
            <w:tcW w:w="467" w:type="dxa"/>
            <w:tcBorders>
              <w:top w:val="single" w:sz="4" w:space="0" w:color="auto"/>
              <w:left w:val="nil"/>
              <w:bottom w:val="single" w:sz="4" w:space="0" w:color="auto"/>
              <w:right w:val="nil"/>
            </w:tcBorders>
            <w:shd w:val="clear" w:color="auto" w:fill="auto"/>
            <w:noWrap/>
            <w:vAlign w:val="center"/>
          </w:tcPr>
          <w:p w14:paraId="4FA233F1" w14:textId="77777777" w:rsidR="00F87E58" w:rsidRPr="00CC0F93" w:rsidRDefault="00F87E58" w:rsidP="00F87E58">
            <w:pPr>
              <w:pStyle w:val="cuatexto"/>
              <w:ind w:left="-81" w:hanging="70"/>
              <w:jc w:val="right"/>
              <w:rPr>
                <w:sz w:val="14"/>
                <w:szCs w:val="14"/>
              </w:rPr>
            </w:pPr>
            <w:r>
              <w:rPr>
                <w:sz w:val="14"/>
              </w:rPr>
              <w:t xml:space="preserve">(34,90)</w:t>
            </w:r>
          </w:p>
        </w:tc>
        <w:tc>
          <w:tcPr>
            <w:tcW w:w="460" w:type="dxa"/>
            <w:tcBorders>
              <w:top w:val="single" w:sz="4" w:space="0" w:color="auto"/>
              <w:left w:val="nil"/>
              <w:bottom w:val="single" w:sz="4" w:space="0" w:color="auto"/>
              <w:right w:val="nil"/>
            </w:tcBorders>
            <w:shd w:val="clear" w:color="auto" w:fill="auto"/>
            <w:noWrap/>
            <w:vAlign w:val="center"/>
          </w:tcPr>
          <w:p w14:paraId="1CAF8715" w14:textId="77777777" w:rsidR="00F87E58" w:rsidRPr="00CC0F93" w:rsidRDefault="00F87E58" w:rsidP="00F87E58">
            <w:pPr>
              <w:pStyle w:val="cuatexto"/>
              <w:ind w:left="-86"/>
              <w:jc w:val="right"/>
              <w:rPr>
                <w:sz w:val="14"/>
                <w:szCs w:val="14"/>
              </w:rPr>
            </w:pPr>
            <w:r>
              <w:rPr>
                <w:sz w:val="14"/>
              </w:rPr>
              <w:t xml:space="preserve">(37,81)</w:t>
            </w:r>
          </w:p>
        </w:tc>
        <w:tc>
          <w:tcPr>
            <w:tcW w:w="440" w:type="dxa"/>
            <w:tcBorders>
              <w:top w:val="single" w:sz="4" w:space="0" w:color="auto"/>
              <w:left w:val="nil"/>
              <w:bottom w:val="single" w:sz="4" w:space="0" w:color="auto"/>
              <w:right w:val="nil"/>
            </w:tcBorders>
            <w:shd w:val="clear" w:color="auto" w:fill="auto"/>
            <w:noWrap/>
            <w:vAlign w:val="center"/>
          </w:tcPr>
          <w:p w14:paraId="14DE0500" w14:textId="77777777" w:rsidR="00F87E58" w:rsidRPr="00CC0F93" w:rsidRDefault="00F87E58" w:rsidP="00F87E58">
            <w:pPr>
              <w:pStyle w:val="cuatexto"/>
              <w:ind w:left="-106"/>
              <w:jc w:val="right"/>
              <w:rPr>
                <w:sz w:val="14"/>
                <w:szCs w:val="14"/>
              </w:rPr>
            </w:pPr>
            <w:r>
              <w:rPr>
                <w:sz w:val="14"/>
              </w:rPr>
              <w:t xml:space="preserve">(40,52)</w:t>
            </w:r>
          </w:p>
        </w:tc>
        <w:tc>
          <w:tcPr>
            <w:tcW w:w="420" w:type="dxa"/>
            <w:tcBorders>
              <w:top w:val="single" w:sz="4" w:space="0" w:color="auto"/>
              <w:left w:val="nil"/>
              <w:bottom w:val="single" w:sz="4" w:space="0" w:color="auto"/>
              <w:right w:val="nil"/>
            </w:tcBorders>
            <w:shd w:val="clear" w:color="auto" w:fill="auto"/>
            <w:noWrap/>
            <w:vAlign w:val="center"/>
          </w:tcPr>
          <w:p w14:paraId="247298B5" w14:textId="77777777" w:rsidR="00F87E58" w:rsidRPr="00CC0F93" w:rsidRDefault="00F87E58" w:rsidP="00F87E58">
            <w:pPr>
              <w:pStyle w:val="cuatexto"/>
              <w:ind w:left="-126"/>
              <w:jc w:val="right"/>
              <w:rPr>
                <w:sz w:val="14"/>
                <w:szCs w:val="14"/>
              </w:rPr>
            </w:pPr>
            <w:r>
              <w:rPr>
                <w:sz w:val="14"/>
              </w:rPr>
              <w:t xml:space="preserve">(43,01)</w:t>
            </w:r>
          </w:p>
        </w:tc>
        <w:tc>
          <w:tcPr>
            <w:tcW w:w="375" w:type="dxa"/>
            <w:tcBorders>
              <w:top w:val="single" w:sz="4" w:space="0" w:color="auto"/>
              <w:left w:val="nil"/>
              <w:bottom w:val="single" w:sz="4" w:space="0" w:color="auto"/>
              <w:right w:val="nil"/>
            </w:tcBorders>
            <w:shd w:val="clear" w:color="auto" w:fill="auto"/>
            <w:noWrap/>
            <w:vAlign w:val="center"/>
          </w:tcPr>
          <w:p w14:paraId="5B592B13" w14:textId="77777777" w:rsidR="00F87E58" w:rsidRPr="00CC0F93" w:rsidRDefault="00F87E58" w:rsidP="00F87E58">
            <w:pPr>
              <w:pStyle w:val="cuatexto"/>
              <w:ind w:left="-171"/>
              <w:jc w:val="right"/>
              <w:rPr>
                <w:sz w:val="14"/>
                <w:szCs w:val="14"/>
              </w:rPr>
            </w:pPr>
            <w:r>
              <w:rPr>
                <w:sz w:val="14"/>
              </w:rPr>
              <w:t xml:space="preserve">(45,37)</w:t>
            </w:r>
          </w:p>
        </w:tc>
        <w:tc>
          <w:tcPr>
            <w:tcW w:w="370" w:type="dxa"/>
            <w:tcBorders>
              <w:top w:val="single" w:sz="4" w:space="0" w:color="auto"/>
              <w:left w:val="nil"/>
              <w:bottom w:val="single" w:sz="4" w:space="0" w:color="auto"/>
              <w:right w:val="nil"/>
            </w:tcBorders>
            <w:shd w:val="clear" w:color="auto" w:fill="auto"/>
            <w:noWrap/>
            <w:vAlign w:val="center"/>
          </w:tcPr>
          <w:p w14:paraId="06D65125" w14:textId="77777777" w:rsidR="00F87E58" w:rsidRPr="00CC0F93" w:rsidRDefault="00F87E58" w:rsidP="00F87E58">
            <w:pPr>
              <w:pStyle w:val="cuatexto"/>
              <w:ind w:left="-176"/>
              <w:jc w:val="right"/>
              <w:rPr>
                <w:sz w:val="14"/>
                <w:szCs w:val="14"/>
              </w:rPr>
            </w:pPr>
            <w:r>
              <w:rPr>
                <w:sz w:val="14"/>
              </w:rPr>
              <w:t xml:space="preserve">(48,22)</w:t>
            </w:r>
          </w:p>
        </w:tc>
        <w:tc>
          <w:tcPr>
            <w:tcW w:w="400" w:type="dxa"/>
            <w:tcBorders>
              <w:top w:val="single" w:sz="4" w:space="0" w:color="auto"/>
              <w:left w:val="nil"/>
              <w:bottom w:val="single" w:sz="4" w:space="0" w:color="auto"/>
              <w:right w:val="nil"/>
            </w:tcBorders>
            <w:shd w:val="clear" w:color="auto" w:fill="auto"/>
            <w:noWrap/>
            <w:vAlign w:val="center"/>
          </w:tcPr>
          <w:p w14:paraId="66F3B8BA" w14:textId="77777777" w:rsidR="00F87E58" w:rsidRPr="00CC0F93" w:rsidRDefault="00F87E58" w:rsidP="00F87E58">
            <w:pPr>
              <w:pStyle w:val="cuatexto"/>
              <w:ind w:left="-146"/>
              <w:jc w:val="right"/>
              <w:rPr>
                <w:sz w:val="14"/>
                <w:szCs w:val="14"/>
              </w:rPr>
            </w:pPr>
            <w:r>
              <w:rPr>
                <w:sz w:val="14"/>
              </w:rPr>
              <w:t xml:space="preserve">(51,57)</w:t>
            </w:r>
          </w:p>
        </w:tc>
        <w:tc>
          <w:tcPr>
            <w:tcW w:w="476" w:type="dxa"/>
            <w:tcBorders>
              <w:top w:val="single" w:sz="4" w:space="0" w:color="auto"/>
              <w:left w:val="nil"/>
              <w:bottom w:val="single" w:sz="4" w:space="0" w:color="auto"/>
              <w:right w:val="nil"/>
            </w:tcBorders>
            <w:shd w:val="clear" w:color="auto" w:fill="auto"/>
            <w:noWrap/>
            <w:vAlign w:val="center"/>
          </w:tcPr>
          <w:p w14:paraId="2F02B1EE" w14:textId="77777777" w:rsidR="00F87E58" w:rsidRPr="00CC0F93" w:rsidRDefault="00F87E58" w:rsidP="00F87E58">
            <w:pPr>
              <w:pStyle w:val="cuatexto"/>
              <w:ind w:left="-70"/>
              <w:jc w:val="right"/>
              <w:rPr>
                <w:sz w:val="14"/>
                <w:szCs w:val="14"/>
              </w:rPr>
            </w:pPr>
            <w:r>
              <w:rPr>
                <w:sz w:val="14"/>
              </w:rPr>
              <w:t xml:space="preserve">(53,56)</w:t>
            </w:r>
          </w:p>
        </w:tc>
        <w:tc>
          <w:tcPr>
            <w:tcW w:w="422" w:type="dxa"/>
            <w:tcBorders>
              <w:top w:val="single" w:sz="4" w:space="0" w:color="auto"/>
              <w:left w:val="nil"/>
              <w:bottom w:val="single" w:sz="4" w:space="0" w:color="auto"/>
              <w:right w:val="nil"/>
            </w:tcBorders>
            <w:shd w:val="clear" w:color="auto" w:fill="auto"/>
            <w:noWrap/>
            <w:vAlign w:val="center"/>
          </w:tcPr>
          <w:p w14:paraId="1570C2B1" w14:textId="77777777" w:rsidR="00F87E58" w:rsidRPr="00CC0F93" w:rsidRDefault="00F87E58" w:rsidP="00F87E58">
            <w:pPr>
              <w:pStyle w:val="cuatexto"/>
              <w:ind w:left="-124"/>
              <w:jc w:val="right"/>
              <w:rPr>
                <w:sz w:val="14"/>
                <w:szCs w:val="14"/>
              </w:rPr>
            </w:pPr>
            <w:r>
              <w:rPr>
                <w:sz w:val="14"/>
              </w:rPr>
              <w:t xml:space="preserve">(55,78)</w:t>
            </w:r>
          </w:p>
        </w:tc>
      </w:tr>
    </w:tbl>
    <w:p w14:paraId="1FBF12A7" w14:textId="77777777" w:rsidR="00886F83" w:rsidRDefault="00886F83" w:rsidP="00F87E58">
      <w:pPr>
        <w:pStyle w:val="texto"/>
        <w:spacing w:before="240" w:after="240"/>
      </w:pPr>
    </w:p>
    <w:p w14:paraId="003B6292" w14:textId="77777777" w:rsidR="00886F83" w:rsidRDefault="00886F83">
      <w:pPr>
        <w:spacing w:after="0"/>
        <w:ind w:firstLine="0"/>
        <w:jc w:val="left"/>
        <w:rPr>
          <w:spacing w:val="6"/>
          <w:sz w:val="26"/>
          <w:szCs w:val="24"/>
        </w:rPr>
      </w:pPr>
      <w:r>
        <w:br w:type="page"/>
      </w:r>
    </w:p>
    <w:p w14:paraId="01411C9C" w14:textId="77777777" w:rsidR="00F87E58" w:rsidRDefault="00F87E58" w:rsidP="00F87E58">
      <w:pPr>
        <w:pStyle w:val="texto"/>
        <w:spacing w:before="240" w:after="240"/>
      </w:pPr>
      <w:r>
        <w:t xml:space="preserve">Aipatutako magnitudeen bilakaera eta haien arteko erlazioa grafiko honetan agertzen dira:</w:t>
      </w:r>
    </w:p>
    <w:p w14:paraId="39F34E89" w14:textId="77777777" w:rsidR="00F87E58" w:rsidRDefault="00F87E58" w:rsidP="00F87E58">
      <w:pPr>
        <w:pStyle w:val="texto"/>
        <w:tabs>
          <w:tab w:val="clear" w:pos="2835"/>
          <w:tab w:val="clear" w:pos="3969"/>
          <w:tab w:val="clear" w:pos="5103"/>
          <w:tab w:val="clear" w:pos="6237"/>
          <w:tab w:val="clear" w:pos="7371"/>
          <w:tab w:val="left" w:pos="480"/>
          <w:tab w:val="num" w:pos="786"/>
          <w:tab w:val="num" w:pos="1320"/>
          <w:tab w:val="num" w:pos="2062"/>
          <w:tab w:val="num" w:pos="4472"/>
        </w:tabs>
        <w:rPr>
          <w:szCs w:val="26"/>
        </w:rPr>
      </w:pPr>
      <w:r>
        <w:drawing>
          <wp:inline distT="0" distB="0" distL="0" distR="0" wp14:anchorId="4D3AD803" wp14:editId="657DDB2E">
            <wp:extent cx="4905375" cy="1638794"/>
            <wp:effectExtent l="0" t="0" r="9525" b="0"/>
            <wp:docPr id="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18B905"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before="240" w:after="240"/>
        <w:ind w:left="0" w:firstLine="284"/>
        <w:rPr>
          <w:szCs w:val="26"/>
        </w:rPr>
      </w:pPr>
      <w:r>
        <w:t xml:space="preserve">Partaidetza-maileguak</w:t>
      </w:r>
    </w:p>
    <w:p w14:paraId="3D7ECC68" w14:textId="77777777" w:rsidR="00F87E58" w:rsidRPr="00AA16A6" w:rsidRDefault="00F87E58" w:rsidP="003B2AB7">
      <w:pPr>
        <w:pStyle w:val="texto"/>
        <w:spacing w:after="240"/>
      </w:pPr>
      <w:r>
        <w:t xml:space="preserve">Gehigarri honen 2.3.2 atalean esan bezala, Parquenasak emaitza negatiboak izan ditu sortu zenetik, eta funts propio negatiboak izan ditu bere jardueraren hirugarren ekitalditik aurrera. Horrek merkataritza sozietate gisa desegitea ekarri beharko zukeen.</w:t>
      </w:r>
      <w:r>
        <w:t xml:space="preserve"> </w:t>
      </w:r>
      <w:r>
        <w:t xml:space="preserve">Partaidetza-maileguen ezaugarriek (ondare garbitzat konputatzen dira) Parquenasaren finantza egoeraren saneamendua ahalbidetu dute soilik kontabilitate-ondorioetarako. Hala, sozietatea galerengatik desegitea saihesteko edo atzeratzeko tresna bihurtu dira.</w:t>
      </w:r>
      <w:r>
        <w:t xml:space="preserve"> </w:t>
      </w:r>
      <w:r>
        <w:t xml:space="preserve">Horregatik, emandako maileguen zati bat partaidetza-mailegu bilakatzen da urtero.</w:t>
      </w:r>
      <w:r>
        <w:t xml:space="preserve"> </w:t>
      </w:r>
      <w:r>
        <w:t xml:space="preserve">Partaidetza-mailegu horiek epealdi aztertuan izandako bilakaeraren berri ematen da honako taula honetan:</w:t>
      </w:r>
    </w:p>
    <w:tbl>
      <w:tblPr>
        <w:tblW w:w="10759" w:type="dxa"/>
        <w:jc w:val="center"/>
        <w:tblCellMar>
          <w:left w:w="70" w:type="dxa"/>
          <w:right w:w="70" w:type="dxa"/>
        </w:tblCellMar>
        <w:tblLook w:val="04A0" w:firstRow="1" w:lastRow="0" w:firstColumn="1" w:lastColumn="0" w:noHBand="0" w:noVBand="1"/>
      </w:tblPr>
      <w:tblGrid>
        <w:gridCol w:w="1134"/>
        <w:gridCol w:w="397"/>
        <w:gridCol w:w="397"/>
        <w:gridCol w:w="397"/>
        <w:gridCol w:w="397"/>
        <w:gridCol w:w="397"/>
        <w:gridCol w:w="468"/>
        <w:gridCol w:w="413"/>
        <w:gridCol w:w="477"/>
        <w:gridCol w:w="476"/>
        <w:gridCol w:w="476"/>
        <w:gridCol w:w="476"/>
        <w:gridCol w:w="476"/>
        <w:gridCol w:w="476"/>
        <w:gridCol w:w="476"/>
        <w:gridCol w:w="476"/>
        <w:gridCol w:w="476"/>
        <w:gridCol w:w="476"/>
        <w:gridCol w:w="476"/>
        <w:gridCol w:w="476"/>
        <w:gridCol w:w="476"/>
        <w:gridCol w:w="476"/>
        <w:gridCol w:w="476"/>
      </w:tblGrid>
      <w:tr w:rsidR="00F87E58" w:rsidRPr="00A81836" w14:paraId="46FF0D32" w14:textId="77777777" w:rsidTr="00F87E58">
        <w:trPr>
          <w:trHeight w:val="255"/>
          <w:jc w:val="center"/>
        </w:trPr>
        <w:tc>
          <w:tcPr>
            <w:tcW w:w="1134" w:type="dxa"/>
            <w:tcBorders>
              <w:top w:val="single" w:sz="4" w:space="0" w:color="auto"/>
              <w:bottom w:val="single" w:sz="4" w:space="0" w:color="auto"/>
              <w:right w:val="nil"/>
            </w:tcBorders>
            <w:shd w:val="clear" w:color="auto" w:fill="9CC2E5"/>
            <w:noWrap/>
            <w:vAlign w:val="bottom"/>
          </w:tcPr>
          <w:p w14:paraId="44749895" w14:textId="77777777" w:rsidR="00F87E58" w:rsidRPr="00A81836" w:rsidRDefault="00F87E58" w:rsidP="00F87E58">
            <w:pPr>
              <w:pStyle w:val="cuadroCabe"/>
              <w:jc w:val="right"/>
              <w:rPr>
                <w:sz w:val="12"/>
                <w:szCs w:val="12"/>
              </w:rPr>
            </w:pPr>
          </w:p>
        </w:tc>
        <w:tc>
          <w:tcPr>
            <w:tcW w:w="397" w:type="dxa"/>
            <w:tcBorders>
              <w:top w:val="single" w:sz="4" w:space="0" w:color="auto"/>
              <w:left w:val="nil"/>
              <w:bottom w:val="single" w:sz="4" w:space="0" w:color="auto"/>
              <w:right w:val="nil"/>
            </w:tcBorders>
            <w:shd w:val="clear" w:color="auto" w:fill="9CC2E5"/>
            <w:noWrap/>
            <w:vAlign w:val="bottom"/>
          </w:tcPr>
          <w:p w14:paraId="480E6E0F" w14:textId="77777777" w:rsidR="00F87E58" w:rsidRPr="00A81836" w:rsidRDefault="00F87E58" w:rsidP="00F87E58">
            <w:pPr>
              <w:pStyle w:val="cuadroCabe"/>
              <w:ind w:left="-67"/>
              <w:jc w:val="right"/>
              <w:rPr>
                <w:sz w:val="12"/>
                <w:szCs w:val="12"/>
              </w:rPr>
            </w:pPr>
            <w:r>
              <w:rPr>
                <w:sz w:val="12"/>
              </w:rPr>
              <w:t xml:space="preserve">2001</w:t>
            </w:r>
          </w:p>
        </w:tc>
        <w:tc>
          <w:tcPr>
            <w:tcW w:w="397" w:type="dxa"/>
            <w:tcBorders>
              <w:top w:val="single" w:sz="4" w:space="0" w:color="auto"/>
              <w:left w:val="nil"/>
              <w:bottom w:val="single" w:sz="4" w:space="0" w:color="auto"/>
              <w:right w:val="nil"/>
            </w:tcBorders>
            <w:shd w:val="clear" w:color="auto" w:fill="9CC2E5"/>
            <w:noWrap/>
            <w:vAlign w:val="bottom"/>
          </w:tcPr>
          <w:p w14:paraId="6CA11ECC" w14:textId="77777777" w:rsidR="00F87E58" w:rsidRPr="00A81836" w:rsidRDefault="00F87E58" w:rsidP="00F87E58">
            <w:pPr>
              <w:pStyle w:val="cuadroCabe"/>
              <w:ind w:left="-66"/>
              <w:jc w:val="right"/>
              <w:rPr>
                <w:sz w:val="12"/>
                <w:szCs w:val="12"/>
              </w:rPr>
            </w:pPr>
            <w:r>
              <w:rPr>
                <w:sz w:val="12"/>
              </w:rPr>
              <w:t xml:space="preserve">2002</w:t>
            </w:r>
          </w:p>
        </w:tc>
        <w:tc>
          <w:tcPr>
            <w:tcW w:w="397" w:type="dxa"/>
            <w:tcBorders>
              <w:top w:val="single" w:sz="4" w:space="0" w:color="auto"/>
              <w:left w:val="nil"/>
              <w:bottom w:val="single" w:sz="4" w:space="0" w:color="auto"/>
              <w:right w:val="nil"/>
            </w:tcBorders>
            <w:shd w:val="clear" w:color="auto" w:fill="9CC2E5"/>
            <w:noWrap/>
            <w:vAlign w:val="bottom"/>
          </w:tcPr>
          <w:p w14:paraId="7C2760C8" w14:textId="77777777" w:rsidR="00F87E58" w:rsidRPr="00A81836" w:rsidRDefault="00F87E58" w:rsidP="00F87E58">
            <w:pPr>
              <w:pStyle w:val="cuadroCabe"/>
              <w:ind w:left="-70"/>
              <w:jc w:val="right"/>
              <w:rPr>
                <w:sz w:val="12"/>
                <w:szCs w:val="12"/>
              </w:rPr>
            </w:pPr>
            <w:r>
              <w:rPr>
                <w:sz w:val="12"/>
              </w:rPr>
              <w:t xml:space="preserve">2003</w:t>
            </w:r>
          </w:p>
        </w:tc>
        <w:tc>
          <w:tcPr>
            <w:tcW w:w="397" w:type="dxa"/>
            <w:tcBorders>
              <w:top w:val="single" w:sz="4" w:space="0" w:color="auto"/>
              <w:left w:val="nil"/>
              <w:bottom w:val="single" w:sz="4" w:space="0" w:color="auto"/>
              <w:right w:val="nil"/>
            </w:tcBorders>
            <w:shd w:val="clear" w:color="auto" w:fill="9CC2E5"/>
            <w:noWrap/>
            <w:vAlign w:val="bottom"/>
          </w:tcPr>
          <w:p w14:paraId="0DB8CF6C" w14:textId="77777777" w:rsidR="00F87E58" w:rsidRPr="00A81836" w:rsidRDefault="00F87E58" w:rsidP="00F87E58">
            <w:pPr>
              <w:pStyle w:val="cuadroCabe"/>
              <w:ind w:left="-69" w:right="-47"/>
              <w:jc w:val="right"/>
              <w:rPr>
                <w:sz w:val="12"/>
                <w:szCs w:val="12"/>
              </w:rPr>
            </w:pPr>
            <w:r>
              <w:rPr>
                <w:sz w:val="12"/>
              </w:rPr>
              <w:t xml:space="preserve">2004</w:t>
            </w:r>
          </w:p>
        </w:tc>
        <w:tc>
          <w:tcPr>
            <w:tcW w:w="397" w:type="dxa"/>
            <w:tcBorders>
              <w:top w:val="single" w:sz="4" w:space="0" w:color="auto"/>
              <w:left w:val="nil"/>
              <w:bottom w:val="single" w:sz="4" w:space="0" w:color="auto"/>
              <w:right w:val="nil"/>
            </w:tcBorders>
            <w:shd w:val="clear" w:color="auto" w:fill="9CC2E5"/>
            <w:noWrap/>
            <w:vAlign w:val="bottom"/>
          </w:tcPr>
          <w:p w14:paraId="05FA11F8" w14:textId="77777777" w:rsidR="00F87E58" w:rsidRPr="00A81836" w:rsidRDefault="00F87E58" w:rsidP="00F87E58">
            <w:pPr>
              <w:pStyle w:val="cuadroCabe"/>
              <w:ind w:left="-66"/>
              <w:jc w:val="right"/>
              <w:rPr>
                <w:sz w:val="12"/>
                <w:szCs w:val="12"/>
              </w:rPr>
            </w:pPr>
            <w:r>
              <w:rPr>
                <w:sz w:val="12"/>
              </w:rPr>
              <w:t xml:space="preserve">2005</w:t>
            </w:r>
          </w:p>
        </w:tc>
        <w:tc>
          <w:tcPr>
            <w:tcW w:w="468" w:type="dxa"/>
            <w:tcBorders>
              <w:top w:val="single" w:sz="4" w:space="0" w:color="auto"/>
              <w:left w:val="nil"/>
              <w:bottom w:val="single" w:sz="4" w:space="0" w:color="auto"/>
              <w:right w:val="nil"/>
            </w:tcBorders>
            <w:shd w:val="clear" w:color="auto" w:fill="9CC2E5"/>
            <w:noWrap/>
            <w:vAlign w:val="bottom"/>
          </w:tcPr>
          <w:p w14:paraId="658FFF41" w14:textId="77777777" w:rsidR="00F87E58" w:rsidRPr="00A81836" w:rsidRDefault="00F87E58" w:rsidP="00F87E58">
            <w:pPr>
              <w:pStyle w:val="cuadroCabe"/>
              <w:ind w:left="-65"/>
              <w:jc w:val="right"/>
              <w:rPr>
                <w:sz w:val="12"/>
                <w:szCs w:val="12"/>
              </w:rPr>
            </w:pPr>
            <w:r>
              <w:rPr>
                <w:sz w:val="12"/>
              </w:rPr>
              <w:t xml:space="preserve">2006</w:t>
            </w:r>
          </w:p>
        </w:tc>
        <w:tc>
          <w:tcPr>
            <w:tcW w:w="397" w:type="dxa"/>
            <w:tcBorders>
              <w:top w:val="single" w:sz="4" w:space="0" w:color="auto"/>
              <w:left w:val="nil"/>
              <w:bottom w:val="single" w:sz="4" w:space="0" w:color="auto"/>
              <w:right w:val="nil"/>
            </w:tcBorders>
            <w:shd w:val="clear" w:color="auto" w:fill="9CC2E5"/>
            <w:noWrap/>
            <w:vAlign w:val="bottom"/>
          </w:tcPr>
          <w:p w14:paraId="6040483D" w14:textId="77777777" w:rsidR="00F87E58" w:rsidRPr="00A81836" w:rsidRDefault="00F87E58" w:rsidP="00F87E58">
            <w:pPr>
              <w:pStyle w:val="cuadroCabe"/>
              <w:ind w:left="-63"/>
              <w:jc w:val="right"/>
              <w:rPr>
                <w:sz w:val="12"/>
                <w:szCs w:val="12"/>
              </w:rPr>
            </w:pPr>
            <w:r>
              <w:rPr>
                <w:sz w:val="12"/>
              </w:rPr>
              <w:t xml:space="preserve">2007</w:t>
            </w:r>
          </w:p>
        </w:tc>
        <w:tc>
          <w:tcPr>
            <w:tcW w:w="477" w:type="dxa"/>
            <w:tcBorders>
              <w:top w:val="single" w:sz="4" w:space="0" w:color="auto"/>
              <w:left w:val="nil"/>
              <w:bottom w:val="single" w:sz="4" w:space="0" w:color="auto"/>
              <w:right w:val="nil"/>
            </w:tcBorders>
            <w:shd w:val="clear" w:color="auto" w:fill="9CC2E5"/>
            <w:noWrap/>
            <w:vAlign w:val="bottom"/>
          </w:tcPr>
          <w:p w14:paraId="1D202E05" w14:textId="77777777" w:rsidR="00F87E58" w:rsidRPr="00A81836" w:rsidRDefault="00F87E58" w:rsidP="00F87E58">
            <w:pPr>
              <w:pStyle w:val="cuadroCabe"/>
              <w:ind w:left="-69"/>
              <w:jc w:val="right"/>
              <w:rPr>
                <w:sz w:val="12"/>
                <w:szCs w:val="12"/>
              </w:rPr>
            </w:pPr>
            <w:r>
              <w:rPr>
                <w:sz w:val="12"/>
              </w:rPr>
              <w:t xml:space="preserve">2008</w:t>
            </w:r>
          </w:p>
        </w:tc>
        <w:tc>
          <w:tcPr>
            <w:tcW w:w="476" w:type="dxa"/>
            <w:tcBorders>
              <w:top w:val="single" w:sz="4" w:space="0" w:color="auto"/>
              <w:left w:val="nil"/>
              <w:bottom w:val="single" w:sz="4" w:space="0" w:color="auto"/>
              <w:right w:val="nil"/>
            </w:tcBorders>
            <w:shd w:val="clear" w:color="auto" w:fill="9CC2E5"/>
            <w:noWrap/>
            <w:vAlign w:val="bottom"/>
          </w:tcPr>
          <w:p w14:paraId="769231D5" w14:textId="77777777" w:rsidR="00F87E58" w:rsidRPr="00A81836" w:rsidRDefault="00F87E58" w:rsidP="00F87E58">
            <w:pPr>
              <w:pStyle w:val="cuadroCabe"/>
              <w:ind w:left="-116"/>
              <w:jc w:val="right"/>
              <w:rPr>
                <w:sz w:val="12"/>
                <w:szCs w:val="12"/>
              </w:rPr>
            </w:pPr>
            <w:r>
              <w:rPr>
                <w:sz w:val="12"/>
              </w:rPr>
              <w:t xml:space="preserve">2009</w:t>
            </w:r>
          </w:p>
        </w:tc>
        <w:tc>
          <w:tcPr>
            <w:tcW w:w="476" w:type="dxa"/>
            <w:tcBorders>
              <w:top w:val="single" w:sz="4" w:space="0" w:color="auto"/>
              <w:left w:val="nil"/>
              <w:bottom w:val="single" w:sz="4" w:space="0" w:color="auto"/>
              <w:right w:val="nil"/>
            </w:tcBorders>
            <w:shd w:val="clear" w:color="auto" w:fill="9CC2E5"/>
            <w:noWrap/>
            <w:vAlign w:val="bottom"/>
          </w:tcPr>
          <w:p w14:paraId="618EA52C" w14:textId="77777777" w:rsidR="00F87E58" w:rsidRPr="00A81836" w:rsidRDefault="00F87E58" w:rsidP="00F87E58">
            <w:pPr>
              <w:pStyle w:val="cuadroCabe"/>
              <w:ind w:left="-116"/>
              <w:jc w:val="right"/>
              <w:rPr>
                <w:sz w:val="12"/>
                <w:szCs w:val="12"/>
              </w:rPr>
            </w:pPr>
            <w:r>
              <w:rPr>
                <w:sz w:val="12"/>
              </w:rPr>
              <w:t xml:space="preserve">2010</w:t>
            </w:r>
          </w:p>
        </w:tc>
        <w:tc>
          <w:tcPr>
            <w:tcW w:w="476" w:type="dxa"/>
            <w:tcBorders>
              <w:top w:val="single" w:sz="4" w:space="0" w:color="auto"/>
              <w:left w:val="nil"/>
              <w:bottom w:val="single" w:sz="4" w:space="0" w:color="auto"/>
              <w:right w:val="nil"/>
            </w:tcBorders>
            <w:shd w:val="clear" w:color="auto" w:fill="9CC2E5"/>
            <w:noWrap/>
            <w:vAlign w:val="bottom"/>
          </w:tcPr>
          <w:p w14:paraId="38637F4C" w14:textId="77777777" w:rsidR="00F87E58" w:rsidRPr="00A81836" w:rsidRDefault="00F87E58" w:rsidP="00F87E58">
            <w:pPr>
              <w:pStyle w:val="cuadroCabe"/>
              <w:ind w:left="-116"/>
              <w:jc w:val="right"/>
              <w:rPr>
                <w:sz w:val="12"/>
                <w:szCs w:val="12"/>
              </w:rPr>
            </w:pPr>
            <w:r>
              <w:rPr>
                <w:sz w:val="12"/>
              </w:rPr>
              <w:t xml:space="preserve">2011</w:t>
            </w:r>
          </w:p>
        </w:tc>
        <w:tc>
          <w:tcPr>
            <w:tcW w:w="476" w:type="dxa"/>
            <w:tcBorders>
              <w:top w:val="single" w:sz="4" w:space="0" w:color="auto"/>
              <w:left w:val="nil"/>
              <w:bottom w:val="single" w:sz="4" w:space="0" w:color="auto"/>
              <w:right w:val="nil"/>
            </w:tcBorders>
            <w:shd w:val="clear" w:color="auto" w:fill="9CC2E5"/>
            <w:noWrap/>
            <w:vAlign w:val="bottom"/>
          </w:tcPr>
          <w:p w14:paraId="5C17592E" w14:textId="77777777" w:rsidR="00F87E58" w:rsidRPr="00A81836" w:rsidRDefault="00F87E58" w:rsidP="00F87E58">
            <w:pPr>
              <w:pStyle w:val="cuadroCabe"/>
              <w:ind w:left="-116"/>
              <w:jc w:val="right"/>
              <w:rPr>
                <w:sz w:val="12"/>
                <w:szCs w:val="12"/>
              </w:rPr>
            </w:pPr>
            <w:r>
              <w:rPr>
                <w:sz w:val="12"/>
              </w:rPr>
              <w:t xml:space="preserve">2012</w:t>
            </w:r>
          </w:p>
        </w:tc>
        <w:tc>
          <w:tcPr>
            <w:tcW w:w="476" w:type="dxa"/>
            <w:tcBorders>
              <w:top w:val="single" w:sz="4" w:space="0" w:color="auto"/>
              <w:left w:val="nil"/>
              <w:bottom w:val="single" w:sz="4" w:space="0" w:color="auto"/>
              <w:right w:val="nil"/>
            </w:tcBorders>
            <w:shd w:val="clear" w:color="auto" w:fill="9CC2E5"/>
            <w:noWrap/>
            <w:vAlign w:val="bottom"/>
          </w:tcPr>
          <w:p w14:paraId="06C519FF" w14:textId="77777777" w:rsidR="00F87E58" w:rsidRPr="00A81836" w:rsidRDefault="00F87E58" w:rsidP="00F87E58">
            <w:pPr>
              <w:pStyle w:val="cuadroCabe"/>
              <w:ind w:left="-116"/>
              <w:jc w:val="right"/>
              <w:rPr>
                <w:sz w:val="12"/>
                <w:szCs w:val="12"/>
              </w:rPr>
            </w:pPr>
            <w:r>
              <w:rPr>
                <w:sz w:val="12"/>
              </w:rPr>
              <w:t xml:space="preserve">2013</w:t>
            </w:r>
          </w:p>
        </w:tc>
        <w:tc>
          <w:tcPr>
            <w:tcW w:w="476" w:type="dxa"/>
            <w:tcBorders>
              <w:top w:val="single" w:sz="4" w:space="0" w:color="auto"/>
              <w:left w:val="nil"/>
              <w:bottom w:val="single" w:sz="4" w:space="0" w:color="auto"/>
              <w:right w:val="nil"/>
            </w:tcBorders>
            <w:shd w:val="clear" w:color="auto" w:fill="9CC2E5"/>
            <w:noWrap/>
            <w:vAlign w:val="bottom"/>
          </w:tcPr>
          <w:p w14:paraId="52830EC6" w14:textId="77777777" w:rsidR="00F87E58" w:rsidRPr="00A81836" w:rsidRDefault="00F87E58" w:rsidP="00F87E58">
            <w:pPr>
              <w:pStyle w:val="cuadroCabe"/>
              <w:ind w:left="-116"/>
              <w:jc w:val="right"/>
              <w:rPr>
                <w:sz w:val="12"/>
                <w:szCs w:val="12"/>
              </w:rPr>
            </w:pPr>
            <w:r>
              <w:rPr>
                <w:sz w:val="12"/>
              </w:rPr>
              <w:t xml:space="preserve">2014</w:t>
            </w:r>
          </w:p>
        </w:tc>
        <w:tc>
          <w:tcPr>
            <w:tcW w:w="476" w:type="dxa"/>
            <w:tcBorders>
              <w:top w:val="single" w:sz="4" w:space="0" w:color="auto"/>
              <w:left w:val="nil"/>
              <w:bottom w:val="single" w:sz="4" w:space="0" w:color="auto"/>
              <w:right w:val="nil"/>
            </w:tcBorders>
            <w:shd w:val="clear" w:color="auto" w:fill="9CC2E5"/>
            <w:noWrap/>
            <w:vAlign w:val="bottom"/>
          </w:tcPr>
          <w:p w14:paraId="08DA922E" w14:textId="77777777" w:rsidR="00F87E58" w:rsidRPr="00A81836" w:rsidRDefault="00F87E58" w:rsidP="00F87E58">
            <w:pPr>
              <w:pStyle w:val="cuadroCabe"/>
              <w:ind w:left="-116"/>
              <w:jc w:val="right"/>
              <w:rPr>
                <w:sz w:val="12"/>
                <w:szCs w:val="12"/>
              </w:rPr>
            </w:pPr>
            <w:r>
              <w:rPr>
                <w:sz w:val="12"/>
              </w:rPr>
              <w:t xml:space="preserve">2015</w:t>
            </w:r>
          </w:p>
        </w:tc>
        <w:tc>
          <w:tcPr>
            <w:tcW w:w="476" w:type="dxa"/>
            <w:tcBorders>
              <w:top w:val="single" w:sz="4" w:space="0" w:color="auto"/>
              <w:left w:val="nil"/>
              <w:bottom w:val="single" w:sz="4" w:space="0" w:color="auto"/>
              <w:right w:val="nil"/>
            </w:tcBorders>
            <w:shd w:val="clear" w:color="auto" w:fill="9CC2E5"/>
            <w:noWrap/>
            <w:vAlign w:val="bottom"/>
          </w:tcPr>
          <w:p w14:paraId="4426B6CB" w14:textId="77777777" w:rsidR="00F87E58" w:rsidRPr="00A81836" w:rsidRDefault="00F87E58" w:rsidP="00F87E58">
            <w:pPr>
              <w:pStyle w:val="cuadroCabe"/>
              <w:ind w:left="-116"/>
              <w:jc w:val="right"/>
              <w:rPr>
                <w:sz w:val="12"/>
                <w:szCs w:val="12"/>
              </w:rPr>
            </w:pPr>
            <w:r>
              <w:rPr>
                <w:sz w:val="12"/>
              </w:rPr>
              <w:t xml:space="preserve">2016</w:t>
            </w:r>
          </w:p>
        </w:tc>
        <w:tc>
          <w:tcPr>
            <w:tcW w:w="476" w:type="dxa"/>
            <w:tcBorders>
              <w:top w:val="single" w:sz="4" w:space="0" w:color="auto"/>
              <w:left w:val="nil"/>
              <w:bottom w:val="single" w:sz="4" w:space="0" w:color="auto"/>
              <w:right w:val="nil"/>
            </w:tcBorders>
            <w:shd w:val="clear" w:color="auto" w:fill="9CC2E5"/>
            <w:noWrap/>
            <w:vAlign w:val="bottom"/>
          </w:tcPr>
          <w:p w14:paraId="1C3F598C" w14:textId="77777777" w:rsidR="00F87E58" w:rsidRPr="00A81836" w:rsidRDefault="00F87E58" w:rsidP="00F87E58">
            <w:pPr>
              <w:pStyle w:val="cuadroCabe"/>
              <w:ind w:left="-116"/>
              <w:jc w:val="right"/>
              <w:rPr>
                <w:sz w:val="12"/>
                <w:szCs w:val="12"/>
              </w:rPr>
            </w:pPr>
            <w:r>
              <w:rPr>
                <w:sz w:val="12"/>
              </w:rPr>
              <w:t xml:space="preserve">2017</w:t>
            </w:r>
          </w:p>
        </w:tc>
        <w:tc>
          <w:tcPr>
            <w:tcW w:w="476" w:type="dxa"/>
            <w:tcBorders>
              <w:top w:val="single" w:sz="4" w:space="0" w:color="auto"/>
              <w:left w:val="nil"/>
              <w:bottom w:val="single" w:sz="4" w:space="0" w:color="auto"/>
              <w:right w:val="nil"/>
            </w:tcBorders>
            <w:shd w:val="clear" w:color="auto" w:fill="9CC2E5"/>
            <w:noWrap/>
            <w:vAlign w:val="bottom"/>
          </w:tcPr>
          <w:p w14:paraId="455B147E" w14:textId="77777777" w:rsidR="00F87E58" w:rsidRPr="00A81836" w:rsidRDefault="00F87E58" w:rsidP="00F87E58">
            <w:pPr>
              <w:pStyle w:val="cuadroCabe"/>
              <w:ind w:left="-116"/>
              <w:jc w:val="right"/>
              <w:rPr>
                <w:sz w:val="12"/>
                <w:szCs w:val="12"/>
              </w:rPr>
            </w:pPr>
            <w:r>
              <w:rPr>
                <w:sz w:val="12"/>
              </w:rPr>
              <w:t xml:space="preserve">2018</w:t>
            </w:r>
          </w:p>
        </w:tc>
        <w:tc>
          <w:tcPr>
            <w:tcW w:w="476" w:type="dxa"/>
            <w:tcBorders>
              <w:top w:val="single" w:sz="4" w:space="0" w:color="auto"/>
              <w:left w:val="nil"/>
              <w:bottom w:val="single" w:sz="4" w:space="0" w:color="auto"/>
              <w:right w:val="nil"/>
            </w:tcBorders>
            <w:shd w:val="clear" w:color="auto" w:fill="9CC2E5"/>
            <w:noWrap/>
            <w:vAlign w:val="bottom"/>
          </w:tcPr>
          <w:p w14:paraId="522E0E4C" w14:textId="77777777" w:rsidR="00F87E58" w:rsidRPr="00A81836" w:rsidRDefault="00F87E58" w:rsidP="00F87E58">
            <w:pPr>
              <w:pStyle w:val="cuadroCabe"/>
              <w:ind w:left="-116"/>
              <w:jc w:val="right"/>
              <w:rPr>
                <w:sz w:val="12"/>
                <w:szCs w:val="12"/>
              </w:rPr>
            </w:pPr>
            <w:r>
              <w:rPr>
                <w:sz w:val="12"/>
              </w:rPr>
              <w:t xml:space="preserve">2019</w:t>
            </w:r>
          </w:p>
        </w:tc>
        <w:tc>
          <w:tcPr>
            <w:tcW w:w="476" w:type="dxa"/>
            <w:tcBorders>
              <w:top w:val="single" w:sz="4" w:space="0" w:color="auto"/>
              <w:left w:val="nil"/>
              <w:bottom w:val="single" w:sz="4" w:space="0" w:color="auto"/>
              <w:right w:val="nil"/>
            </w:tcBorders>
            <w:shd w:val="clear" w:color="auto" w:fill="9CC2E5"/>
            <w:noWrap/>
            <w:vAlign w:val="bottom"/>
          </w:tcPr>
          <w:p w14:paraId="4BE7625C" w14:textId="77777777" w:rsidR="00F87E58" w:rsidRPr="00A81836" w:rsidRDefault="00F87E58" w:rsidP="00F87E58">
            <w:pPr>
              <w:pStyle w:val="cuadroCabe"/>
              <w:ind w:left="-116"/>
              <w:jc w:val="right"/>
              <w:rPr>
                <w:sz w:val="12"/>
                <w:szCs w:val="12"/>
              </w:rPr>
            </w:pPr>
            <w:r>
              <w:rPr>
                <w:sz w:val="12"/>
              </w:rPr>
              <w:t xml:space="preserve">2020</w:t>
            </w:r>
          </w:p>
        </w:tc>
        <w:tc>
          <w:tcPr>
            <w:tcW w:w="476" w:type="dxa"/>
            <w:tcBorders>
              <w:top w:val="single" w:sz="4" w:space="0" w:color="auto"/>
              <w:left w:val="nil"/>
              <w:bottom w:val="single" w:sz="4" w:space="0" w:color="auto"/>
              <w:right w:val="nil"/>
            </w:tcBorders>
            <w:shd w:val="clear" w:color="auto" w:fill="9CC2E5"/>
            <w:noWrap/>
            <w:vAlign w:val="bottom"/>
          </w:tcPr>
          <w:p w14:paraId="06B53AB8" w14:textId="77777777" w:rsidR="00F87E58" w:rsidRPr="00A81836" w:rsidRDefault="00F87E58" w:rsidP="00F87E58">
            <w:pPr>
              <w:pStyle w:val="cuadroCabe"/>
              <w:ind w:left="-116"/>
              <w:jc w:val="right"/>
              <w:rPr>
                <w:sz w:val="12"/>
                <w:szCs w:val="12"/>
              </w:rPr>
            </w:pPr>
            <w:r>
              <w:rPr>
                <w:sz w:val="12"/>
              </w:rPr>
              <w:t xml:space="preserve">2021</w:t>
            </w:r>
          </w:p>
        </w:tc>
        <w:tc>
          <w:tcPr>
            <w:tcW w:w="476" w:type="dxa"/>
            <w:tcBorders>
              <w:top w:val="single" w:sz="4" w:space="0" w:color="auto"/>
              <w:left w:val="nil"/>
              <w:bottom w:val="single" w:sz="4" w:space="0" w:color="auto"/>
              <w:right w:val="nil"/>
            </w:tcBorders>
            <w:shd w:val="clear" w:color="auto" w:fill="9CC2E5"/>
            <w:noWrap/>
            <w:vAlign w:val="bottom"/>
          </w:tcPr>
          <w:p w14:paraId="719A4968" w14:textId="77777777" w:rsidR="00F87E58" w:rsidRPr="00A81836" w:rsidRDefault="00F87E58" w:rsidP="00F87E58">
            <w:pPr>
              <w:pStyle w:val="cuadroCabe"/>
              <w:ind w:left="-116"/>
              <w:jc w:val="right"/>
              <w:rPr>
                <w:sz w:val="12"/>
                <w:szCs w:val="12"/>
              </w:rPr>
            </w:pPr>
            <w:r>
              <w:rPr>
                <w:sz w:val="12"/>
              </w:rPr>
              <w:t xml:space="preserve">2022</w:t>
            </w:r>
          </w:p>
        </w:tc>
      </w:tr>
      <w:tr w:rsidR="00F87E58" w:rsidRPr="00A81836" w14:paraId="0BB2A163" w14:textId="77777777" w:rsidTr="00321B53">
        <w:trPr>
          <w:trHeight w:val="198"/>
          <w:jc w:val="center"/>
        </w:trPr>
        <w:tc>
          <w:tcPr>
            <w:tcW w:w="1134" w:type="dxa"/>
            <w:tcBorders>
              <w:top w:val="single" w:sz="4" w:space="0" w:color="auto"/>
              <w:bottom w:val="single" w:sz="2" w:space="0" w:color="auto"/>
              <w:right w:val="nil"/>
            </w:tcBorders>
            <w:shd w:val="clear" w:color="auto" w:fill="auto"/>
            <w:noWrap/>
            <w:vAlign w:val="center"/>
          </w:tcPr>
          <w:p w14:paraId="41AA1F17" w14:textId="77777777" w:rsidR="00F87E58" w:rsidRDefault="00F87E58" w:rsidP="00886F83">
            <w:pPr>
              <w:pStyle w:val="cuatexto"/>
              <w:spacing w:line="240" w:lineRule="auto"/>
              <w:jc w:val="left"/>
              <w:rPr>
                <w:sz w:val="12"/>
                <w:szCs w:val="12"/>
              </w:rPr>
            </w:pPr>
            <w:r>
              <w:rPr>
                <w:sz w:val="12"/>
              </w:rPr>
              <w:t xml:space="preserve">Parquenasaren</w:t>
            </w:r>
          </w:p>
          <w:p w14:paraId="36778CB9" w14:textId="77777777" w:rsidR="00F87E58" w:rsidRPr="00A81836" w:rsidRDefault="00F87E58" w:rsidP="00886F83">
            <w:pPr>
              <w:pStyle w:val="cuatexto"/>
              <w:spacing w:line="240" w:lineRule="auto"/>
              <w:jc w:val="left"/>
              <w:rPr>
                <w:sz w:val="12"/>
                <w:szCs w:val="12"/>
              </w:rPr>
            </w:pPr>
            <w:r>
              <w:rPr>
                <w:sz w:val="12"/>
              </w:rPr>
              <w:t xml:space="preserve">ondare garbia</w:t>
            </w:r>
          </w:p>
        </w:tc>
        <w:tc>
          <w:tcPr>
            <w:tcW w:w="397" w:type="dxa"/>
            <w:tcBorders>
              <w:top w:val="single" w:sz="4" w:space="0" w:color="auto"/>
              <w:left w:val="nil"/>
              <w:bottom w:val="single" w:sz="2" w:space="0" w:color="auto"/>
              <w:right w:val="nil"/>
            </w:tcBorders>
            <w:shd w:val="clear" w:color="auto" w:fill="auto"/>
            <w:noWrap/>
            <w:vAlign w:val="center"/>
          </w:tcPr>
          <w:p w14:paraId="235E671B" w14:textId="77777777" w:rsidR="00F87E58" w:rsidRPr="00A81836" w:rsidRDefault="00F87E58" w:rsidP="00F87E58">
            <w:pPr>
              <w:pStyle w:val="cuatexto"/>
              <w:ind w:left="-67"/>
              <w:jc w:val="right"/>
              <w:rPr>
                <w:sz w:val="14"/>
                <w:szCs w:val="14"/>
              </w:rPr>
            </w:pPr>
            <w:r>
              <w:rPr>
                <w:sz w:val="14"/>
              </w:rPr>
              <w:t xml:space="preserve">9,00</w:t>
            </w:r>
          </w:p>
        </w:tc>
        <w:tc>
          <w:tcPr>
            <w:tcW w:w="397" w:type="dxa"/>
            <w:tcBorders>
              <w:top w:val="single" w:sz="4" w:space="0" w:color="auto"/>
              <w:left w:val="nil"/>
              <w:bottom w:val="single" w:sz="2" w:space="0" w:color="auto"/>
              <w:right w:val="nil"/>
            </w:tcBorders>
            <w:shd w:val="clear" w:color="auto" w:fill="auto"/>
            <w:noWrap/>
            <w:vAlign w:val="center"/>
          </w:tcPr>
          <w:p w14:paraId="77A63EBD" w14:textId="77777777" w:rsidR="00F87E58" w:rsidRPr="00A81836" w:rsidRDefault="00F87E58" w:rsidP="00F87E58">
            <w:pPr>
              <w:pStyle w:val="cuatexto"/>
              <w:ind w:left="-66"/>
              <w:jc w:val="right"/>
              <w:rPr>
                <w:sz w:val="14"/>
                <w:szCs w:val="14"/>
              </w:rPr>
            </w:pPr>
            <w:r>
              <w:rPr>
                <w:sz w:val="14"/>
              </w:rPr>
              <w:t xml:space="preserve">8,96</w:t>
            </w:r>
          </w:p>
        </w:tc>
        <w:tc>
          <w:tcPr>
            <w:tcW w:w="397" w:type="dxa"/>
            <w:tcBorders>
              <w:top w:val="single" w:sz="4" w:space="0" w:color="auto"/>
              <w:left w:val="nil"/>
              <w:bottom w:val="single" w:sz="2" w:space="0" w:color="auto"/>
              <w:right w:val="nil"/>
            </w:tcBorders>
            <w:shd w:val="clear" w:color="auto" w:fill="auto"/>
            <w:noWrap/>
            <w:vAlign w:val="center"/>
          </w:tcPr>
          <w:p w14:paraId="3FC1C0E3" w14:textId="77777777" w:rsidR="00F87E58" w:rsidRPr="00A81836" w:rsidRDefault="00F87E58" w:rsidP="00F87E58">
            <w:pPr>
              <w:pStyle w:val="cuatexto"/>
              <w:ind w:left="-70"/>
              <w:jc w:val="right"/>
              <w:rPr>
                <w:sz w:val="14"/>
                <w:szCs w:val="14"/>
              </w:rPr>
            </w:pPr>
            <w:r>
              <w:rPr>
                <w:sz w:val="14"/>
              </w:rPr>
              <w:t xml:space="preserve">8,53</w:t>
            </w:r>
          </w:p>
        </w:tc>
        <w:tc>
          <w:tcPr>
            <w:tcW w:w="397" w:type="dxa"/>
            <w:tcBorders>
              <w:top w:val="single" w:sz="4" w:space="0" w:color="auto"/>
              <w:left w:val="nil"/>
              <w:bottom w:val="single" w:sz="2" w:space="0" w:color="auto"/>
              <w:right w:val="nil"/>
            </w:tcBorders>
            <w:shd w:val="clear" w:color="auto" w:fill="auto"/>
            <w:noWrap/>
            <w:vAlign w:val="center"/>
          </w:tcPr>
          <w:p w14:paraId="0711916C" w14:textId="77777777" w:rsidR="00F87E58" w:rsidRPr="00A81836" w:rsidRDefault="00F87E58" w:rsidP="00F87E58">
            <w:pPr>
              <w:pStyle w:val="cuatexto"/>
              <w:ind w:left="-69"/>
              <w:jc w:val="right"/>
              <w:rPr>
                <w:sz w:val="14"/>
                <w:szCs w:val="14"/>
              </w:rPr>
            </w:pPr>
            <w:r>
              <w:rPr>
                <w:sz w:val="14"/>
              </w:rPr>
              <w:t xml:space="preserve">5,95</w:t>
            </w:r>
          </w:p>
        </w:tc>
        <w:tc>
          <w:tcPr>
            <w:tcW w:w="397" w:type="dxa"/>
            <w:tcBorders>
              <w:top w:val="single" w:sz="4" w:space="0" w:color="auto"/>
              <w:left w:val="nil"/>
              <w:bottom w:val="single" w:sz="2" w:space="0" w:color="auto"/>
              <w:right w:val="nil"/>
            </w:tcBorders>
            <w:shd w:val="clear" w:color="auto" w:fill="auto"/>
            <w:noWrap/>
            <w:vAlign w:val="center"/>
          </w:tcPr>
          <w:p w14:paraId="48047E40" w14:textId="77777777" w:rsidR="00F87E58" w:rsidRPr="00A81836" w:rsidRDefault="00F87E58" w:rsidP="00F87E58">
            <w:pPr>
              <w:pStyle w:val="cuatexto"/>
              <w:ind w:left="-66"/>
              <w:jc w:val="right"/>
              <w:rPr>
                <w:sz w:val="14"/>
                <w:szCs w:val="14"/>
              </w:rPr>
            </w:pPr>
            <w:r>
              <w:rPr>
                <w:sz w:val="14"/>
              </w:rPr>
              <w:t xml:space="preserve">1,95</w:t>
            </w:r>
          </w:p>
        </w:tc>
        <w:tc>
          <w:tcPr>
            <w:tcW w:w="468" w:type="dxa"/>
            <w:tcBorders>
              <w:top w:val="single" w:sz="4" w:space="0" w:color="auto"/>
              <w:left w:val="nil"/>
              <w:bottom w:val="single" w:sz="2" w:space="0" w:color="auto"/>
              <w:right w:val="nil"/>
            </w:tcBorders>
            <w:shd w:val="clear" w:color="auto" w:fill="auto"/>
            <w:noWrap/>
            <w:vAlign w:val="center"/>
          </w:tcPr>
          <w:p w14:paraId="6F6C48EB" w14:textId="77777777" w:rsidR="00F87E58" w:rsidRPr="00A81836" w:rsidRDefault="00F87E58" w:rsidP="00F87E58">
            <w:pPr>
              <w:pStyle w:val="cuatexto"/>
              <w:ind w:left="-65"/>
              <w:jc w:val="right"/>
              <w:rPr>
                <w:sz w:val="14"/>
                <w:szCs w:val="14"/>
              </w:rPr>
            </w:pPr>
            <w:r>
              <w:rPr>
                <w:sz w:val="14"/>
              </w:rPr>
              <w:t xml:space="preserve">(2,51)</w:t>
            </w:r>
          </w:p>
        </w:tc>
        <w:tc>
          <w:tcPr>
            <w:tcW w:w="397" w:type="dxa"/>
            <w:tcBorders>
              <w:top w:val="single" w:sz="4" w:space="0" w:color="auto"/>
              <w:left w:val="nil"/>
              <w:bottom w:val="single" w:sz="2" w:space="0" w:color="auto"/>
              <w:right w:val="nil"/>
            </w:tcBorders>
            <w:shd w:val="clear" w:color="auto" w:fill="auto"/>
            <w:noWrap/>
            <w:vAlign w:val="center"/>
          </w:tcPr>
          <w:p w14:paraId="28366040" w14:textId="77777777" w:rsidR="00F87E58" w:rsidRPr="00A81836" w:rsidRDefault="00F87E58" w:rsidP="00F87E58">
            <w:pPr>
              <w:pStyle w:val="cuatexto"/>
              <w:ind w:left="-63"/>
              <w:jc w:val="right"/>
              <w:rPr>
                <w:sz w:val="14"/>
                <w:szCs w:val="14"/>
              </w:rPr>
            </w:pPr>
            <w:r>
              <w:rPr>
                <w:sz w:val="14"/>
              </w:rPr>
              <w:t xml:space="preserve">(6,88)</w:t>
            </w:r>
          </w:p>
        </w:tc>
        <w:tc>
          <w:tcPr>
            <w:tcW w:w="477" w:type="dxa"/>
            <w:tcBorders>
              <w:top w:val="single" w:sz="4" w:space="0" w:color="auto"/>
              <w:left w:val="nil"/>
              <w:bottom w:val="single" w:sz="2" w:space="0" w:color="auto"/>
              <w:right w:val="nil"/>
            </w:tcBorders>
            <w:shd w:val="clear" w:color="auto" w:fill="auto"/>
            <w:noWrap/>
            <w:vAlign w:val="center"/>
          </w:tcPr>
          <w:p w14:paraId="49173AE9" w14:textId="77777777" w:rsidR="00F87E58" w:rsidRPr="00A81836" w:rsidRDefault="00F87E58" w:rsidP="00F87E58">
            <w:pPr>
              <w:pStyle w:val="cuatexto"/>
              <w:ind w:left="-69"/>
              <w:jc w:val="right"/>
              <w:rPr>
                <w:sz w:val="14"/>
                <w:szCs w:val="14"/>
              </w:rPr>
            </w:pPr>
            <w:r>
              <w:rPr>
                <w:sz w:val="14"/>
              </w:rPr>
              <w:t xml:space="preserve">(11,69)</w:t>
            </w:r>
          </w:p>
        </w:tc>
        <w:tc>
          <w:tcPr>
            <w:tcW w:w="476" w:type="dxa"/>
            <w:tcBorders>
              <w:top w:val="single" w:sz="4" w:space="0" w:color="auto"/>
              <w:left w:val="nil"/>
              <w:bottom w:val="single" w:sz="2" w:space="0" w:color="auto"/>
              <w:right w:val="nil"/>
            </w:tcBorders>
            <w:shd w:val="clear" w:color="auto" w:fill="auto"/>
            <w:noWrap/>
            <w:vAlign w:val="center"/>
          </w:tcPr>
          <w:p w14:paraId="1B3BD74F" w14:textId="77777777" w:rsidR="00F87E58" w:rsidRPr="00A81836" w:rsidRDefault="00F87E58" w:rsidP="00F87E58">
            <w:pPr>
              <w:pStyle w:val="cuatexto"/>
              <w:ind w:left="-116"/>
              <w:jc w:val="right"/>
              <w:rPr>
                <w:sz w:val="14"/>
                <w:szCs w:val="14"/>
              </w:rPr>
            </w:pPr>
            <w:r>
              <w:rPr>
                <w:sz w:val="14"/>
              </w:rPr>
              <w:t xml:space="preserve">(15,83)</w:t>
            </w:r>
          </w:p>
        </w:tc>
        <w:tc>
          <w:tcPr>
            <w:tcW w:w="476" w:type="dxa"/>
            <w:tcBorders>
              <w:top w:val="single" w:sz="4" w:space="0" w:color="auto"/>
              <w:left w:val="nil"/>
              <w:bottom w:val="single" w:sz="2" w:space="0" w:color="auto"/>
              <w:right w:val="nil"/>
            </w:tcBorders>
            <w:shd w:val="clear" w:color="auto" w:fill="auto"/>
            <w:noWrap/>
            <w:vAlign w:val="center"/>
          </w:tcPr>
          <w:p w14:paraId="61BFC34B"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(20,13)</w:t>
            </w:r>
          </w:p>
        </w:tc>
        <w:tc>
          <w:tcPr>
            <w:tcW w:w="476" w:type="dxa"/>
            <w:tcBorders>
              <w:top w:val="single" w:sz="4" w:space="0" w:color="auto"/>
              <w:left w:val="nil"/>
              <w:bottom w:val="single" w:sz="2" w:space="0" w:color="auto"/>
              <w:right w:val="nil"/>
            </w:tcBorders>
            <w:shd w:val="clear" w:color="auto" w:fill="auto"/>
            <w:noWrap/>
            <w:vAlign w:val="center"/>
          </w:tcPr>
          <w:p w14:paraId="14B40D09"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(24,17)</w:t>
            </w:r>
          </w:p>
        </w:tc>
        <w:tc>
          <w:tcPr>
            <w:tcW w:w="476" w:type="dxa"/>
            <w:tcBorders>
              <w:top w:val="single" w:sz="4" w:space="0" w:color="auto"/>
              <w:left w:val="nil"/>
              <w:bottom w:val="single" w:sz="2" w:space="0" w:color="auto"/>
              <w:right w:val="nil"/>
            </w:tcBorders>
            <w:shd w:val="clear" w:color="auto" w:fill="auto"/>
            <w:noWrap/>
            <w:vAlign w:val="center"/>
          </w:tcPr>
          <w:p w14:paraId="5A64BE40"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(28,22)</w:t>
            </w:r>
          </w:p>
        </w:tc>
        <w:tc>
          <w:tcPr>
            <w:tcW w:w="476" w:type="dxa"/>
            <w:tcBorders>
              <w:top w:val="single" w:sz="4" w:space="0" w:color="auto"/>
              <w:left w:val="nil"/>
              <w:bottom w:val="single" w:sz="2" w:space="0" w:color="auto"/>
              <w:right w:val="nil"/>
            </w:tcBorders>
            <w:shd w:val="clear" w:color="auto" w:fill="auto"/>
            <w:noWrap/>
            <w:vAlign w:val="center"/>
          </w:tcPr>
          <w:p w14:paraId="65E38EFD"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(32,02)</w:t>
            </w:r>
          </w:p>
        </w:tc>
        <w:tc>
          <w:tcPr>
            <w:tcW w:w="476" w:type="dxa"/>
            <w:tcBorders>
              <w:top w:val="single" w:sz="4" w:space="0" w:color="auto"/>
              <w:left w:val="nil"/>
              <w:bottom w:val="single" w:sz="2" w:space="0" w:color="auto"/>
              <w:right w:val="nil"/>
            </w:tcBorders>
            <w:shd w:val="clear" w:color="auto" w:fill="auto"/>
            <w:noWrap/>
            <w:vAlign w:val="center"/>
          </w:tcPr>
          <w:p w14:paraId="65F175C5"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(34,88)</w:t>
            </w:r>
          </w:p>
        </w:tc>
        <w:tc>
          <w:tcPr>
            <w:tcW w:w="476" w:type="dxa"/>
            <w:tcBorders>
              <w:top w:val="single" w:sz="4" w:space="0" w:color="auto"/>
              <w:left w:val="nil"/>
              <w:bottom w:val="single" w:sz="2" w:space="0" w:color="auto"/>
              <w:right w:val="nil"/>
            </w:tcBorders>
            <w:shd w:val="clear" w:color="auto" w:fill="auto"/>
            <w:noWrap/>
            <w:vAlign w:val="center"/>
          </w:tcPr>
          <w:p w14:paraId="7B3FFC0D"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(37,80)</w:t>
            </w:r>
          </w:p>
        </w:tc>
        <w:tc>
          <w:tcPr>
            <w:tcW w:w="476" w:type="dxa"/>
            <w:tcBorders>
              <w:top w:val="single" w:sz="4" w:space="0" w:color="auto"/>
              <w:left w:val="nil"/>
              <w:bottom w:val="single" w:sz="2" w:space="0" w:color="auto"/>
              <w:right w:val="nil"/>
            </w:tcBorders>
            <w:shd w:val="clear" w:color="auto" w:fill="auto"/>
            <w:noWrap/>
            <w:vAlign w:val="center"/>
          </w:tcPr>
          <w:p w14:paraId="60B577BB"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(40,31)</w:t>
            </w:r>
          </w:p>
        </w:tc>
        <w:tc>
          <w:tcPr>
            <w:tcW w:w="476" w:type="dxa"/>
            <w:tcBorders>
              <w:top w:val="single" w:sz="4" w:space="0" w:color="auto"/>
              <w:left w:val="nil"/>
              <w:bottom w:val="single" w:sz="2" w:space="0" w:color="auto"/>
              <w:right w:val="nil"/>
            </w:tcBorders>
            <w:shd w:val="clear" w:color="auto" w:fill="auto"/>
            <w:noWrap/>
            <w:vAlign w:val="center"/>
          </w:tcPr>
          <w:p w14:paraId="2CBF2843"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(42,85)</w:t>
            </w:r>
          </w:p>
        </w:tc>
        <w:tc>
          <w:tcPr>
            <w:tcW w:w="476" w:type="dxa"/>
            <w:tcBorders>
              <w:top w:val="single" w:sz="4" w:space="0" w:color="auto"/>
              <w:left w:val="nil"/>
              <w:bottom w:val="single" w:sz="2" w:space="0" w:color="auto"/>
              <w:right w:val="nil"/>
            </w:tcBorders>
            <w:shd w:val="clear" w:color="auto" w:fill="auto"/>
            <w:noWrap/>
            <w:vAlign w:val="center"/>
          </w:tcPr>
          <w:p w14:paraId="3C785853"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(45,29)</w:t>
            </w:r>
          </w:p>
        </w:tc>
        <w:tc>
          <w:tcPr>
            <w:tcW w:w="476" w:type="dxa"/>
            <w:tcBorders>
              <w:top w:val="single" w:sz="4" w:space="0" w:color="auto"/>
              <w:left w:val="nil"/>
              <w:bottom w:val="single" w:sz="2" w:space="0" w:color="auto"/>
              <w:right w:val="nil"/>
            </w:tcBorders>
            <w:shd w:val="clear" w:color="auto" w:fill="auto"/>
            <w:noWrap/>
            <w:vAlign w:val="center"/>
          </w:tcPr>
          <w:p w14:paraId="6FE134A7"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(47,98)</w:t>
            </w:r>
          </w:p>
        </w:tc>
        <w:tc>
          <w:tcPr>
            <w:tcW w:w="476" w:type="dxa"/>
            <w:tcBorders>
              <w:top w:val="single" w:sz="4" w:space="0" w:color="auto"/>
              <w:left w:val="nil"/>
              <w:bottom w:val="single" w:sz="2" w:space="0" w:color="auto"/>
              <w:right w:val="nil"/>
            </w:tcBorders>
            <w:shd w:val="clear" w:color="auto" w:fill="auto"/>
            <w:noWrap/>
            <w:vAlign w:val="center"/>
          </w:tcPr>
          <w:p w14:paraId="2DADD5F7"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(51,32)</w:t>
            </w:r>
          </w:p>
        </w:tc>
        <w:tc>
          <w:tcPr>
            <w:tcW w:w="476" w:type="dxa"/>
            <w:tcBorders>
              <w:top w:val="single" w:sz="4" w:space="0" w:color="auto"/>
              <w:left w:val="nil"/>
              <w:bottom w:val="single" w:sz="2" w:space="0" w:color="auto"/>
              <w:right w:val="nil"/>
            </w:tcBorders>
            <w:shd w:val="clear" w:color="auto" w:fill="auto"/>
            <w:noWrap/>
            <w:vAlign w:val="center"/>
          </w:tcPr>
          <w:p w14:paraId="00F642C5"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(53,32)</w:t>
            </w:r>
          </w:p>
        </w:tc>
        <w:tc>
          <w:tcPr>
            <w:tcW w:w="476" w:type="dxa"/>
            <w:tcBorders>
              <w:top w:val="single" w:sz="4" w:space="0" w:color="auto"/>
              <w:left w:val="nil"/>
              <w:bottom w:val="single" w:sz="2" w:space="0" w:color="auto"/>
              <w:right w:val="nil"/>
            </w:tcBorders>
            <w:shd w:val="clear" w:color="auto" w:fill="auto"/>
            <w:noWrap/>
            <w:vAlign w:val="center"/>
          </w:tcPr>
          <w:p w14:paraId="026C3179"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(55,53)</w:t>
            </w:r>
          </w:p>
        </w:tc>
      </w:tr>
      <w:tr w:rsidR="00F87E58" w:rsidRPr="00A81836" w14:paraId="4BC87517" w14:textId="77777777" w:rsidTr="00321B53">
        <w:trPr>
          <w:trHeight w:val="198"/>
          <w:jc w:val="center"/>
        </w:trPr>
        <w:tc>
          <w:tcPr>
            <w:tcW w:w="1134" w:type="dxa"/>
            <w:tcBorders>
              <w:top w:val="single" w:sz="2" w:space="0" w:color="auto"/>
              <w:bottom w:val="single" w:sz="2" w:space="0" w:color="auto"/>
              <w:right w:val="nil"/>
            </w:tcBorders>
            <w:shd w:val="clear" w:color="auto" w:fill="auto"/>
            <w:noWrap/>
            <w:vAlign w:val="bottom"/>
          </w:tcPr>
          <w:p w14:paraId="5EE61B4E" w14:textId="77777777" w:rsidR="00F87E58" w:rsidRPr="00A81836" w:rsidRDefault="00F87E58" w:rsidP="00886F83">
            <w:pPr>
              <w:pStyle w:val="cuatexto"/>
              <w:spacing w:line="240" w:lineRule="auto"/>
              <w:jc w:val="left"/>
              <w:rPr>
                <w:sz w:val="12"/>
                <w:szCs w:val="12"/>
              </w:rPr>
            </w:pPr>
            <w:r>
              <w:rPr>
                <w:sz w:val="12"/>
              </w:rPr>
              <w:t xml:space="preserve">Partaidetza-maileguen urteko zenbatekoa</w:t>
            </w:r>
          </w:p>
        </w:tc>
        <w:tc>
          <w:tcPr>
            <w:tcW w:w="397" w:type="dxa"/>
            <w:tcBorders>
              <w:top w:val="single" w:sz="2" w:space="0" w:color="auto"/>
              <w:left w:val="nil"/>
              <w:bottom w:val="single" w:sz="2" w:space="0" w:color="auto"/>
              <w:right w:val="nil"/>
            </w:tcBorders>
            <w:shd w:val="clear" w:color="auto" w:fill="auto"/>
            <w:noWrap/>
            <w:vAlign w:val="center"/>
          </w:tcPr>
          <w:p w14:paraId="3CB263B6" w14:textId="77777777" w:rsidR="00F87E58" w:rsidRPr="00A81836" w:rsidRDefault="00F87E58" w:rsidP="00F87E58">
            <w:pPr>
              <w:pStyle w:val="cuatexto"/>
              <w:ind w:left="-67"/>
              <w:jc w:val="right"/>
              <w:rPr>
                <w:sz w:val="14"/>
                <w:szCs w:val="14"/>
              </w:rPr>
            </w:pPr>
            <w:r>
              <w:rPr>
                <w:sz w:val="14"/>
              </w:rPr>
              <w:t xml:space="preserve">0,00</w:t>
            </w:r>
          </w:p>
        </w:tc>
        <w:tc>
          <w:tcPr>
            <w:tcW w:w="397" w:type="dxa"/>
            <w:tcBorders>
              <w:top w:val="single" w:sz="2" w:space="0" w:color="auto"/>
              <w:left w:val="nil"/>
              <w:bottom w:val="single" w:sz="2" w:space="0" w:color="auto"/>
              <w:right w:val="nil"/>
            </w:tcBorders>
            <w:shd w:val="clear" w:color="auto" w:fill="auto"/>
            <w:noWrap/>
            <w:vAlign w:val="center"/>
          </w:tcPr>
          <w:p w14:paraId="22A81ED3" w14:textId="77777777" w:rsidR="00F87E58" w:rsidRPr="00A81836" w:rsidRDefault="00F87E58" w:rsidP="00F87E58">
            <w:pPr>
              <w:pStyle w:val="cuatexto"/>
              <w:ind w:left="-66"/>
              <w:jc w:val="right"/>
              <w:rPr>
                <w:sz w:val="14"/>
                <w:szCs w:val="14"/>
              </w:rPr>
            </w:pPr>
            <w:r>
              <w:rPr>
                <w:sz w:val="14"/>
              </w:rPr>
              <w:t xml:space="preserve">0,00</w:t>
            </w:r>
          </w:p>
        </w:tc>
        <w:tc>
          <w:tcPr>
            <w:tcW w:w="397" w:type="dxa"/>
            <w:tcBorders>
              <w:top w:val="single" w:sz="2" w:space="0" w:color="auto"/>
              <w:left w:val="nil"/>
              <w:bottom w:val="single" w:sz="2" w:space="0" w:color="auto"/>
              <w:right w:val="nil"/>
            </w:tcBorders>
            <w:shd w:val="clear" w:color="auto" w:fill="auto"/>
            <w:noWrap/>
            <w:vAlign w:val="center"/>
          </w:tcPr>
          <w:p w14:paraId="26B35919" w14:textId="77777777" w:rsidR="00F87E58" w:rsidRPr="00A81836" w:rsidRDefault="00F87E58" w:rsidP="00F87E58">
            <w:pPr>
              <w:pStyle w:val="cuatexto"/>
              <w:ind w:left="-70"/>
              <w:jc w:val="right"/>
              <w:rPr>
                <w:sz w:val="14"/>
                <w:szCs w:val="14"/>
              </w:rPr>
            </w:pPr>
            <w:r>
              <w:rPr>
                <w:sz w:val="14"/>
              </w:rPr>
              <w:t xml:space="preserve">0,00</w:t>
            </w:r>
          </w:p>
        </w:tc>
        <w:tc>
          <w:tcPr>
            <w:tcW w:w="397" w:type="dxa"/>
            <w:tcBorders>
              <w:top w:val="single" w:sz="2" w:space="0" w:color="auto"/>
              <w:left w:val="nil"/>
              <w:bottom w:val="single" w:sz="2" w:space="0" w:color="auto"/>
              <w:right w:val="nil"/>
            </w:tcBorders>
            <w:shd w:val="clear" w:color="auto" w:fill="auto"/>
            <w:noWrap/>
            <w:vAlign w:val="center"/>
          </w:tcPr>
          <w:p w14:paraId="496DE2C2" w14:textId="77777777" w:rsidR="00F87E58" w:rsidRPr="00A81836" w:rsidRDefault="00F87E58" w:rsidP="00F87E58">
            <w:pPr>
              <w:pStyle w:val="cuatexto"/>
              <w:ind w:left="-69"/>
              <w:jc w:val="right"/>
              <w:rPr>
                <w:sz w:val="14"/>
                <w:szCs w:val="14"/>
              </w:rPr>
            </w:pPr>
            <w:r>
              <w:rPr>
                <w:sz w:val="14"/>
              </w:rPr>
              <w:t xml:space="preserve">0,00</w:t>
            </w:r>
          </w:p>
        </w:tc>
        <w:tc>
          <w:tcPr>
            <w:tcW w:w="397" w:type="dxa"/>
            <w:tcBorders>
              <w:top w:val="single" w:sz="2" w:space="0" w:color="auto"/>
              <w:left w:val="nil"/>
              <w:bottom w:val="single" w:sz="2" w:space="0" w:color="auto"/>
              <w:right w:val="nil"/>
            </w:tcBorders>
            <w:shd w:val="clear" w:color="auto" w:fill="auto"/>
            <w:noWrap/>
            <w:vAlign w:val="center"/>
          </w:tcPr>
          <w:p w14:paraId="17A0FBAE" w14:textId="77777777" w:rsidR="00F87E58" w:rsidRPr="00A81836" w:rsidRDefault="00F87E58" w:rsidP="00F87E58">
            <w:pPr>
              <w:pStyle w:val="cuatexto"/>
              <w:ind w:left="-66"/>
              <w:jc w:val="right"/>
              <w:rPr>
                <w:sz w:val="14"/>
                <w:szCs w:val="14"/>
              </w:rPr>
            </w:pPr>
            <w:r>
              <w:rPr>
                <w:sz w:val="14"/>
              </w:rPr>
              <w:t xml:space="preserve">0,00</w:t>
            </w:r>
          </w:p>
        </w:tc>
        <w:tc>
          <w:tcPr>
            <w:tcW w:w="468" w:type="dxa"/>
            <w:tcBorders>
              <w:top w:val="single" w:sz="2" w:space="0" w:color="auto"/>
              <w:left w:val="nil"/>
              <w:bottom w:val="single" w:sz="2" w:space="0" w:color="auto"/>
              <w:right w:val="nil"/>
            </w:tcBorders>
            <w:shd w:val="clear" w:color="auto" w:fill="auto"/>
            <w:noWrap/>
            <w:vAlign w:val="center"/>
          </w:tcPr>
          <w:p w14:paraId="15E3F577" w14:textId="77777777" w:rsidR="00F87E58" w:rsidRPr="00A81836" w:rsidRDefault="00F87E58" w:rsidP="00F87E58">
            <w:pPr>
              <w:pStyle w:val="cuatexto"/>
              <w:ind w:left="-65"/>
              <w:jc w:val="right"/>
              <w:rPr>
                <w:sz w:val="14"/>
                <w:szCs w:val="14"/>
              </w:rPr>
            </w:pPr>
            <w:r>
              <w:rPr>
                <w:sz w:val="14"/>
              </w:rPr>
              <w:t xml:space="preserve">4,30</w:t>
            </w:r>
          </w:p>
        </w:tc>
        <w:tc>
          <w:tcPr>
            <w:tcW w:w="397" w:type="dxa"/>
            <w:tcBorders>
              <w:top w:val="single" w:sz="2" w:space="0" w:color="auto"/>
              <w:left w:val="nil"/>
              <w:bottom w:val="single" w:sz="2" w:space="0" w:color="auto"/>
              <w:right w:val="nil"/>
            </w:tcBorders>
            <w:shd w:val="clear" w:color="auto" w:fill="auto"/>
            <w:noWrap/>
            <w:vAlign w:val="center"/>
          </w:tcPr>
          <w:p w14:paraId="654C92FF" w14:textId="77777777" w:rsidR="00F87E58" w:rsidRPr="00A81836" w:rsidRDefault="00F87E58" w:rsidP="00F87E58">
            <w:pPr>
              <w:pStyle w:val="cuatexto"/>
              <w:ind w:left="-63"/>
              <w:jc w:val="right"/>
              <w:rPr>
                <w:sz w:val="14"/>
                <w:szCs w:val="14"/>
              </w:rPr>
            </w:pPr>
            <w:r>
              <w:rPr>
                <w:sz w:val="14"/>
              </w:rPr>
              <w:t xml:space="preserve">4,40</w:t>
            </w:r>
          </w:p>
        </w:tc>
        <w:tc>
          <w:tcPr>
            <w:tcW w:w="477" w:type="dxa"/>
            <w:tcBorders>
              <w:top w:val="single" w:sz="2" w:space="0" w:color="auto"/>
              <w:left w:val="nil"/>
              <w:bottom w:val="single" w:sz="2" w:space="0" w:color="auto"/>
              <w:right w:val="nil"/>
            </w:tcBorders>
            <w:shd w:val="clear" w:color="auto" w:fill="auto"/>
            <w:noWrap/>
            <w:vAlign w:val="center"/>
          </w:tcPr>
          <w:p w14:paraId="45B02664" w14:textId="77777777" w:rsidR="00F87E58" w:rsidRPr="00A81836" w:rsidRDefault="00F87E58" w:rsidP="00F87E58">
            <w:pPr>
              <w:pStyle w:val="cuatexto"/>
              <w:ind w:left="-69"/>
              <w:jc w:val="right"/>
              <w:rPr>
                <w:sz w:val="14"/>
                <w:szCs w:val="14"/>
              </w:rPr>
            </w:pPr>
            <w:r>
              <w:rPr>
                <w:sz w:val="14"/>
              </w:rPr>
              <w:t xml:space="preserve">4,20</w:t>
            </w:r>
          </w:p>
        </w:tc>
        <w:tc>
          <w:tcPr>
            <w:tcW w:w="476" w:type="dxa"/>
            <w:tcBorders>
              <w:top w:val="single" w:sz="2" w:space="0" w:color="auto"/>
              <w:left w:val="nil"/>
              <w:bottom w:val="single" w:sz="2" w:space="0" w:color="auto"/>
              <w:right w:val="nil"/>
            </w:tcBorders>
            <w:shd w:val="clear" w:color="auto" w:fill="auto"/>
            <w:noWrap/>
            <w:vAlign w:val="center"/>
          </w:tcPr>
          <w:p w14:paraId="11BD976F" w14:textId="77777777" w:rsidR="00F87E58" w:rsidRPr="00A81836" w:rsidRDefault="00F87E58" w:rsidP="00F87E58">
            <w:pPr>
              <w:pStyle w:val="cuatexto"/>
              <w:ind w:left="-116"/>
              <w:jc w:val="right"/>
              <w:rPr>
                <w:sz w:val="14"/>
                <w:szCs w:val="14"/>
              </w:rPr>
            </w:pPr>
            <w:r>
              <w:rPr>
                <w:sz w:val="14"/>
              </w:rPr>
              <w:t xml:space="preserve">3,85</w:t>
            </w:r>
          </w:p>
        </w:tc>
        <w:tc>
          <w:tcPr>
            <w:tcW w:w="476" w:type="dxa"/>
            <w:tcBorders>
              <w:top w:val="single" w:sz="2" w:space="0" w:color="auto"/>
              <w:left w:val="nil"/>
              <w:bottom w:val="single" w:sz="2" w:space="0" w:color="auto"/>
              <w:right w:val="nil"/>
            </w:tcBorders>
            <w:shd w:val="clear" w:color="auto" w:fill="auto"/>
            <w:noWrap/>
            <w:vAlign w:val="center"/>
          </w:tcPr>
          <w:p w14:paraId="31672D48"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4,30</w:t>
            </w:r>
          </w:p>
        </w:tc>
        <w:tc>
          <w:tcPr>
            <w:tcW w:w="476" w:type="dxa"/>
            <w:tcBorders>
              <w:top w:val="single" w:sz="2" w:space="0" w:color="auto"/>
              <w:left w:val="nil"/>
              <w:bottom w:val="single" w:sz="2" w:space="0" w:color="auto"/>
              <w:right w:val="nil"/>
            </w:tcBorders>
            <w:shd w:val="clear" w:color="auto" w:fill="auto"/>
            <w:noWrap/>
            <w:vAlign w:val="center"/>
          </w:tcPr>
          <w:p w14:paraId="5E40E039"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4,33</w:t>
            </w:r>
          </w:p>
        </w:tc>
        <w:tc>
          <w:tcPr>
            <w:tcW w:w="476" w:type="dxa"/>
            <w:tcBorders>
              <w:top w:val="single" w:sz="2" w:space="0" w:color="auto"/>
              <w:left w:val="nil"/>
              <w:bottom w:val="single" w:sz="2" w:space="0" w:color="auto"/>
              <w:right w:val="nil"/>
            </w:tcBorders>
            <w:shd w:val="clear" w:color="auto" w:fill="auto"/>
            <w:noWrap/>
            <w:vAlign w:val="center"/>
          </w:tcPr>
          <w:p w14:paraId="79E6C5F7"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4,05</w:t>
            </w:r>
          </w:p>
        </w:tc>
        <w:tc>
          <w:tcPr>
            <w:tcW w:w="476" w:type="dxa"/>
            <w:tcBorders>
              <w:top w:val="single" w:sz="2" w:space="0" w:color="auto"/>
              <w:left w:val="nil"/>
              <w:bottom w:val="single" w:sz="2" w:space="0" w:color="auto"/>
              <w:right w:val="nil"/>
            </w:tcBorders>
            <w:shd w:val="clear" w:color="auto" w:fill="auto"/>
            <w:noWrap/>
            <w:vAlign w:val="center"/>
          </w:tcPr>
          <w:p w14:paraId="25459E13"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3,75</w:t>
            </w:r>
          </w:p>
        </w:tc>
        <w:tc>
          <w:tcPr>
            <w:tcW w:w="476" w:type="dxa"/>
            <w:tcBorders>
              <w:top w:val="single" w:sz="2" w:space="0" w:color="auto"/>
              <w:left w:val="nil"/>
              <w:bottom w:val="single" w:sz="2" w:space="0" w:color="auto"/>
              <w:right w:val="nil"/>
            </w:tcBorders>
            <w:shd w:val="clear" w:color="auto" w:fill="auto"/>
            <w:noWrap/>
            <w:vAlign w:val="center"/>
          </w:tcPr>
          <w:p w14:paraId="7ACE16CA"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3,00</w:t>
            </w:r>
          </w:p>
        </w:tc>
        <w:tc>
          <w:tcPr>
            <w:tcW w:w="476" w:type="dxa"/>
            <w:tcBorders>
              <w:top w:val="single" w:sz="2" w:space="0" w:color="auto"/>
              <w:left w:val="nil"/>
              <w:bottom w:val="single" w:sz="2" w:space="0" w:color="auto"/>
              <w:right w:val="nil"/>
            </w:tcBorders>
            <w:shd w:val="clear" w:color="auto" w:fill="auto"/>
            <w:noWrap/>
            <w:vAlign w:val="center"/>
          </w:tcPr>
          <w:p w14:paraId="4F4D460F"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2,90</w:t>
            </w:r>
          </w:p>
        </w:tc>
        <w:tc>
          <w:tcPr>
            <w:tcW w:w="476" w:type="dxa"/>
            <w:tcBorders>
              <w:top w:val="single" w:sz="2" w:space="0" w:color="auto"/>
              <w:left w:val="nil"/>
              <w:bottom w:val="single" w:sz="2" w:space="0" w:color="auto"/>
              <w:right w:val="nil"/>
            </w:tcBorders>
            <w:shd w:val="clear" w:color="auto" w:fill="auto"/>
            <w:noWrap/>
            <w:vAlign w:val="center"/>
          </w:tcPr>
          <w:p w14:paraId="62857EE5"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2,50</w:t>
            </w:r>
          </w:p>
        </w:tc>
        <w:tc>
          <w:tcPr>
            <w:tcW w:w="476" w:type="dxa"/>
            <w:tcBorders>
              <w:top w:val="single" w:sz="2" w:space="0" w:color="auto"/>
              <w:left w:val="nil"/>
              <w:bottom w:val="single" w:sz="2" w:space="0" w:color="auto"/>
              <w:right w:val="nil"/>
            </w:tcBorders>
            <w:shd w:val="clear" w:color="auto" w:fill="auto"/>
            <w:noWrap/>
            <w:vAlign w:val="center"/>
          </w:tcPr>
          <w:p w14:paraId="3662020A"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2,50</w:t>
            </w:r>
          </w:p>
        </w:tc>
        <w:tc>
          <w:tcPr>
            <w:tcW w:w="476" w:type="dxa"/>
            <w:tcBorders>
              <w:top w:val="single" w:sz="2" w:space="0" w:color="auto"/>
              <w:left w:val="nil"/>
              <w:bottom w:val="single" w:sz="2" w:space="0" w:color="auto"/>
              <w:right w:val="nil"/>
            </w:tcBorders>
            <w:shd w:val="clear" w:color="auto" w:fill="auto"/>
            <w:noWrap/>
            <w:vAlign w:val="center"/>
          </w:tcPr>
          <w:p w14:paraId="68F51438"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2,45</w:t>
            </w:r>
          </w:p>
        </w:tc>
        <w:tc>
          <w:tcPr>
            <w:tcW w:w="476" w:type="dxa"/>
            <w:tcBorders>
              <w:top w:val="single" w:sz="2" w:space="0" w:color="auto"/>
              <w:left w:val="nil"/>
              <w:bottom w:val="single" w:sz="2" w:space="0" w:color="auto"/>
              <w:right w:val="nil"/>
            </w:tcBorders>
            <w:shd w:val="clear" w:color="auto" w:fill="auto"/>
            <w:noWrap/>
            <w:vAlign w:val="center"/>
          </w:tcPr>
          <w:p w14:paraId="1D159957"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2,70</w:t>
            </w:r>
          </w:p>
        </w:tc>
        <w:tc>
          <w:tcPr>
            <w:tcW w:w="476" w:type="dxa"/>
            <w:tcBorders>
              <w:top w:val="single" w:sz="2" w:space="0" w:color="auto"/>
              <w:left w:val="nil"/>
              <w:bottom w:val="single" w:sz="2" w:space="0" w:color="auto"/>
              <w:right w:val="nil"/>
            </w:tcBorders>
            <w:shd w:val="clear" w:color="auto" w:fill="auto"/>
            <w:noWrap/>
            <w:vAlign w:val="center"/>
          </w:tcPr>
          <w:p w14:paraId="60A84EC8"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3,35</w:t>
            </w:r>
          </w:p>
        </w:tc>
        <w:tc>
          <w:tcPr>
            <w:tcW w:w="476" w:type="dxa"/>
            <w:tcBorders>
              <w:top w:val="single" w:sz="2" w:space="0" w:color="auto"/>
              <w:left w:val="nil"/>
              <w:bottom w:val="single" w:sz="2" w:space="0" w:color="auto"/>
              <w:right w:val="nil"/>
            </w:tcBorders>
            <w:shd w:val="clear" w:color="auto" w:fill="auto"/>
            <w:noWrap/>
            <w:vAlign w:val="center"/>
          </w:tcPr>
          <w:p w14:paraId="33E346FE"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2,00</w:t>
            </w:r>
          </w:p>
        </w:tc>
        <w:tc>
          <w:tcPr>
            <w:tcW w:w="476" w:type="dxa"/>
            <w:tcBorders>
              <w:top w:val="single" w:sz="2" w:space="0" w:color="auto"/>
              <w:left w:val="nil"/>
              <w:bottom w:val="single" w:sz="2" w:space="0" w:color="auto"/>
              <w:right w:val="nil"/>
            </w:tcBorders>
            <w:shd w:val="clear" w:color="auto" w:fill="auto"/>
            <w:noWrap/>
            <w:vAlign w:val="center"/>
          </w:tcPr>
          <w:p w14:paraId="31274D2D"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2,22</w:t>
            </w:r>
          </w:p>
        </w:tc>
      </w:tr>
      <w:tr w:rsidR="00F87E58" w:rsidRPr="00A81836" w14:paraId="11AC6C49" w14:textId="77777777" w:rsidTr="00321B53">
        <w:trPr>
          <w:trHeight w:val="198"/>
          <w:jc w:val="center"/>
        </w:trPr>
        <w:tc>
          <w:tcPr>
            <w:tcW w:w="1134" w:type="dxa"/>
            <w:tcBorders>
              <w:top w:val="single" w:sz="2" w:space="0" w:color="auto"/>
              <w:bottom w:val="single" w:sz="4" w:space="0" w:color="auto"/>
              <w:right w:val="nil"/>
            </w:tcBorders>
            <w:shd w:val="clear" w:color="auto" w:fill="auto"/>
            <w:noWrap/>
            <w:vAlign w:val="bottom"/>
          </w:tcPr>
          <w:p w14:paraId="6440C09B" w14:textId="77777777" w:rsidR="00F87E58" w:rsidRDefault="00F87E58" w:rsidP="00886F83">
            <w:pPr>
              <w:pStyle w:val="cuatexto"/>
              <w:spacing w:line="240" w:lineRule="auto"/>
              <w:jc w:val="left"/>
              <w:rPr>
                <w:sz w:val="12"/>
                <w:szCs w:val="12"/>
              </w:rPr>
            </w:pPr>
            <w:r>
              <w:rPr>
                <w:sz w:val="12"/>
              </w:rPr>
              <w:t xml:space="preserve">Partaidetza-maileguen zenbateko</w:t>
            </w:r>
          </w:p>
          <w:p w14:paraId="2329DE91" w14:textId="77777777" w:rsidR="00F87E58" w:rsidRPr="00A81836" w:rsidRDefault="00F87E58" w:rsidP="00886F83">
            <w:pPr>
              <w:pStyle w:val="cuatexto"/>
              <w:spacing w:line="240" w:lineRule="auto"/>
              <w:jc w:val="left"/>
              <w:rPr>
                <w:sz w:val="12"/>
                <w:szCs w:val="12"/>
              </w:rPr>
            </w:pPr>
            <w:r>
              <w:rPr>
                <w:sz w:val="12"/>
              </w:rPr>
              <w:t xml:space="preserve">metatua</w:t>
            </w:r>
            <w:r>
              <w:rPr>
                <w:sz w:val="12"/>
              </w:rPr>
              <w:t xml:space="preserve"> </w:t>
            </w:r>
          </w:p>
        </w:tc>
        <w:tc>
          <w:tcPr>
            <w:tcW w:w="397" w:type="dxa"/>
            <w:tcBorders>
              <w:top w:val="single" w:sz="2" w:space="0" w:color="auto"/>
              <w:left w:val="nil"/>
              <w:bottom w:val="single" w:sz="4" w:space="0" w:color="auto"/>
              <w:right w:val="nil"/>
            </w:tcBorders>
            <w:shd w:val="clear" w:color="auto" w:fill="auto"/>
            <w:noWrap/>
            <w:vAlign w:val="center"/>
          </w:tcPr>
          <w:p w14:paraId="184C1581" w14:textId="77777777" w:rsidR="00F87E58" w:rsidRPr="00A81836" w:rsidRDefault="00F87E58" w:rsidP="00F87E58">
            <w:pPr>
              <w:pStyle w:val="cuatexto"/>
              <w:ind w:left="-67"/>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center"/>
          </w:tcPr>
          <w:p w14:paraId="39E1AB83" w14:textId="77777777" w:rsidR="00F87E58" w:rsidRPr="00A81836" w:rsidRDefault="00F87E58" w:rsidP="00F87E58">
            <w:pPr>
              <w:pStyle w:val="cuatexto"/>
              <w:ind w:left="-66"/>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center"/>
          </w:tcPr>
          <w:p w14:paraId="217D9C87" w14:textId="77777777" w:rsidR="00F87E58" w:rsidRPr="00A81836" w:rsidRDefault="00F87E58" w:rsidP="00F87E58">
            <w:pPr>
              <w:pStyle w:val="cuatexto"/>
              <w:ind w:left="-70"/>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center"/>
          </w:tcPr>
          <w:p w14:paraId="6AEABC02" w14:textId="77777777" w:rsidR="00F87E58" w:rsidRPr="00A81836" w:rsidRDefault="00F87E58" w:rsidP="00F87E58">
            <w:pPr>
              <w:pStyle w:val="cuatexto"/>
              <w:ind w:left="-69"/>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center"/>
          </w:tcPr>
          <w:p w14:paraId="4A3B982E" w14:textId="77777777" w:rsidR="00F87E58" w:rsidRPr="00A81836" w:rsidRDefault="00F87E58" w:rsidP="00F87E58">
            <w:pPr>
              <w:pStyle w:val="cuatexto"/>
              <w:ind w:left="-66"/>
              <w:jc w:val="right"/>
              <w:rPr>
                <w:sz w:val="14"/>
                <w:szCs w:val="14"/>
              </w:rPr>
            </w:pPr>
            <w:r>
              <w:rPr>
                <w:sz w:val="14"/>
              </w:rPr>
              <w:t xml:space="preserve">0,00</w:t>
            </w:r>
          </w:p>
        </w:tc>
        <w:tc>
          <w:tcPr>
            <w:tcW w:w="468" w:type="dxa"/>
            <w:tcBorders>
              <w:top w:val="single" w:sz="2" w:space="0" w:color="auto"/>
              <w:left w:val="nil"/>
              <w:bottom w:val="single" w:sz="4" w:space="0" w:color="auto"/>
              <w:right w:val="nil"/>
            </w:tcBorders>
            <w:shd w:val="clear" w:color="auto" w:fill="auto"/>
            <w:noWrap/>
            <w:vAlign w:val="center"/>
          </w:tcPr>
          <w:p w14:paraId="6B49F580" w14:textId="77777777" w:rsidR="00F87E58" w:rsidRPr="00A81836" w:rsidRDefault="00F87E58" w:rsidP="00F87E58">
            <w:pPr>
              <w:pStyle w:val="cuatexto"/>
              <w:ind w:left="-65"/>
              <w:jc w:val="right"/>
              <w:rPr>
                <w:sz w:val="14"/>
                <w:szCs w:val="14"/>
              </w:rPr>
            </w:pPr>
            <w:r>
              <w:rPr>
                <w:sz w:val="14"/>
              </w:rPr>
              <w:t xml:space="preserve">4,30</w:t>
            </w:r>
          </w:p>
        </w:tc>
        <w:tc>
          <w:tcPr>
            <w:tcW w:w="397" w:type="dxa"/>
            <w:tcBorders>
              <w:top w:val="single" w:sz="2" w:space="0" w:color="auto"/>
              <w:left w:val="nil"/>
              <w:bottom w:val="single" w:sz="4" w:space="0" w:color="auto"/>
              <w:right w:val="nil"/>
            </w:tcBorders>
            <w:shd w:val="clear" w:color="auto" w:fill="auto"/>
            <w:noWrap/>
            <w:vAlign w:val="center"/>
          </w:tcPr>
          <w:p w14:paraId="0F5C12B5" w14:textId="77777777" w:rsidR="00F87E58" w:rsidRPr="00A81836" w:rsidRDefault="00F87E58" w:rsidP="00F87E58">
            <w:pPr>
              <w:pStyle w:val="cuatexto"/>
              <w:ind w:left="-63"/>
              <w:jc w:val="right"/>
              <w:rPr>
                <w:sz w:val="14"/>
                <w:szCs w:val="14"/>
              </w:rPr>
            </w:pPr>
            <w:r>
              <w:rPr>
                <w:sz w:val="14"/>
              </w:rPr>
              <w:t xml:space="preserve">8,70</w:t>
            </w:r>
          </w:p>
        </w:tc>
        <w:tc>
          <w:tcPr>
            <w:tcW w:w="477" w:type="dxa"/>
            <w:tcBorders>
              <w:top w:val="single" w:sz="2" w:space="0" w:color="auto"/>
              <w:left w:val="nil"/>
              <w:bottom w:val="single" w:sz="4" w:space="0" w:color="auto"/>
              <w:right w:val="nil"/>
            </w:tcBorders>
            <w:shd w:val="clear" w:color="auto" w:fill="auto"/>
            <w:noWrap/>
            <w:vAlign w:val="center"/>
          </w:tcPr>
          <w:p w14:paraId="5A46701C" w14:textId="77777777" w:rsidR="00F87E58" w:rsidRPr="00A81836" w:rsidRDefault="00F87E58" w:rsidP="00F87E58">
            <w:pPr>
              <w:pStyle w:val="cuatexto"/>
              <w:ind w:left="-69"/>
              <w:jc w:val="right"/>
              <w:rPr>
                <w:sz w:val="14"/>
                <w:szCs w:val="14"/>
              </w:rPr>
            </w:pPr>
            <w:r>
              <w:rPr>
                <w:sz w:val="14"/>
              </w:rPr>
              <w:t xml:space="preserve">12,90</w:t>
            </w:r>
          </w:p>
        </w:tc>
        <w:tc>
          <w:tcPr>
            <w:tcW w:w="476" w:type="dxa"/>
            <w:tcBorders>
              <w:top w:val="single" w:sz="2" w:space="0" w:color="auto"/>
              <w:left w:val="nil"/>
              <w:bottom w:val="single" w:sz="4" w:space="0" w:color="auto"/>
              <w:right w:val="nil"/>
            </w:tcBorders>
            <w:shd w:val="clear" w:color="auto" w:fill="auto"/>
            <w:noWrap/>
            <w:vAlign w:val="center"/>
          </w:tcPr>
          <w:p w14:paraId="5B47D184" w14:textId="77777777" w:rsidR="00F87E58" w:rsidRPr="00A81836" w:rsidRDefault="00F87E58" w:rsidP="00F87E58">
            <w:pPr>
              <w:pStyle w:val="cuatexto"/>
              <w:ind w:left="-116"/>
              <w:jc w:val="right"/>
              <w:rPr>
                <w:sz w:val="14"/>
                <w:szCs w:val="14"/>
              </w:rPr>
            </w:pPr>
            <w:r>
              <w:rPr>
                <w:sz w:val="14"/>
              </w:rPr>
              <w:t xml:space="preserve">16,75</w:t>
            </w:r>
          </w:p>
        </w:tc>
        <w:tc>
          <w:tcPr>
            <w:tcW w:w="476" w:type="dxa"/>
            <w:tcBorders>
              <w:top w:val="single" w:sz="2" w:space="0" w:color="auto"/>
              <w:left w:val="nil"/>
              <w:bottom w:val="single" w:sz="4" w:space="0" w:color="auto"/>
              <w:right w:val="nil"/>
            </w:tcBorders>
            <w:shd w:val="clear" w:color="auto" w:fill="auto"/>
            <w:noWrap/>
            <w:vAlign w:val="center"/>
          </w:tcPr>
          <w:p w14:paraId="6D3D8BA5"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21,05</w:t>
            </w:r>
          </w:p>
        </w:tc>
        <w:tc>
          <w:tcPr>
            <w:tcW w:w="476" w:type="dxa"/>
            <w:tcBorders>
              <w:top w:val="single" w:sz="2" w:space="0" w:color="auto"/>
              <w:left w:val="nil"/>
              <w:bottom w:val="single" w:sz="4" w:space="0" w:color="auto"/>
              <w:right w:val="nil"/>
            </w:tcBorders>
            <w:shd w:val="clear" w:color="auto" w:fill="auto"/>
            <w:noWrap/>
            <w:vAlign w:val="center"/>
          </w:tcPr>
          <w:p w14:paraId="6D2318D9"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25,38</w:t>
            </w:r>
          </w:p>
        </w:tc>
        <w:tc>
          <w:tcPr>
            <w:tcW w:w="476" w:type="dxa"/>
            <w:tcBorders>
              <w:top w:val="single" w:sz="2" w:space="0" w:color="auto"/>
              <w:left w:val="nil"/>
              <w:bottom w:val="single" w:sz="4" w:space="0" w:color="auto"/>
              <w:right w:val="nil"/>
            </w:tcBorders>
            <w:shd w:val="clear" w:color="auto" w:fill="auto"/>
            <w:noWrap/>
            <w:vAlign w:val="center"/>
          </w:tcPr>
          <w:p w14:paraId="767D29DA"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29,43</w:t>
            </w:r>
          </w:p>
        </w:tc>
        <w:tc>
          <w:tcPr>
            <w:tcW w:w="476" w:type="dxa"/>
            <w:tcBorders>
              <w:top w:val="single" w:sz="2" w:space="0" w:color="auto"/>
              <w:left w:val="nil"/>
              <w:bottom w:val="single" w:sz="4" w:space="0" w:color="auto"/>
              <w:right w:val="nil"/>
            </w:tcBorders>
            <w:shd w:val="clear" w:color="auto" w:fill="auto"/>
            <w:noWrap/>
            <w:vAlign w:val="center"/>
          </w:tcPr>
          <w:p w14:paraId="3ABB7520"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33,18</w:t>
            </w:r>
          </w:p>
        </w:tc>
        <w:tc>
          <w:tcPr>
            <w:tcW w:w="476" w:type="dxa"/>
            <w:tcBorders>
              <w:top w:val="single" w:sz="2" w:space="0" w:color="auto"/>
              <w:left w:val="nil"/>
              <w:bottom w:val="single" w:sz="4" w:space="0" w:color="auto"/>
              <w:right w:val="nil"/>
            </w:tcBorders>
            <w:shd w:val="clear" w:color="auto" w:fill="auto"/>
            <w:noWrap/>
            <w:vAlign w:val="center"/>
          </w:tcPr>
          <w:p w14:paraId="448919E0"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36,18</w:t>
            </w:r>
          </w:p>
        </w:tc>
        <w:tc>
          <w:tcPr>
            <w:tcW w:w="476" w:type="dxa"/>
            <w:tcBorders>
              <w:top w:val="single" w:sz="2" w:space="0" w:color="auto"/>
              <w:left w:val="nil"/>
              <w:bottom w:val="single" w:sz="4" w:space="0" w:color="auto"/>
              <w:right w:val="nil"/>
            </w:tcBorders>
            <w:shd w:val="clear" w:color="auto" w:fill="auto"/>
            <w:noWrap/>
            <w:vAlign w:val="center"/>
          </w:tcPr>
          <w:p w14:paraId="5AB28AA1"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39,08</w:t>
            </w:r>
          </w:p>
        </w:tc>
        <w:tc>
          <w:tcPr>
            <w:tcW w:w="476" w:type="dxa"/>
            <w:tcBorders>
              <w:top w:val="single" w:sz="2" w:space="0" w:color="auto"/>
              <w:left w:val="nil"/>
              <w:bottom w:val="single" w:sz="4" w:space="0" w:color="auto"/>
              <w:right w:val="nil"/>
            </w:tcBorders>
            <w:shd w:val="clear" w:color="auto" w:fill="auto"/>
            <w:noWrap/>
            <w:vAlign w:val="center"/>
          </w:tcPr>
          <w:p w14:paraId="0E7D1DAE"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41,58</w:t>
            </w:r>
          </w:p>
        </w:tc>
        <w:tc>
          <w:tcPr>
            <w:tcW w:w="476" w:type="dxa"/>
            <w:tcBorders>
              <w:top w:val="single" w:sz="2" w:space="0" w:color="auto"/>
              <w:left w:val="nil"/>
              <w:bottom w:val="single" w:sz="4" w:space="0" w:color="auto"/>
              <w:right w:val="nil"/>
            </w:tcBorders>
            <w:shd w:val="clear" w:color="auto" w:fill="auto"/>
            <w:noWrap/>
            <w:vAlign w:val="center"/>
          </w:tcPr>
          <w:p w14:paraId="70E851DB"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44,08</w:t>
            </w:r>
          </w:p>
        </w:tc>
        <w:tc>
          <w:tcPr>
            <w:tcW w:w="476" w:type="dxa"/>
            <w:tcBorders>
              <w:top w:val="single" w:sz="2" w:space="0" w:color="auto"/>
              <w:left w:val="nil"/>
              <w:bottom w:val="single" w:sz="4" w:space="0" w:color="auto"/>
              <w:right w:val="nil"/>
            </w:tcBorders>
            <w:shd w:val="clear" w:color="auto" w:fill="auto"/>
            <w:noWrap/>
            <w:vAlign w:val="center"/>
          </w:tcPr>
          <w:p w14:paraId="1B9940DD"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46,53</w:t>
            </w:r>
          </w:p>
        </w:tc>
        <w:tc>
          <w:tcPr>
            <w:tcW w:w="476" w:type="dxa"/>
            <w:tcBorders>
              <w:top w:val="single" w:sz="2" w:space="0" w:color="auto"/>
              <w:left w:val="nil"/>
              <w:bottom w:val="single" w:sz="4" w:space="0" w:color="auto"/>
              <w:right w:val="nil"/>
            </w:tcBorders>
            <w:shd w:val="clear" w:color="auto" w:fill="auto"/>
            <w:noWrap/>
            <w:vAlign w:val="center"/>
          </w:tcPr>
          <w:p w14:paraId="615A0CF7"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49,23</w:t>
            </w:r>
          </w:p>
        </w:tc>
        <w:tc>
          <w:tcPr>
            <w:tcW w:w="476" w:type="dxa"/>
            <w:tcBorders>
              <w:top w:val="single" w:sz="2" w:space="0" w:color="auto"/>
              <w:left w:val="nil"/>
              <w:bottom w:val="single" w:sz="4" w:space="0" w:color="auto"/>
              <w:right w:val="nil"/>
            </w:tcBorders>
            <w:shd w:val="clear" w:color="auto" w:fill="auto"/>
            <w:noWrap/>
            <w:vAlign w:val="center"/>
          </w:tcPr>
          <w:p w14:paraId="56B03FCA"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52,58</w:t>
            </w:r>
          </w:p>
        </w:tc>
        <w:tc>
          <w:tcPr>
            <w:tcW w:w="476" w:type="dxa"/>
            <w:tcBorders>
              <w:top w:val="single" w:sz="2" w:space="0" w:color="auto"/>
              <w:left w:val="nil"/>
              <w:bottom w:val="single" w:sz="4" w:space="0" w:color="auto"/>
              <w:right w:val="nil"/>
            </w:tcBorders>
            <w:shd w:val="clear" w:color="auto" w:fill="auto"/>
            <w:noWrap/>
            <w:vAlign w:val="center"/>
          </w:tcPr>
          <w:p w14:paraId="428BFCFA"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54,58</w:t>
            </w:r>
          </w:p>
        </w:tc>
        <w:tc>
          <w:tcPr>
            <w:tcW w:w="476" w:type="dxa"/>
            <w:tcBorders>
              <w:top w:val="single" w:sz="2" w:space="0" w:color="auto"/>
              <w:left w:val="nil"/>
              <w:bottom w:val="single" w:sz="4" w:space="0" w:color="auto"/>
              <w:right w:val="nil"/>
            </w:tcBorders>
            <w:shd w:val="clear" w:color="auto" w:fill="auto"/>
            <w:noWrap/>
            <w:vAlign w:val="center"/>
          </w:tcPr>
          <w:p w14:paraId="0F74DF6F" w14:textId="77777777" w:rsidR="00F87E58" w:rsidRPr="00A81836" w:rsidRDefault="00F87E58" w:rsidP="00F87E58">
            <w:pPr>
              <w:pStyle w:val="cuadroCabe"/>
              <w:ind w:left="-116"/>
              <w:jc w:val="right"/>
              <w:rPr>
                <w:sz w:val="14"/>
                <w:szCs w:val="14"/>
                <w:rFonts w:ascii="Arial Narrow" w:hAnsi="Arial Narrow"/>
              </w:rPr>
            </w:pPr>
            <w:r>
              <w:rPr>
                <w:sz w:val="14"/>
                <w:rFonts w:ascii="Arial Narrow" w:hAnsi="Arial Narrow"/>
              </w:rPr>
              <w:t xml:space="preserve">56,80</w:t>
            </w:r>
          </w:p>
        </w:tc>
      </w:tr>
    </w:tbl>
    <w:p w14:paraId="1EC2E086" w14:textId="77777777" w:rsidR="00F87E58" w:rsidRDefault="00F87E58" w:rsidP="00F87E58">
      <w:pPr>
        <w:pStyle w:val="texto"/>
        <w:spacing w:before="240" w:after="240"/>
      </w:pPr>
      <w:r>
        <w:t xml:space="preserve">Partaidetza-mailegu bilakatu den maileguen zatiak, urtez urte, beti erlazio nahiko antzekoa izan du narriatutako mailegutzat jo den zenbatekoarekin, taula honetan ikus daitekeenez: </w:t>
      </w:r>
      <w:r>
        <w:t xml:space="preserve"> </w:t>
      </w:r>
    </w:p>
    <w:tbl>
      <w:tblPr>
        <w:tblW w:w="11211" w:type="dxa"/>
        <w:jc w:val="center"/>
        <w:tblCellMar>
          <w:left w:w="70" w:type="dxa"/>
          <w:right w:w="70" w:type="dxa"/>
        </w:tblCellMar>
        <w:tblLook w:val="04A0" w:firstRow="1" w:lastRow="0" w:firstColumn="1" w:lastColumn="0" w:noHBand="0" w:noVBand="1"/>
      </w:tblPr>
      <w:tblGrid>
        <w:gridCol w:w="1134"/>
        <w:gridCol w:w="397"/>
        <w:gridCol w:w="397"/>
        <w:gridCol w:w="397"/>
        <w:gridCol w:w="397"/>
        <w:gridCol w:w="476"/>
        <w:gridCol w:w="476"/>
        <w:gridCol w:w="397"/>
        <w:gridCol w:w="476"/>
        <w:gridCol w:w="476"/>
        <w:gridCol w:w="476"/>
        <w:gridCol w:w="476"/>
        <w:gridCol w:w="476"/>
        <w:gridCol w:w="476"/>
        <w:gridCol w:w="476"/>
        <w:gridCol w:w="476"/>
        <w:gridCol w:w="476"/>
        <w:gridCol w:w="476"/>
        <w:gridCol w:w="476"/>
        <w:gridCol w:w="476"/>
        <w:gridCol w:w="476"/>
        <w:gridCol w:w="476"/>
        <w:gridCol w:w="476"/>
      </w:tblGrid>
      <w:tr w:rsidR="00F87E58" w:rsidRPr="00DC7264" w14:paraId="1CE80DC4" w14:textId="77777777" w:rsidTr="00F87E58">
        <w:trPr>
          <w:trHeight w:val="255"/>
          <w:jc w:val="center"/>
        </w:trPr>
        <w:tc>
          <w:tcPr>
            <w:tcW w:w="1134" w:type="dxa"/>
            <w:tcBorders>
              <w:top w:val="single" w:sz="4" w:space="0" w:color="auto"/>
              <w:bottom w:val="single" w:sz="4" w:space="0" w:color="auto"/>
              <w:right w:val="nil"/>
            </w:tcBorders>
            <w:shd w:val="clear" w:color="auto" w:fill="9CC2E5"/>
            <w:noWrap/>
            <w:vAlign w:val="bottom"/>
          </w:tcPr>
          <w:p w14:paraId="352C2A67" w14:textId="77777777" w:rsidR="00F87E58" w:rsidRPr="00DC7264" w:rsidRDefault="00F87E58" w:rsidP="00F87E58">
            <w:pPr>
              <w:pStyle w:val="cuadroCabe"/>
              <w:ind w:hanging="71"/>
              <w:jc w:val="right"/>
              <w:rPr>
                <w:sz w:val="12"/>
                <w:szCs w:val="12"/>
              </w:rPr>
            </w:pPr>
          </w:p>
        </w:tc>
        <w:tc>
          <w:tcPr>
            <w:tcW w:w="397" w:type="dxa"/>
            <w:tcBorders>
              <w:top w:val="single" w:sz="4" w:space="0" w:color="auto"/>
              <w:left w:val="nil"/>
              <w:bottom w:val="single" w:sz="4" w:space="0" w:color="auto"/>
              <w:right w:val="nil"/>
            </w:tcBorders>
            <w:shd w:val="clear" w:color="auto" w:fill="9CC2E5"/>
            <w:noWrap/>
            <w:vAlign w:val="bottom"/>
          </w:tcPr>
          <w:p w14:paraId="7A639452" w14:textId="77777777" w:rsidR="00F87E58" w:rsidRPr="00DC7264" w:rsidRDefault="00F87E58" w:rsidP="00F87E58">
            <w:pPr>
              <w:pStyle w:val="cuadroCabe"/>
              <w:ind w:left="-117"/>
              <w:jc w:val="right"/>
              <w:rPr>
                <w:sz w:val="12"/>
                <w:szCs w:val="12"/>
              </w:rPr>
            </w:pPr>
            <w:r>
              <w:rPr>
                <w:sz w:val="12"/>
              </w:rPr>
              <w:t xml:space="preserve">2001</w:t>
            </w:r>
          </w:p>
        </w:tc>
        <w:tc>
          <w:tcPr>
            <w:tcW w:w="397" w:type="dxa"/>
            <w:tcBorders>
              <w:top w:val="single" w:sz="4" w:space="0" w:color="auto"/>
              <w:left w:val="nil"/>
              <w:bottom w:val="single" w:sz="4" w:space="0" w:color="auto"/>
              <w:right w:val="nil"/>
            </w:tcBorders>
            <w:shd w:val="clear" w:color="auto" w:fill="9CC2E5"/>
            <w:noWrap/>
            <w:vAlign w:val="bottom"/>
          </w:tcPr>
          <w:p w14:paraId="593E0500" w14:textId="77777777" w:rsidR="00F87E58" w:rsidRPr="00DC7264" w:rsidRDefault="00F87E58" w:rsidP="00F87E58">
            <w:pPr>
              <w:pStyle w:val="cuadroCabe"/>
              <w:ind w:left="-117"/>
              <w:jc w:val="right"/>
              <w:rPr>
                <w:sz w:val="12"/>
                <w:szCs w:val="12"/>
              </w:rPr>
            </w:pPr>
            <w:r>
              <w:rPr>
                <w:sz w:val="12"/>
              </w:rPr>
              <w:t xml:space="preserve">2002</w:t>
            </w:r>
          </w:p>
        </w:tc>
        <w:tc>
          <w:tcPr>
            <w:tcW w:w="397" w:type="dxa"/>
            <w:tcBorders>
              <w:top w:val="single" w:sz="4" w:space="0" w:color="auto"/>
              <w:left w:val="nil"/>
              <w:bottom w:val="single" w:sz="4" w:space="0" w:color="auto"/>
              <w:right w:val="nil"/>
            </w:tcBorders>
            <w:shd w:val="clear" w:color="auto" w:fill="9CC2E5"/>
            <w:noWrap/>
            <w:vAlign w:val="bottom"/>
          </w:tcPr>
          <w:p w14:paraId="3B52AA8A" w14:textId="77777777" w:rsidR="00F87E58" w:rsidRPr="00DC7264" w:rsidRDefault="00F87E58" w:rsidP="00F87E58">
            <w:pPr>
              <w:pStyle w:val="cuadroCabe"/>
              <w:ind w:left="-117"/>
              <w:jc w:val="right"/>
              <w:rPr>
                <w:sz w:val="12"/>
                <w:szCs w:val="12"/>
              </w:rPr>
            </w:pPr>
            <w:r>
              <w:rPr>
                <w:sz w:val="12"/>
              </w:rPr>
              <w:t xml:space="preserve">2003</w:t>
            </w:r>
          </w:p>
        </w:tc>
        <w:tc>
          <w:tcPr>
            <w:tcW w:w="397" w:type="dxa"/>
            <w:tcBorders>
              <w:top w:val="single" w:sz="4" w:space="0" w:color="auto"/>
              <w:left w:val="nil"/>
              <w:bottom w:val="single" w:sz="4" w:space="0" w:color="auto"/>
              <w:right w:val="nil"/>
            </w:tcBorders>
            <w:shd w:val="clear" w:color="auto" w:fill="9CC2E5"/>
            <w:noWrap/>
            <w:vAlign w:val="bottom"/>
          </w:tcPr>
          <w:p w14:paraId="6D654C4B" w14:textId="77777777" w:rsidR="00F87E58" w:rsidRPr="00DC7264" w:rsidRDefault="00F87E58" w:rsidP="00F87E58">
            <w:pPr>
              <w:pStyle w:val="cuadroCabe"/>
              <w:ind w:left="-117"/>
              <w:jc w:val="right"/>
              <w:rPr>
                <w:sz w:val="12"/>
                <w:szCs w:val="12"/>
              </w:rPr>
            </w:pPr>
            <w:r>
              <w:rPr>
                <w:sz w:val="12"/>
              </w:rPr>
              <w:t xml:space="preserve">2004</w:t>
            </w:r>
          </w:p>
        </w:tc>
        <w:tc>
          <w:tcPr>
            <w:tcW w:w="476" w:type="dxa"/>
            <w:tcBorders>
              <w:top w:val="single" w:sz="4" w:space="0" w:color="auto"/>
              <w:left w:val="nil"/>
              <w:bottom w:val="single" w:sz="4" w:space="0" w:color="auto"/>
              <w:right w:val="nil"/>
            </w:tcBorders>
            <w:shd w:val="clear" w:color="auto" w:fill="9CC2E5"/>
            <w:noWrap/>
            <w:vAlign w:val="bottom"/>
          </w:tcPr>
          <w:p w14:paraId="622CC31E" w14:textId="77777777" w:rsidR="00F87E58" w:rsidRPr="00DC7264" w:rsidRDefault="00F87E58" w:rsidP="00F87E58">
            <w:pPr>
              <w:pStyle w:val="cuadroCabe"/>
              <w:ind w:left="-117"/>
              <w:jc w:val="right"/>
              <w:rPr>
                <w:sz w:val="12"/>
                <w:szCs w:val="12"/>
              </w:rPr>
            </w:pPr>
            <w:r>
              <w:rPr>
                <w:sz w:val="12"/>
              </w:rPr>
              <w:t xml:space="preserve">2005</w:t>
            </w:r>
          </w:p>
        </w:tc>
        <w:tc>
          <w:tcPr>
            <w:tcW w:w="476" w:type="dxa"/>
            <w:tcBorders>
              <w:top w:val="single" w:sz="4" w:space="0" w:color="auto"/>
              <w:left w:val="nil"/>
              <w:bottom w:val="single" w:sz="4" w:space="0" w:color="auto"/>
              <w:right w:val="nil"/>
            </w:tcBorders>
            <w:shd w:val="clear" w:color="auto" w:fill="9CC2E5"/>
            <w:noWrap/>
            <w:vAlign w:val="bottom"/>
          </w:tcPr>
          <w:p w14:paraId="6A464910" w14:textId="77777777" w:rsidR="00F87E58" w:rsidRPr="00DC7264" w:rsidRDefault="00F87E58" w:rsidP="00F87E58">
            <w:pPr>
              <w:pStyle w:val="cuadroCabe"/>
              <w:ind w:left="-117"/>
              <w:jc w:val="right"/>
              <w:rPr>
                <w:sz w:val="12"/>
                <w:szCs w:val="12"/>
              </w:rPr>
            </w:pPr>
            <w:r>
              <w:rPr>
                <w:sz w:val="12"/>
              </w:rPr>
              <w:t xml:space="preserve">2006</w:t>
            </w:r>
          </w:p>
        </w:tc>
        <w:tc>
          <w:tcPr>
            <w:tcW w:w="397" w:type="dxa"/>
            <w:tcBorders>
              <w:top w:val="single" w:sz="4" w:space="0" w:color="auto"/>
              <w:left w:val="nil"/>
              <w:bottom w:val="single" w:sz="4" w:space="0" w:color="auto"/>
              <w:right w:val="nil"/>
            </w:tcBorders>
            <w:shd w:val="clear" w:color="auto" w:fill="9CC2E5"/>
            <w:noWrap/>
            <w:vAlign w:val="bottom"/>
          </w:tcPr>
          <w:p w14:paraId="256DCB9F" w14:textId="77777777" w:rsidR="00F87E58" w:rsidRPr="00DC7264" w:rsidRDefault="00F87E58" w:rsidP="00F87E58">
            <w:pPr>
              <w:pStyle w:val="cuadroCabe"/>
              <w:ind w:left="-117"/>
              <w:jc w:val="right"/>
              <w:rPr>
                <w:sz w:val="12"/>
                <w:szCs w:val="12"/>
              </w:rPr>
            </w:pPr>
            <w:r>
              <w:rPr>
                <w:sz w:val="12"/>
              </w:rPr>
              <w:t xml:space="preserve">2007</w:t>
            </w:r>
          </w:p>
        </w:tc>
        <w:tc>
          <w:tcPr>
            <w:tcW w:w="476" w:type="dxa"/>
            <w:tcBorders>
              <w:top w:val="single" w:sz="4" w:space="0" w:color="auto"/>
              <w:left w:val="nil"/>
              <w:bottom w:val="single" w:sz="4" w:space="0" w:color="auto"/>
              <w:right w:val="nil"/>
            </w:tcBorders>
            <w:shd w:val="clear" w:color="auto" w:fill="9CC2E5"/>
            <w:noWrap/>
            <w:vAlign w:val="bottom"/>
          </w:tcPr>
          <w:p w14:paraId="00296051" w14:textId="77777777" w:rsidR="00F87E58" w:rsidRPr="00DC7264" w:rsidRDefault="00F87E58" w:rsidP="00F87E58">
            <w:pPr>
              <w:pStyle w:val="cuadroCabe"/>
              <w:ind w:left="-117"/>
              <w:jc w:val="right"/>
              <w:rPr>
                <w:sz w:val="12"/>
                <w:szCs w:val="12"/>
              </w:rPr>
            </w:pPr>
            <w:r>
              <w:rPr>
                <w:sz w:val="12"/>
              </w:rPr>
              <w:t xml:space="preserve">2008</w:t>
            </w:r>
          </w:p>
        </w:tc>
        <w:tc>
          <w:tcPr>
            <w:tcW w:w="476" w:type="dxa"/>
            <w:tcBorders>
              <w:top w:val="single" w:sz="4" w:space="0" w:color="auto"/>
              <w:left w:val="nil"/>
              <w:bottom w:val="single" w:sz="4" w:space="0" w:color="auto"/>
              <w:right w:val="nil"/>
            </w:tcBorders>
            <w:shd w:val="clear" w:color="auto" w:fill="9CC2E5"/>
            <w:noWrap/>
            <w:vAlign w:val="bottom"/>
          </w:tcPr>
          <w:p w14:paraId="4E60B6D3" w14:textId="77777777" w:rsidR="00F87E58" w:rsidRPr="00DC7264" w:rsidRDefault="00F87E58" w:rsidP="00F87E58">
            <w:pPr>
              <w:pStyle w:val="cuadroCabe"/>
              <w:ind w:left="-117"/>
              <w:jc w:val="right"/>
              <w:rPr>
                <w:sz w:val="12"/>
                <w:szCs w:val="12"/>
              </w:rPr>
            </w:pPr>
            <w:r>
              <w:rPr>
                <w:sz w:val="12"/>
              </w:rPr>
              <w:t xml:space="preserve">2009</w:t>
            </w:r>
          </w:p>
        </w:tc>
        <w:tc>
          <w:tcPr>
            <w:tcW w:w="476" w:type="dxa"/>
            <w:tcBorders>
              <w:top w:val="single" w:sz="4" w:space="0" w:color="auto"/>
              <w:left w:val="nil"/>
              <w:bottom w:val="single" w:sz="4" w:space="0" w:color="auto"/>
              <w:right w:val="nil"/>
            </w:tcBorders>
            <w:shd w:val="clear" w:color="auto" w:fill="9CC2E5"/>
            <w:noWrap/>
            <w:vAlign w:val="bottom"/>
          </w:tcPr>
          <w:p w14:paraId="6F52ADB8" w14:textId="77777777" w:rsidR="00F87E58" w:rsidRPr="00DC7264" w:rsidRDefault="00F87E58" w:rsidP="00F87E58">
            <w:pPr>
              <w:pStyle w:val="cuadroCabe"/>
              <w:ind w:left="-117"/>
              <w:jc w:val="right"/>
              <w:rPr>
                <w:sz w:val="12"/>
                <w:szCs w:val="12"/>
              </w:rPr>
            </w:pPr>
            <w:r>
              <w:rPr>
                <w:sz w:val="12"/>
              </w:rPr>
              <w:t xml:space="preserve">2010</w:t>
            </w:r>
          </w:p>
        </w:tc>
        <w:tc>
          <w:tcPr>
            <w:tcW w:w="476" w:type="dxa"/>
            <w:tcBorders>
              <w:top w:val="single" w:sz="4" w:space="0" w:color="auto"/>
              <w:left w:val="nil"/>
              <w:bottom w:val="single" w:sz="4" w:space="0" w:color="auto"/>
              <w:right w:val="nil"/>
            </w:tcBorders>
            <w:shd w:val="clear" w:color="auto" w:fill="9CC2E5"/>
            <w:noWrap/>
            <w:vAlign w:val="bottom"/>
          </w:tcPr>
          <w:p w14:paraId="51DF57BD" w14:textId="77777777" w:rsidR="00F87E58" w:rsidRPr="00DC7264" w:rsidRDefault="00F87E58" w:rsidP="00F87E58">
            <w:pPr>
              <w:pStyle w:val="cuadroCabe"/>
              <w:ind w:left="-116"/>
              <w:jc w:val="right"/>
              <w:rPr>
                <w:sz w:val="12"/>
                <w:szCs w:val="12"/>
              </w:rPr>
            </w:pPr>
            <w:r>
              <w:rPr>
                <w:sz w:val="12"/>
              </w:rPr>
              <w:t xml:space="preserve">2011</w:t>
            </w:r>
          </w:p>
        </w:tc>
        <w:tc>
          <w:tcPr>
            <w:tcW w:w="476" w:type="dxa"/>
            <w:tcBorders>
              <w:top w:val="single" w:sz="4" w:space="0" w:color="auto"/>
              <w:left w:val="nil"/>
              <w:bottom w:val="single" w:sz="4" w:space="0" w:color="auto"/>
              <w:right w:val="nil"/>
            </w:tcBorders>
            <w:shd w:val="clear" w:color="auto" w:fill="9CC2E5"/>
            <w:noWrap/>
            <w:vAlign w:val="bottom"/>
          </w:tcPr>
          <w:p w14:paraId="0035DD15" w14:textId="77777777" w:rsidR="00F87E58" w:rsidRPr="00DC7264" w:rsidRDefault="00F87E58" w:rsidP="00F87E58">
            <w:pPr>
              <w:pStyle w:val="cuadroCabe"/>
              <w:ind w:left="-116"/>
              <w:jc w:val="right"/>
              <w:rPr>
                <w:sz w:val="12"/>
                <w:szCs w:val="12"/>
              </w:rPr>
            </w:pPr>
            <w:r>
              <w:rPr>
                <w:sz w:val="12"/>
              </w:rPr>
              <w:t xml:space="preserve">2012</w:t>
            </w:r>
          </w:p>
        </w:tc>
        <w:tc>
          <w:tcPr>
            <w:tcW w:w="476" w:type="dxa"/>
            <w:tcBorders>
              <w:top w:val="single" w:sz="4" w:space="0" w:color="auto"/>
              <w:left w:val="nil"/>
              <w:bottom w:val="single" w:sz="4" w:space="0" w:color="auto"/>
              <w:right w:val="nil"/>
            </w:tcBorders>
            <w:shd w:val="clear" w:color="auto" w:fill="9CC2E5"/>
            <w:noWrap/>
            <w:vAlign w:val="bottom"/>
          </w:tcPr>
          <w:p w14:paraId="2D6F25ED" w14:textId="77777777" w:rsidR="00F87E58" w:rsidRPr="00DC7264" w:rsidRDefault="00F87E58" w:rsidP="00F87E58">
            <w:pPr>
              <w:pStyle w:val="cuadroCabe"/>
              <w:ind w:left="-117"/>
              <w:jc w:val="right"/>
              <w:rPr>
                <w:sz w:val="12"/>
                <w:szCs w:val="12"/>
              </w:rPr>
            </w:pPr>
            <w:r>
              <w:rPr>
                <w:sz w:val="12"/>
              </w:rPr>
              <w:t xml:space="preserve">2013</w:t>
            </w:r>
          </w:p>
        </w:tc>
        <w:tc>
          <w:tcPr>
            <w:tcW w:w="476" w:type="dxa"/>
            <w:tcBorders>
              <w:top w:val="single" w:sz="4" w:space="0" w:color="auto"/>
              <w:left w:val="nil"/>
              <w:bottom w:val="single" w:sz="4" w:space="0" w:color="auto"/>
              <w:right w:val="nil"/>
            </w:tcBorders>
            <w:shd w:val="clear" w:color="auto" w:fill="9CC2E5"/>
            <w:noWrap/>
            <w:vAlign w:val="bottom"/>
          </w:tcPr>
          <w:p w14:paraId="1C0ED0E4" w14:textId="77777777" w:rsidR="00F87E58" w:rsidRPr="00DC7264" w:rsidRDefault="00F87E58" w:rsidP="00F87E58">
            <w:pPr>
              <w:pStyle w:val="cuadroCabe"/>
              <w:ind w:left="-117"/>
              <w:jc w:val="right"/>
              <w:rPr>
                <w:sz w:val="12"/>
                <w:szCs w:val="12"/>
              </w:rPr>
            </w:pPr>
            <w:r>
              <w:rPr>
                <w:sz w:val="12"/>
              </w:rPr>
              <w:t xml:space="preserve">2014</w:t>
            </w:r>
          </w:p>
        </w:tc>
        <w:tc>
          <w:tcPr>
            <w:tcW w:w="476" w:type="dxa"/>
            <w:tcBorders>
              <w:top w:val="single" w:sz="4" w:space="0" w:color="auto"/>
              <w:left w:val="nil"/>
              <w:bottom w:val="single" w:sz="4" w:space="0" w:color="auto"/>
              <w:right w:val="nil"/>
            </w:tcBorders>
            <w:shd w:val="clear" w:color="auto" w:fill="9CC2E5"/>
            <w:noWrap/>
            <w:vAlign w:val="bottom"/>
          </w:tcPr>
          <w:p w14:paraId="7F7069E1" w14:textId="77777777" w:rsidR="00F87E58" w:rsidRPr="00DC7264" w:rsidRDefault="00F87E58" w:rsidP="00F87E58">
            <w:pPr>
              <w:pStyle w:val="cuadroCabe"/>
              <w:ind w:left="-116"/>
              <w:jc w:val="right"/>
              <w:rPr>
                <w:sz w:val="12"/>
                <w:szCs w:val="12"/>
              </w:rPr>
            </w:pPr>
            <w:r>
              <w:rPr>
                <w:sz w:val="12"/>
              </w:rPr>
              <w:t xml:space="preserve">2015</w:t>
            </w:r>
          </w:p>
        </w:tc>
        <w:tc>
          <w:tcPr>
            <w:tcW w:w="476" w:type="dxa"/>
            <w:tcBorders>
              <w:top w:val="single" w:sz="4" w:space="0" w:color="auto"/>
              <w:left w:val="nil"/>
              <w:bottom w:val="single" w:sz="4" w:space="0" w:color="auto"/>
              <w:right w:val="nil"/>
            </w:tcBorders>
            <w:shd w:val="clear" w:color="auto" w:fill="9CC2E5"/>
            <w:noWrap/>
            <w:vAlign w:val="bottom"/>
          </w:tcPr>
          <w:p w14:paraId="169ADFA4" w14:textId="77777777" w:rsidR="00F87E58" w:rsidRPr="00DC7264" w:rsidRDefault="00F87E58" w:rsidP="00F87E58">
            <w:pPr>
              <w:pStyle w:val="cuadroCabe"/>
              <w:ind w:left="-116"/>
              <w:jc w:val="right"/>
              <w:rPr>
                <w:sz w:val="12"/>
                <w:szCs w:val="12"/>
              </w:rPr>
            </w:pPr>
            <w:r>
              <w:rPr>
                <w:sz w:val="12"/>
              </w:rPr>
              <w:t xml:space="preserve">2016</w:t>
            </w:r>
          </w:p>
        </w:tc>
        <w:tc>
          <w:tcPr>
            <w:tcW w:w="476" w:type="dxa"/>
            <w:tcBorders>
              <w:top w:val="single" w:sz="4" w:space="0" w:color="auto"/>
              <w:left w:val="nil"/>
              <w:bottom w:val="single" w:sz="4" w:space="0" w:color="auto"/>
              <w:right w:val="nil"/>
            </w:tcBorders>
            <w:shd w:val="clear" w:color="auto" w:fill="9CC2E5"/>
            <w:noWrap/>
            <w:vAlign w:val="bottom"/>
          </w:tcPr>
          <w:p w14:paraId="4E8256A4" w14:textId="77777777" w:rsidR="00F87E58" w:rsidRPr="00DC7264" w:rsidRDefault="00F87E58" w:rsidP="00F87E58">
            <w:pPr>
              <w:pStyle w:val="cuadroCabe"/>
              <w:ind w:left="-117"/>
              <w:jc w:val="right"/>
              <w:rPr>
                <w:sz w:val="12"/>
                <w:szCs w:val="12"/>
              </w:rPr>
            </w:pPr>
            <w:r>
              <w:rPr>
                <w:sz w:val="12"/>
              </w:rPr>
              <w:t xml:space="preserve">2017</w:t>
            </w:r>
          </w:p>
        </w:tc>
        <w:tc>
          <w:tcPr>
            <w:tcW w:w="476" w:type="dxa"/>
            <w:tcBorders>
              <w:top w:val="single" w:sz="4" w:space="0" w:color="auto"/>
              <w:left w:val="nil"/>
              <w:bottom w:val="single" w:sz="4" w:space="0" w:color="auto"/>
              <w:right w:val="nil"/>
            </w:tcBorders>
            <w:shd w:val="clear" w:color="auto" w:fill="9CC2E5"/>
            <w:noWrap/>
            <w:vAlign w:val="bottom"/>
          </w:tcPr>
          <w:p w14:paraId="7942B707" w14:textId="77777777" w:rsidR="00F87E58" w:rsidRPr="00DC7264" w:rsidRDefault="00F87E58" w:rsidP="00F87E58">
            <w:pPr>
              <w:pStyle w:val="cuadroCabe"/>
              <w:ind w:left="-117"/>
              <w:jc w:val="right"/>
              <w:rPr>
                <w:sz w:val="12"/>
                <w:szCs w:val="12"/>
              </w:rPr>
            </w:pPr>
            <w:r>
              <w:rPr>
                <w:sz w:val="12"/>
              </w:rPr>
              <w:t xml:space="preserve">2018</w:t>
            </w:r>
          </w:p>
        </w:tc>
        <w:tc>
          <w:tcPr>
            <w:tcW w:w="476" w:type="dxa"/>
            <w:tcBorders>
              <w:top w:val="single" w:sz="4" w:space="0" w:color="auto"/>
              <w:left w:val="nil"/>
              <w:bottom w:val="single" w:sz="4" w:space="0" w:color="auto"/>
              <w:right w:val="nil"/>
            </w:tcBorders>
            <w:shd w:val="clear" w:color="auto" w:fill="9CC2E5"/>
            <w:noWrap/>
            <w:vAlign w:val="bottom"/>
          </w:tcPr>
          <w:p w14:paraId="0F748580" w14:textId="77777777" w:rsidR="00F87E58" w:rsidRPr="00DC7264" w:rsidRDefault="00F87E58" w:rsidP="00F87E58">
            <w:pPr>
              <w:pStyle w:val="cuadroCabe"/>
              <w:ind w:left="-116"/>
              <w:jc w:val="right"/>
              <w:rPr>
                <w:sz w:val="12"/>
                <w:szCs w:val="12"/>
              </w:rPr>
            </w:pPr>
            <w:r>
              <w:rPr>
                <w:sz w:val="12"/>
              </w:rPr>
              <w:t xml:space="preserve">2019</w:t>
            </w:r>
          </w:p>
        </w:tc>
        <w:tc>
          <w:tcPr>
            <w:tcW w:w="476" w:type="dxa"/>
            <w:tcBorders>
              <w:top w:val="single" w:sz="4" w:space="0" w:color="auto"/>
              <w:left w:val="nil"/>
              <w:bottom w:val="single" w:sz="4" w:space="0" w:color="auto"/>
              <w:right w:val="nil"/>
            </w:tcBorders>
            <w:shd w:val="clear" w:color="auto" w:fill="9CC2E5"/>
            <w:noWrap/>
            <w:vAlign w:val="bottom"/>
          </w:tcPr>
          <w:p w14:paraId="04324004" w14:textId="77777777" w:rsidR="00F87E58" w:rsidRPr="00DC7264" w:rsidRDefault="00F87E58" w:rsidP="00F87E58">
            <w:pPr>
              <w:pStyle w:val="cuadroCabe"/>
              <w:ind w:left="-117"/>
              <w:jc w:val="right"/>
              <w:rPr>
                <w:sz w:val="12"/>
                <w:szCs w:val="12"/>
              </w:rPr>
            </w:pPr>
            <w:r>
              <w:rPr>
                <w:sz w:val="12"/>
              </w:rPr>
              <w:t xml:space="preserve">2020</w:t>
            </w:r>
          </w:p>
        </w:tc>
        <w:tc>
          <w:tcPr>
            <w:tcW w:w="476" w:type="dxa"/>
            <w:tcBorders>
              <w:top w:val="single" w:sz="4" w:space="0" w:color="auto"/>
              <w:left w:val="nil"/>
              <w:bottom w:val="single" w:sz="4" w:space="0" w:color="auto"/>
              <w:right w:val="nil"/>
            </w:tcBorders>
            <w:shd w:val="clear" w:color="auto" w:fill="9CC2E5"/>
            <w:noWrap/>
            <w:vAlign w:val="bottom"/>
          </w:tcPr>
          <w:p w14:paraId="16CE9BFE" w14:textId="77777777" w:rsidR="00F87E58" w:rsidRPr="00DC7264" w:rsidRDefault="00F87E58" w:rsidP="00F87E58">
            <w:pPr>
              <w:pStyle w:val="cuadroCabe"/>
              <w:ind w:left="-117"/>
              <w:jc w:val="right"/>
              <w:rPr>
                <w:sz w:val="12"/>
                <w:szCs w:val="12"/>
              </w:rPr>
            </w:pPr>
            <w:r>
              <w:rPr>
                <w:sz w:val="12"/>
              </w:rPr>
              <w:t xml:space="preserve">2021</w:t>
            </w:r>
          </w:p>
        </w:tc>
        <w:tc>
          <w:tcPr>
            <w:tcW w:w="476" w:type="dxa"/>
            <w:tcBorders>
              <w:top w:val="single" w:sz="4" w:space="0" w:color="auto"/>
              <w:left w:val="nil"/>
              <w:bottom w:val="single" w:sz="4" w:space="0" w:color="auto"/>
              <w:right w:val="nil"/>
            </w:tcBorders>
            <w:shd w:val="clear" w:color="auto" w:fill="9CC2E5"/>
            <w:noWrap/>
            <w:vAlign w:val="bottom"/>
          </w:tcPr>
          <w:p w14:paraId="0F431E24" w14:textId="77777777" w:rsidR="00F87E58" w:rsidRPr="00DC7264" w:rsidRDefault="00F87E58" w:rsidP="00F87E58">
            <w:pPr>
              <w:pStyle w:val="cuadroCabe"/>
              <w:ind w:left="-117"/>
              <w:jc w:val="right"/>
              <w:rPr>
                <w:sz w:val="12"/>
                <w:szCs w:val="12"/>
              </w:rPr>
            </w:pPr>
            <w:r>
              <w:rPr>
                <w:sz w:val="12"/>
              </w:rPr>
              <w:t xml:space="preserve">2022</w:t>
            </w:r>
          </w:p>
        </w:tc>
      </w:tr>
      <w:tr w:rsidR="00F87E58" w:rsidRPr="00DC7264" w14:paraId="2D77C92D" w14:textId="77777777" w:rsidTr="00F87E58">
        <w:trPr>
          <w:trHeight w:val="198"/>
          <w:jc w:val="center"/>
        </w:trPr>
        <w:tc>
          <w:tcPr>
            <w:tcW w:w="1134" w:type="dxa"/>
            <w:tcBorders>
              <w:top w:val="single" w:sz="4" w:space="0" w:color="auto"/>
              <w:bottom w:val="single" w:sz="2" w:space="0" w:color="auto"/>
              <w:right w:val="nil"/>
            </w:tcBorders>
            <w:shd w:val="clear" w:color="auto" w:fill="auto"/>
            <w:noWrap/>
            <w:vAlign w:val="bottom"/>
          </w:tcPr>
          <w:p w14:paraId="0D64E502" w14:textId="77777777" w:rsidR="00F87E58" w:rsidRDefault="00F87E58" w:rsidP="00321B53">
            <w:pPr>
              <w:pStyle w:val="cuatexto"/>
              <w:spacing w:line="240" w:lineRule="auto"/>
              <w:ind w:right="165" w:hanging="74"/>
              <w:jc w:val="left"/>
              <w:rPr>
                <w:sz w:val="12"/>
                <w:szCs w:val="12"/>
              </w:rPr>
            </w:pPr>
            <w:r>
              <w:rPr>
                <w:sz w:val="12"/>
              </w:rPr>
              <w:t xml:space="preserve">Maileguen urteko</w:t>
            </w:r>
          </w:p>
          <w:p w14:paraId="72B2382B" w14:textId="77777777" w:rsidR="00F87E58" w:rsidRPr="00DC7264" w:rsidRDefault="00F87E58" w:rsidP="00321B53">
            <w:pPr>
              <w:pStyle w:val="cuatexto"/>
              <w:tabs>
                <w:tab w:val="left" w:pos="493"/>
              </w:tabs>
              <w:spacing w:line="240" w:lineRule="auto"/>
              <w:ind w:right="165" w:hanging="74"/>
              <w:jc w:val="left"/>
              <w:rPr>
                <w:sz w:val="12"/>
                <w:szCs w:val="12"/>
              </w:rPr>
            </w:pPr>
            <w:r>
              <w:rPr>
                <w:sz w:val="12"/>
              </w:rPr>
              <w:t xml:space="preserve">narriadura</w:t>
            </w:r>
          </w:p>
        </w:tc>
        <w:tc>
          <w:tcPr>
            <w:tcW w:w="397" w:type="dxa"/>
            <w:tcBorders>
              <w:top w:val="single" w:sz="4" w:space="0" w:color="auto"/>
              <w:left w:val="nil"/>
              <w:bottom w:val="single" w:sz="2" w:space="0" w:color="auto"/>
              <w:right w:val="nil"/>
            </w:tcBorders>
            <w:shd w:val="clear" w:color="auto" w:fill="auto"/>
            <w:noWrap/>
            <w:vAlign w:val="bottom"/>
          </w:tcPr>
          <w:p w14:paraId="3A21BD89"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4" w:space="0" w:color="auto"/>
              <w:left w:val="nil"/>
              <w:bottom w:val="single" w:sz="2" w:space="0" w:color="auto"/>
              <w:right w:val="nil"/>
            </w:tcBorders>
            <w:shd w:val="clear" w:color="auto" w:fill="auto"/>
            <w:noWrap/>
            <w:vAlign w:val="bottom"/>
          </w:tcPr>
          <w:p w14:paraId="3B710A9C"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4" w:space="0" w:color="auto"/>
              <w:left w:val="nil"/>
              <w:bottom w:val="single" w:sz="2" w:space="0" w:color="auto"/>
              <w:right w:val="nil"/>
            </w:tcBorders>
            <w:shd w:val="clear" w:color="auto" w:fill="auto"/>
            <w:noWrap/>
            <w:vAlign w:val="bottom"/>
          </w:tcPr>
          <w:p w14:paraId="7AB0D457"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4" w:space="0" w:color="auto"/>
              <w:left w:val="nil"/>
              <w:bottom w:val="single" w:sz="2" w:space="0" w:color="auto"/>
              <w:right w:val="nil"/>
            </w:tcBorders>
            <w:shd w:val="clear" w:color="auto" w:fill="auto"/>
            <w:noWrap/>
            <w:vAlign w:val="bottom"/>
          </w:tcPr>
          <w:p w14:paraId="6CCF0D5B" w14:textId="77777777" w:rsidR="00F87E58" w:rsidRPr="00DC7264" w:rsidRDefault="00F87E58" w:rsidP="00F87E58">
            <w:pPr>
              <w:pStyle w:val="cuatexto"/>
              <w:jc w:val="right"/>
              <w:rPr>
                <w:sz w:val="14"/>
                <w:szCs w:val="14"/>
              </w:rPr>
            </w:pPr>
            <w:r>
              <w:rPr>
                <w:sz w:val="14"/>
              </w:rPr>
              <w:t xml:space="preserve">0,00</w:t>
            </w:r>
          </w:p>
        </w:tc>
        <w:tc>
          <w:tcPr>
            <w:tcW w:w="476" w:type="dxa"/>
            <w:tcBorders>
              <w:top w:val="single" w:sz="4" w:space="0" w:color="auto"/>
              <w:left w:val="nil"/>
              <w:bottom w:val="single" w:sz="2" w:space="0" w:color="auto"/>
              <w:right w:val="nil"/>
            </w:tcBorders>
            <w:shd w:val="clear" w:color="auto" w:fill="auto"/>
            <w:noWrap/>
            <w:vAlign w:val="bottom"/>
          </w:tcPr>
          <w:p w14:paraId="5E4050B8" w14:textId="77777777" w:rsidR="00F87E58" w:rsidRPr="00DC7264" w:rsidRDefault="00F87E58" w:rsidP="00F87E58">
            <w:pPr>
              <w:pStyle w:val="cuatexto"/>
              <w:jc w:val="right"/>
              <w:rPr>
                <w:sz w:val="14"/>
                <w:szCs w:val="14"/>
              </w:rPr>
            </w:pPr>
            <w:r>
              <w:rPr>
                <w:sz w:val="14"/>
              </w:rPr>
              <w:t xml:space="preserve">(4,04)</w:t>
            </w:r>
          </w:p>
        </w:tc>
        <w:tc>
          <w:tcPr>
            <w:tcW w:w="476" w:type="dxa"/>
            <w:tcBorders>
              <w:top w:val="single" w:sz="4" w:space="0" w:color="auto"/>
              <w:left w:val="nil"/>
              <w:bottom w:val="single" w:sz="2" w:space="0" w:color="auto"/>
              <w:right w:val="nil"/>
            </w:tcBorders>
            <w:shd w:val="clear" w:color="auto" w:fill="auto"/>
            <w:noWrap/>
            <w:vAlign w:val="bottom"/>
          </w:tcPr>
          <w:p w14:paraId="64659C00" w14:textId="77777777" w:rsidR="00F87E58" w:rsidRPr="00DC7264" w:rsidRDefault="00F87E58" w:rsidP="00F87E58">
            <w:pPr>
              <w:pStyle w:val="cuatexto"/>
              <w:jc w:val="right"/>
              <w:rPr>
                <w:sz w:val="14"/>
                <w:szCs w:val="14"/>
              </w:rPr>
            </w:pPr>
            <w:r>
              <w:rPr>
                <w:sz w:val="14"/>
              </w:rPr>
              <w:t xml:space="preserve">(2,38)</w:t>
            </w:r>
          </w:p>
        </w:tc>
        <w:tc>
          <w:tcPr>
            <w:tcW w:w="397" w:type="dxa"/>
            <w:tcBorders>
              <w:top w:val="single" w:sz="4" w:space="0" w:color="auto"/>
              <w:left w:val="nil"/>
              <w:bottom w:val="single" w:sz="2" w:space="0" w:color="auto"/>
              <w:right w:val="nil"/>
            </w:tcBorders>
            <w:shd w:val="clear" w:color="auto" w:fill="auto"/>
            <w:noWrap/>
            <w:vAlign w:val="bottom"/>
          </w:tcPr>
          <w:p w14:paraId="291EA131" w14:textId="77777777" w:rsidR="00F87E58" w:rsidRPr="00DC7264" w:rsidRDefault="00F87E58" w:rsidP="00F87E58">
            <w:pPr>
              <w:pStyle w:val="cuatexto"/>
              <w:ind w:left="-117"/>
              <w:jc w:val="right"/>
              <w:rPr>
                <w:sz w:val="14"/>
                <w:szCs w:val="14"/>
              </w:rPr>
            </w:pPr>
            <w:r>
              <w:rPr>
                <w:sz w:val="14"/>
              </w:rPr>
              <w:t xml:space="preserve">(4,01)</w:t>
            </w:r>
          </w:p>
        </w:tc>
        <w:tc>
          <w:tcPr>
            <w:tcW w:w="476" w:type="dxa"/>
            <w:tcBorders>
              <w:top w:val="single" w:sz="4" w:space="0" w:color="auto"/>
              <w:left w:val="nil"/>
              <w:bottom w:val="single" w:sz="2" w:space="0" w:color="auto"/>
              <w:right w:val="nil"/>
            </w:tcBorders>
            <w:shd w:val="clear" w:color="auto" w:fill="auto"/>
            <w:noWrap/>
            <w:vAlign w:val="bottom"/>
          </w:tcPr>
          <w:p w14:paraId="171A8B94" w14:textId="77777777" w:rsidR="00F87E58" w:rsidRPr="00DC7264" w:rsidRDefault="00F87E58" w:rsidP="00F87E58">
            <w:pPr>
              <w:pStyle w:val="cuatexto"/>
              <w:jc w:val="right"/>
              <w:rPr>
                <w:sz w:val="14"/>
                <w:szCs w:val="14"/>
              </w:rPr>
            </w:pPr>
            <w:r>
              <w:rPr>
                <w:sz w:val="14"/>
              </w:rPr>
              <w:t xml:space="preserve">(3,83)</w:t>
            </w:r>
          </w:p>
        </w:tc>
        <w:tc>
          <w:tcPr>
            <w:tcW w:w="476" w:type="dxa"/>
            <w:tcBorders>
              <w:top w:val="single" w:sz="4" w:space="0" w:color="auto"/>
              <w:left w:val="nil"/>
              <w:bottom w:val="single" w:sz="2" w:space="0" w:color="auto"/>
              <w:right w:val="nil"/>
            </w:tcBorders>
            <w:shd w:val="clear" w:color="auto" w:fill="auto"/>
            <w:noWrap/>
            <w:vAlign w:val="bottom"/>
          </w:tcPr>
          <w:p w14:paraId="706957C6" w14:textId="77777777" w:rsidR="00F87E58" w:rsidRPr="00DC7264" w:rsidRDefault="00F87E58" w:rsidP="00F87E58">
            <w:pPr>
              <w:pStyle w:val="cuatexto"/>
              <w:jc w:val="right"/>
              <w:rPr>
                <w:sz w:val="14"/>
                <w:szCs w:val="14"/>
              </w:rPr>
            </w:pPr>
            <w:r>
              <w:rPr>
                <w:sz w:val="14"/>
              </w:rPr>
              <w:t xml:space="preserve">(2,75)</w:t>
            </w:r>
          </w:p>
        </w:tc>
        <w:tc>
          <w:tcPr>
            <w:tcW w:w="476" w:type="dxa"/>
            <w:tcBorders>
              <w:top w:val="single" w:sz="4" w:space="0" w:color="auto"/>
              <w:left w:val="nil"/>
              <w:bottom w:val="single" w:sz="2" w:space="0" w:color="auto"/>
              <w:right w:val="nil"/>
            </w:tcBorders>
            <w:shd w:val="clear" w:color="auto" w:fill="auto"/>
            <w:noWrap/>
            <w:vAlign w:val="bottom"/>
          </w:tcPr>
          <w:p w14:paraId="14592AD0" w14:textId="77777777" w:rsidR="00F87E58" w:rsidRPr="00DC7264" w:rsidRDefault="00F87E58" w:rsidP="00F87E58">
            <w:pPr>
              <w:pStyle w:val="cuatexto"/>
              <w:jc w:val="right"/>
              <w:rPr>
                <w:sz w:val="14"/>
                <w:szCs w:val="14"/>
              </w:rPr>
            </w:pPr>
            <w:r>
              <w:rPr>
                <w:sz w:val="14"/>
              </w:rPr>
              <w:t xml:space="preserve">(2,82)</w:t>
            </w:r>
          </w:p>
        </w:tc>
        <w:tc>
          <w:tcPr>
            <w:tcW w:w="476" w:type="dxa"/>
            <w:tcBorders>
              <w:top w:val="single" w:sz="4" w:space="0" w:color="auto"/>
              <w:left w:val="nil"/>
              <w:bottom w:val="single" w:sz="2" w:space="0" w:color="auto"/>
              <w:right w:val="nil"/>
            </w:tcBorders>
            <w:shd w:val="clear" w:color="auto" w:fill="auto"/>
            <w:noWrap/>
            <w:vAlign w:val="bottom"/>
          </w:tcPr>
          <w:p w14:paraId="3BCC25FC"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(4,35)</w:t>
            </w:r>
          </w:p>
        </w:tc>
        <w:tc>
          <w:tcPr>
            <w:tcW w:w="476" w:type="dxa"/>
            <w:tcBorders>
              <w:top w:val="single" w:sz="4" w:space="0" w:color="auto"/>
              <w:left w:val="nil"/>
              <w:bottom w:val="single" w:sz="2" w:space="0" w:color="auto"/>
              <w:right w:val="nil"/>
            </w:tcBorders>
            <w:shd w:val="clear" w:color="auto" w:fill="auto"/>
            <w:noWrap/>
            <w:vAlign w:val="bottom"/>
          </w:tcPr>
          <w:p w14:paraId="21DA05C5"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(4,03)</w:t>
            </w:r>
          </w:p>
        </w:tc>
        <w:tc>
          <w:tcPr>
            <w:tcW w:w="476" w:type="dxa"/>
            <w:tcBorders>
              <w:top w:val="single" w:sz="4" w:space="0" w:color="auto"/>
              <w:left w:val="nil"/>
              <w:bottom w:val="single" w:sz="2" w:space="0" w:color="auto"/>
              <w:right w:val="nil"/>
            </w:tcBorders>
            <w:shd w:val="clear" w:color="auto" w:fill="auto"/>
            <w:noWrap/>
            <w:vAlign w:val="bottom"/>
          </w:tcPr>
          <w:p w14:paraId="441C2C82" w14:textId="77777777" w:rsidR="00F87E58" w:rsidRPr="00DC7264" w:rsidRDefault="00F87E58" w:rsidP="00F87E58">
            <w:pPr>
              <w:pStyle w:val="cuatexto"/>
              <w:jc w:val="right"/>
              <w:rPr>
                <w:sz w:val="14"/>
                <w:szCs w:val="14"/>
              </w:rPr>
            </w:pPr>
            <w:r>
              <w:rPr>
                <w:sz w:val="14"/>
              </w:rPr>
              <w:t xml:space="preserve">(4,00)</w:t>
            </w:r>
          </w:p>
        </w:tc>
        <w:tc>
          <w:tcPr>
            <w:tcW w:w="476" w:type="dxa"/>
            <w:tcBorders>
              <w:top w:val="single" w:sz="4" w:space="0" w:color="auto"/>
              <w:left w:val="nil"/>
              <w:bottom w:val="single" w:sz="2" w:space="0" w:color="auto"/>
              <w:right w:val="nil"/>
            </w:tcBorders>
            <w:shd w:val="clear" w:color="auto" w:fill="auto"/>
            <w:noWrap/>
            <w:vAlign w:val="bottom"/>
          </w:tcPr>
          <w:p w14:paraId="07E45E2F" w14:textId="77777777" w:rsidR="00F87E58" w:rsidRPr="00DC7264" w:rsidRDefault="00F87E58" w:rsidP="00F87E58">
            <w:pPr>
              <w:pStyle w:val="cuatexto"/>
              <w:jc w:val="right"/>
              <w:rPr>
                <w:sz w:val="14"/>
                <w:szCs w:val="14"/>
              </w:rPr>
            </w:pPr>
            <w:r>
              <w:rPr>
                <w:sz w:val="14"/>
              </w:rPr>
              <w:t xml:space="preserve">(2,68)</w:t>
            </w:r>
          </w:p>
        </w:tc>
        <w:tc>
          <w:tcPr>
            <w:tcW w:w="476" w:type="dxa"/>
            <w:tcBorders>
              <w:top w:val="single" w:sz="4" w:space="0" w:color="auto"/>
              <w:left w:val="nil"/>
              <w:bottom w:val="single" w:sz="2" w:space="0" w:color="auto"/>
              <w:right w:val="nil"/>
            </w:tcBorders>
            <w:shd w:val="clear" w:color="auto" w:fill="auto"/>
            <w:noWrap/>
            <w:vAlign w:val="bottom"/>
          </w:tcPr>
          <w:p w14:paraId="5EFDD437"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(2,91)</w:t>
            </w:r>
          </w:p>
        </w:tc>
        <w:tc>
          <w:tcPr>
            <w:tcW w:w="476" w:type="dxa"/>
            <w:tcBorders>
              <w:top w:val="single" w:sz="4" w:space="0" w:color="auto"/>
              <w:left w:val="nil"/>
              <w:bottom w:val="single" w:sz="2" w:space="0" w:color="auto"/>
              <w:right w:val="nil"/>
            </w:tcBorders>
            <w:shd w:val="clear" w:color="auto" w:fill="auto"/>
            <w:noWrap/>
            <w:vAlign w:val="bottom"/>
          </w:tcPr>
          <w:p w14:paraId="4AC32316"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(2,71)</w:t>
            </w:r>
          </w:p>
        </w:tc>
        <w:tc>
          <w:tcPr>
            <w:tcW w:w="476" w:type="dxa"/>
            <w:tcBorders>
              <w:top w:val="single" w:sz="4" w:space="0" w:color="auto"/>
              <w:left w:val="nil"/>
              <w:bottom w:val="single" w:sz="2" w:space="0" w:color="auto"/>
              <w:right w:val="nil"/>
            </w:tcBorders>
            <w:shd w:val="clear" w:color="auto" w:fill="auto"/>
            <w:noWrap/>
            <w:vAlign w:val="bottom"/>
          </w:tcPr>
          <w:p w14:paraId="3B25EC6B" w14:textId="77777777" w:rsidR="00F87E58" w:rsidRPr="00DC7264" w:rsidRDefault="00F87E58" w:rsidP="00F87E58">
            <w:pPr>
              <w:pStyle w:val="cuatexto"/>
              <w:jc w:val="right"/>
              <w:rPr>
                <w:sz w:val="14"/>
                <w:szCs w:val="14"/>
              </w:rPr>
            </w:pPr>
            <w:r>
              <w:rPr>
                <w:sz w:val="14"/>
              </w:rPr>
              <w:t xml:space="preserve">(2,49)</w:t>
            </w:r>
          </w:p>
        </w:tc>
        <w:tc>
          <w:tcPr>
            <w:tcW w:w="476" w:type="dxa"/>
            <w:tcBorders>
              <w:top w:val="single" w:sz="4" w:space="0" w:color="auto"/>
              <w:left w:val="nil"/>
              <w:bottom w:val="single" w:sz="2" w:space="0" w:color="auto"/>
              <w:right w:val="nil"/>
            </w:tcBorders>
            <w:shd w:val="clear" w:color="auto" w:fill="auto"/>
            <w:noWrap/>
            <w:vAlign w:val="bottom"/>
          </w:tcPr>
          <w:p w14:paraId="38EB8E27" w14:textId="77777777" w:rsidR="00F87E58" w:rsidRPr="00DC7264" w:rsidRDefault="00F87E58" w:rsidP="00F87E58">
            <w:pPr>
              <w:pStyle w:val="cuatexto"/>
              <w:jc w:val="right"/>
              <w:rPr>
                <w:sz w:val="14"/>
                <w:szCs w:val="14"/>
              </w:rPr>
            </w:pPr>
            <w:r>
              <w:rPr>
                <w:sz w:val="14"/>
              </w:rPr>
              <w:t xml:space="preserve">(2,36)</w:t>
            </w:r>
          </w:p>
        </w:tc>
        <w:tc>
          <w:tcPr>
            <w:tcW w:w="476" w:type="dxa"/>
            <w:tcBorders>
              <w:top w:val="single" w:sz="4" w:space="0" w:color="auto"/>
              <w:left w:val="nil"/>
              <w:bottom w:val="single" w:sz="2" w:space="0" w:color="auto"/>
              <w:right w:val="nil"/>
            </w:tcBorders>
            <w:shd w:val="clear" w:color="auto" w:fill="auto"/>
            <w:noWrap/>
            <w:vAlign w:val="bottom"/>
          </w:tcPr>
          <w:p w14:paraId="3FB93A5F" w14:textId="77777777" w:rsidR="00F87E58" w:rsidRPr="006D3C1E" w:rsidRDefault="00F87E58" w:rsidP="00F87E58">
            <w:pPr>
              <w:pStyle w:val="cuadroCabe"/>
              <w:ind w:left="-116"/>
              <w:jc w:val="right"/>
              <w:rPr>
                <w:sz w:val="14"/>
                <w:szCs w:val="14"/>
                <w:rFonts w:ascii="Arial Narrow" w:hAnsi="Arial Narrow"/>
              </w:rPr>
            </w:pPr>
            <w:r>
              <w:rPr>
                <w:sz w:val="14"/>
                <w:rFonts w:ascii="Arial Narrow" w:hAnsi="Arial Narrow"/>
              </w:rPr>
              <w:t xml:space="preserve">(2,85)</w:t>
            </w:r>
          </w:p>
        </w:tc>
        <w:tc>
          <w:tcPr>
            <w:tcW w:w="476" w:type="dxa"/>
            <w:tcBorders>
              <w:top w:val="single" w:sz="4" w:space="0" w:color="auto"/>
              <w:left w:val="nil"/>
              <w:bottom w:val="single" w:sz="2" w:space="0" w:color="auto"/>
              <w:right w:val="nil"/>
            </w:tcBorders>
            <w:shd w:val="clear" w:color="auto" w:fill="auto"/>
            <w:noWrap/>
            <w:vAlign w:val="bottom"/>
          </w:tcPr>
          <w:p w14:paraId="40011DF0" w14:textId="77777777" w:rsidR="00F87E58" w:rsidRPr="00DC7264" w:rsidRDefault="00F87E58" w:rsidP="00F87E58">
            <w:pPr>
              <w:pStyle w:val="cuatexto"/>
              <w:jc w:val="right"/>
              <w:rPr>
                <w:sz w:val="14"/>
                <w:szCs w:val="14"/>
              </w:rPr>
            </w:pPr>
            <w:r>
              <w:rPr>
                <w:sz w:val="14"/>
              </w:rPr>
              <w:t xml:space="preserve">(3,35)</w:t>
            </w:r>
          </w:p>
        </w:tc>
        <w:tc>
          <w:tcPr>
            <w:tcW w:w="476" w:type="dxa"/>
            <w:tcBorders>
              <w:top w:val="single" w:sz="4" w:space="0" w:color="auto"/>
              <w:left w:val="nil"/>
              <w:bottom w:val="single" w:sz="2" w:space="0" w:color="auto"/>
              <w:right w:val="nil"/>
            </w:tcBorders>
            <w:shd w:val="clear" w:color="auto" w:fill="auto"/>
            <w:noWrap/>
            <w:vAlign w:val="bottom"/>
          </w:tcPr>
          <w:p w14:paraId="05E64859" w14:textId="77777777" w:rsidR="00F87E58" w:rsidRPr="00DC7264" w:rsidRDefault="00F87E58" w:rsidP="00F87E58">
            <w:pPr>
              <w:pStyle w:val="cuatexto"/>
              <w:jc w:val="right"/>
              <w:rPr>
                <w:sz w:val="14"/>
                <w:szCs w:val="14"/>
              </w:rPr>
            </w:pPr>
            <w:r>
              <w:rPr>
                <w:sz w:val="14"/>
              </w:rPr>
              <w:t xml:space="preserve">(1,99)</w:t>
            </w:r>
          </w:p>
        </w:tc>
        <w:tc>
          <w:tcPr>
            <w:tcW w:w="476" w:type="dxa"/>
            <w:tcBorders>
              <w:top w:val="single" w:sz="4" w:space="0" w:color="auto"/>
              <w:left w:val="nil"/>
              <w:bottom w:val="single" w:sz="2" w:space="0" w:color="auto"/>
              <w:right w:val="nil"/>
            </w:tcBorders>
            <w:shd w:val="clear" w:color="auto" w:fill="auto"/>
            <w:noWrap/>
            <w:vAlign w:val="bottom"/>
          </w:tcPr>
          <w:p w14:paraId="6E722EBC" w14:textId="77777777" w:rsidR="00F87E58" w:rsidRPr="00DC7264" w:rsidRDefault="00F87E58" w:rsidP="00F87E58">
            <w:pPr>
              <w:pStyle w:val="cuatexto"/>
              <w:jc w:val="right"/>
              <w:rPr>
                <w:sz w:val="14"/>
                <w:szCs w:val="14"/>
              </w:rPr>
            </w:pPr>
            <w:r>
              <w:rPr>
                <w:sz w:val="14"/>
              </w:rPr>
              <w:t xml:space="preserve">(2,22)</w:t>
            </w:r>
          </w:p>
        </w:tc>
      </w:tr>
      <w:tr w:rsidR="00F87E58" w:rsidRPr="00DC7264" w14:paraId="0FABD64B" w14:textId="77777777" w:rsidTr="00F87E58">
        <w:trPr>
          <w:trHeight w:val="198"/>
          <w:jc w:val="center"/>
        </w:trPr>
        <w:tc>
          <w:tcPr>
            <w:tcW w:w="1134" w:type="dxa"/>
            <w:tcBorders>
              <w:top w:val="single" w:sz="2" w:space="0" w:color="auto"/>
              <w:bottom w:val="single" w:sz="4" w:space="0" w:color="auto"/>
              <w:right w:val="nil"/>
            </w:tcBorders>
            <w:shd w:val="clear" w:color="auto" w:fill="auto"/>
            <w:noWrap/>
            <w:vAlign w:val="bottom"/>
          </w:tcPr>
          <w:p w14:paraId="676D85F5" w14:textId="77777777" w:rsidR="00F87E58" w:rsidRPr="00DC7264" w:rsidRDefault="00F87E58" w:rsidP="00321B53">
            <w:pPr>
              <w:pStyle w:val="cuatexto"/>
              <w:spacing w:line="240" w:lineRule="auto"/>
              <w:ind w:left="-74"/>
              <w:jc w:val="left"/>
              <w:rPr>
                <w:sz w:val="12"/>
                <w:szCs w:val="12"/>
              </w:rPr>
            </w:pPr>
            <w:r>
              <w:rPr>
                <w:sz w:val="12"/>
              </w:rPr>
              <w:t xml:space="preserve">Partaidetza-maileguaren urteko zenbatekoa</w:t>
            </w:r>
          </w:p>
        </w:tc>
        <w:tc>
          <w:tcPr>
            <w:tcW w:w="397" w:type="dxa"/>
            <w:tcBorders>
              <w:top w:val="single" w:sz="2" w:space="0" w:color="auto"/>
              <w:left w:val="nil"/>
              <w:bottom w:val="single" w:sz="4" w:space="0" w:color="auto"/>
              <w:right w:val="nil"/>
            </w:tcBorders>
            <w:shd w:val="clear" w:color="auto" w:fill="auto"/>
            <w:noWrap/>
            <w:vAlign w:val="bottom"/>
          </w:tcPr>
          <w:p w14:paraId="6FB8F433"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bottom"/>
          </w:tcPr>
          <w:p w14:paraId="257D2D75"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bottom"/>
          </w:tcPr>
          <w:p w14:paraId="4E45AEC1" w14:textId="77777777" w:rsidR="00F87E58" w:rsidRPr="00DC7264" w:rsidRDefault="00F87E58" w:rsidP="00F87E58">
            <w:pPr>
              <w:pStyle w:val="cuatexto"/>
              <w:jc w:val="right"/>
              <w:rPr>
                <w:sz w:val="14"/>
                <w:szCs w:val="14"/>
              </w:rPr>
            </w:pPr>
            <w:r>
              <w:rPr>
                <w:sz w:val="14"/>
              </w:rPr>
              <w:t xml:space="preserve">0,00</w:t>
            </w:r>
          </w:p>
        </w:tc>
        <w:tc>
          <w:tcPr>
            <w:tcW w:w="397" w:type="dxa"/>
            <w:tcBorders>
              <w:top w:val="single" w:sz="2" w:space="0" w:color="auto"/>
              <w:left w:val="nil"/>
              <w:bottom w:val="single" w:sz="4" w:space="0" w:color="auto"/>
              <w:right w:val="nil"/>
            </w:tcBorders>
            <w:shd w:val="clear" w:color="auto" w:fill="auto"/>
            <w:noWrap/>
            <w:vAlign w:val="bottom"/>
          </w:tcPr>
          <w:p w14:paraId="624E065E" w14:textId="77777777" w:rsidR="00F87E58" w:rsidRPr="00DC7264" w:rsidRDefault="00F87E58" w:rsidP="00F87E58">
            <w:pPr>
              <w:pStyle w:val="cuatexto"/>
              <w:jc w:val="right"/>
              <w:rPr>
                <w:sz w:val="14"/>
                <w:szCs w:val="14"/>
              </w:rPr>
            </w:pPr>
            <w:r>
              <w:rPr>
                <w:sz w:val="14"/>
              </w:rPr>
              <w:t xml:space="preserve">0,00</w:t>
            </w:r>
          </w:p>
        </w:tc>
        <w:tc>
          <w:tcPr>
            <w:tcW w:w="476" w:type="dxa"/>
            <w:tcBorders>
              <w:top w:val="single" w:sz="2" w:space="0" w:color="auto"/>
              <w:left w:val="nil"/>
              <w:bottom w:val="single" w:sz="4" w:space="0" w:color="auto"/>
              <w:right w:val="nil"/>
            </w:tcBorders>
            <w:shd w:val="clear" w:color="auto" w:fill="auto"/>
            <w:noWrap/>
            <w:vAlign w:val="bottom"/>
          </w:tcPr>
          <w:p w14:paraId="66571F56" w14:textId="77777777" w:rsidR="00F87E58" w:rsidRPr="00DC7264" w:rsidRDefault="00F87E58" w:rsidP="00F87E58">
            <w:pPr>
              <w:pStyle w:val="cuatexto"/>
              <w:jc w:val="right"/>
              <w:rPr>
                <w:sz w:val="14"/>
                <w:szCs w:val="14"/>
              </w:rPr>
            </w:pPr>
            <w:r>
              <w:rPr>
                <w:sz w:val="14"/>
              </w:rPr>
              <w:t xml:space="preserve">0,00</w:t>
            </w:r>
          </w:p>
        </w:tc>
        <w:tc>
          <w:tcPr>
            <w:tcW w:w="476" w:type="dxa"/>
            <w:tcBorders>
              <w:top w:val="single" w:sz="2" w:space="0" w:color="auto"/>
              <w:left w:val="nil"/>
              <w:bottom w:val="single" w:sz="4" w:space="0" w:color="auto"/>
              <w:right w:val="nil"/>
            </w:tcBorders>
            <w:shd w:val="clear" w:color="auto" w:fill="auto"/>
            <w:noWrap/>
            <w:vAlign w:val="bottom"/>
          </w:tcPr>
          <w:p w14:paraId="375A0241" w14:textId="77777777" w:rsidR="00F87E58" w:rsidRPr="00DC7264" w:rsidRDefault="00F87E58" w:rsidP="00F87E58">
            <w:pPr>
              <w:pStyle w:val="cuatexto"/>
              <w:jc w:val="right"/>
              <w:rPr>
                <w:sz w:val="14"/>
                <w:szCs w:val="14"/>
              </w:rPr>
            </w:pPr>
            <w:r>
              <w:rPr>
                <w:sz w:val="14"/>
              </w:rPr>
              <w:t xml:space="preserve">4,30</w:t>
            </w:r>
          </w:p>
        </w:tc>
        <w:tc>
          <w:tcPr>
            <w:tcW w:w="397" w:type="dxa"/>
            <w:tcBorders>
              <w:top w:val="single" w:sz="2" w:space="0" w:color="auto"/>
              <w:left w:val="nil"/>
              <w:bottom w:val="single" w:sz="4" w:space="0" w:color="auto"/>
              <w:right w:val="nil"/>
            </w:tcBorders>
            <w:shd w:val="clear" w:color="auto" w:fill="auto"/>
            <w:noWrap/>
            <w:vAlign w:val="bottom"/>
          </w:tcPr>
          <w:p w14:paraId="1315538E" w14:textId="77777777" w:rsidR="00F87E58" w:rsidRPr="00DC7264" w:rsidRDefault="00F87E58" w:rsidP="00F87E58">
            <w:pPr>
              <w:pStyle w:val="cuatexto"/>
              <w:ind w:left="-117"/>
              <w:jc w:val="right"/>
              <w:rPr>
                <w:sz w:val="14"/>
                <w:szCs w:val="14"/>
              </w:rPr>
            </w:pPr>
            <w:r>
              <w:rPr>
                <w:sz w:val="14"/>
              </w:rPr>
              <w:t xml:space="preserve">4,40</w:t>
            </w:r>
          </w:p>
        </w:tc>
        <w:tc>
          <w:tcPr>
            <w:tcW w:w="476" w:type="dxa"/>
            <w:tcBorders>
              <w:top w:val="single" w:sz="2" w:space="0" w:color="auto"/>
              <w:left w:val="nil"/>
              <w:bottom w:val="single" w:sz="4" w:space="0" w:color="auto"/>
              <w:right w:val="nil"/>
            </w:tcBorders>
            <w:shd w:val="clear" w:color="auto" w:fill="auto"/>
            <w:noWrap/>
            <w:vAlign w:val="bottom"/>
          </w:tcPr>
          <w:p w14:paraId="34331D31" w14:textId="77777777" w:rsidR="00F87E58" w:rsidRPr="00DC7264" w:rsidRDefault="00F87E58" w:rsidP="00F87E58">
            <w:pPr>
              <w:pStyle w:val="cuatexto"/>
              <w:jc w:val="right"/>
              <w:rPr>
                <w:sz w:val="14"/>
                <w:szCs w:val="14"/>
              </w:rPr>
            </w:pPr>
            <w:r>
              <w:rPr>
                <w:sz w:val="14"/>
              </w:rPr>
              <w:t xml:space="preserve">4,20</w:t>
            </w:r>
          </w:p>
        </w:tc>
        <w:tc>
          <w:tcPr>
            <w:tcW w:w="476" w:type="dxa"/>
            <w:tcBorders>
              <w:top w:val="single" w:sz="2" w:space="0" w:color="auto"/>
              <w:left w:val="nil"/>
              <w:bottom w:val="single" w:sz="4" w:space="0" w:color="auto"/>
              <w:right w:val="nil"/>
            </w:tcBorders>
            <w:shd w:val="clear" w:color="auto" w:fill="auto"/>
            <w:noWrap/>
            <w:vAlign w:val="bottom"/>
          </w:tcPr>
          <w:p w14:paraId="27F3B9E4" w14:textId="77777777" w:rsidR="00F87E58" w:rsidRPr="00DC7264" w:rsidRDefault="00F87E58" w:rsidP="00F87E58">
            <w:pPr>
              <w:pStyle w:val="cuatexto"/>
              <w:jc w:val="right"/>
              <w:rPr>
                <w:sz w:val="14"/>
                <w:szCs w:val="14"/>
              </w:rPr>
            </w:pPr>
            <w:r>
              <w:rPr>
                <w:sz w:val="14"/>
              </w:rPr>
              <w:t xml:space="preserve">3,85</w:t>
            </w:r>
          </w:p>
        </w:tc>
        <w:tc>
          <w:tcPr>
            <w:tcW w:w="476" w:type="dxa"/>
            <w:tcBorders>
              <w:top w:val="single" w:sz="2" w:space="0" w:color="auto"/>
              <w:left w:val="nil"/>
              <w:bottom w:val="single" w:sz="4" w:space="0" w:color="auto"/>
              <w:right w:val="nil"/>
            </w:tcBorders>
            <w:shd w:val="clear" w:color="auto" w:fill="auto"/>
            <w:noWrap/>
            <w:vAlign w:val="bottom"/>
          </w:tcPr>
          <w:p w14:paraId="4C2F388B" w14:textId="77777777" w:rsidR="00F87E58" w:rsidRPr="00DC7264" w:rsidRDefault="00F87E58" w:rsidP="00F87E58">
            <w:pPr>
              <w:pStyle w:val="cuatexto"/>
              <w:jc w:val="right"/>
              <w:rPr>
                <w:sz w:val="14"/>
                <w:szCs w:val="14"/>
              </w:rPr>
            </w:pPr>
            <w:r>
              <w:rPr>
                <w:sz w:val="14"/>
              </w:rPr>
              <w:t xml:space="preserve">4,30</w:t>
            </w:r>
          </w:p>
        </w:tc>
        <w:tc>
          <w:tcPr>
            <w:tcW w:w="476" w:type="dxa"/>
            <w:tcBorders>
              <w:top w:val="single" w:sz="2" w:space="0" w:color="auto"/>
              <w:left w:val="nil"/>
              <w:bottom w:val="single" w:sz="4" w:space="0" w:color="auto"/>
              <w:right w:val="nil"/>
            </w:tcBorders>
            <w:shd w:val="clear" w:color="auto" w:fill="auto"/>
            <w:noWrap/>
            <w:vAlign w:val="bottom"/>
          </w:tcPr>
          <w:p w14:paraId="4A9908BC"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4,33</w:t>
            </w:r>
          </w:p>
        </w:tc>
        <w:tc>
          <w:tcPr>
            <w:tcW w:w="476" w:type="dxa"/>
            <w:tcBorders>
              <w:top w:val="single" w:sz="2" w:space="0" w:color="auto"/>
              <w:left w:val="nil"/>
              <w:bottom w:val="single" w:sz="4" w:space="0" w:color="auto"/>
              <w:right w:val="nil"/>
            </w:tcBorders>
            <w:shd w:val="clear" w:color="auto" w:fill="auto"/>
            <w:noWrap/>
            <w:vAlign w:val="bottom"/>
          </w:tcPr>
          <w:p w14:paraId="6BF0DEC6"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4,05</w:t>
            </w:r>
          </w:p>
        </w:tc>
        <w:tc>
          <w:tcPr>
            <w:tcW w:w="476" w:type="dxa"/>
            <w:tcBorders>
              <w:top w:val="single" w:sz="2" w:space="0" w:color="auto"/>
              <w:left w:val="nil"/>
              <w:bottom w:val="single" w:sz="4" w:space="0" w:color="auto"/>
              <w:right w:val="nil"/>
            </w:tcBorders>
            <w:shd w:val="clear" w:color="auto" w:fill="auto"/>
            <w:noWrap/>
            <w:vAlign w:val="bottom"/>
          </w:tcPr>
          <w:p w14:paraId="129F40E7" w14:textId="77777777" w:rsidR="00F87E58" w:rsidRPr="00DC7264" w:rsidRDefault="00F87E58" w:rsidP="00F87E58">
            <w:pPr>
              <w:pStyle w:val="cuatexto"/>
              <w:jc w:val="right"/>
              <w:rPr>
                <w:sz w:val="14"/>
                <w:szCs w:val="14"/>
              </w:rPr>
            </w:pPr>
            <w:r>
              <w:rPr>
                <w:sz w:val="14"/>
              </w:rPr>
              <w:t xml:space="preserve">3,75</w:t>
            </w:r>
          </w:p>
        </w:tc>
        <w:tc>
          <w:tcPr>
            <w:tcW w:w="476" w:type="dxa"/>
            <w:tcBorders>
              <w:top w:val="single" w:sz="2" w:space="0" w:color="auto"/>
              <w:left w:val="nil"/>
              <w:bottom w:val="single" w:sz="4" w:space="0" w:color="auto"/>
              <w:right w:val="nil"/>
            </w:tcBorders>
            <w:shd w:val="clear" w:color="auto" w:fill="auto"/>
            <w:noWrap/>
            <w:vAlign w:val="bottom"/>
          </w:tcPr>
          <w:p w14:paraId="028991D9" w14:textId="77777777" w:rsidR="00F87E58" w:rsidRPr="00DC7264" w:rsidRDefault="00F87E58" w:rsidP="00F87E58">
            <w:pPr>
              <w:pStyle w:val="cuatexto"/>
              <w:jc w:val="right"/>
              <w:rPr>
                <w:sz w:val="14"/>
                <w:szCs w:val="14"/>
              </w:rPr>
            </w:pPr>
            <w:r>
              <w:rPr>
                <w:sz w:val="14"/>
              </w:rPr>
              <w:t xml:space="preserve">3,00</w:t>
            </w:r>
          </w:p>
        </w:tc>
        <w:tc>
          <w:tcPr>
            <w:tcW w:w="476" w:type="dxa"/>
            <w:tcBorders>
              <w:top w:val="single" w:sz="2" w:space="0" w:color="auto"/>
              <w:left w:val="nil"/>
              <w:bottom w:val="single" w:sz="4" w:space="0" w:color="auto"/>
              <w:right w:val="nil"/>
            </w:tcBorders>
            <w:shd w:val="clear" w:color="auto" w:fill="auto"/>
            <w:noWrap/>
            <w:vAlign w:val="bottom"/>
          </w:tcPr>
          <w:p w14:paraId="72ACE096"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2,90</w:t>
            </w:r>
          </w:p>
        </w:tc>
        <w:tc>
          <w:tcPr>
            <w:tcW w:w="476" w:type="dxa"/>
            <w:tcBorders>
              <w:top w:val="single" w:sz="2" w:space="0" w:color="auto"/>
              <w:left w:val="nil"/>
              <w:bottom w:val="single" w:sz="4" w:space="0" w:color="auto"/>
              <w:right w:val="nil"/>
            </w:tcBorders>
            <w:shd w:val="clear" w:color="auto" w:fill="auto"/>
            <w:noWrap/>
            <w:vAlign w:val="bottom"/>
          </w:tcPr>
          <w:p w14:paraId="6D30C185" w14:textId="77777777" w:rsidR="00F87E58" w:rsidRPr="00E63164" w:rsidRDefault="00F87E58" w:rsidP="00F87E58">
            <w:pPr>
              <w:pStyle w:val="cuadroCabe"/>
              <w:ind w:left="-116"/>
              <w:jc w:val="right"/>
              <w:rPr>
                <w:sz w:val="14"/>
                <w:szCs w:val="14"/>
                <w:rFonts w:ascii="Arial Narrow" w:hAnsi="Arial Narrow"/>
              </w:rPr>
            </w:pPr>
            <w:r>
              <w:rPr>
                <w:sz w:val="14"/>
                <w:rFonts w:ascii="Arial Narrow" w:hAnsi="Arial Narrow"/>
              </w:rPr>
              <w:t xml:space="preserve">2,50</w:t>
            </w:r>
          </w:p>
        </w:tc>
        <w:tc>
          <w:tcPr>
            <w:tcW w:w="476" w:type="dxa"/>
            <w:tcBorders>
              <w:top w:val="single" w:sz="2" w:space="0" w:color="auto"/>
              <w:left w:val="nil"/>
              <w:bottom w:val="single" w:sz="4" w:space="0" w:color="auto"/>
              <w:right w:val="nil"/>
            </w:tcBorders>
            <w:shd w:val="clear" w:color="auto" w:fill="auto"/>
            <w:noWrap/>
            <w:vAlign w:val="bottom"/>
          </w:tcPr>
          <w:p w14:paraId="027CF2CC" w14:textId="77777777" w:rsidR="00F87E58" w:rsidRPr="00DC7264" w:rsidRDefault="00F87E58" w:rsidP="00F87E58">
            <w:pPr>
              <w:pStyle w:val="cuatexto"/>
              <w:jc w:val="right"/>
              <w:rPr>
                <w:sz w:val="14"/>
                <w:szCs w:val="14"/>
              </w:rPr>
            </w:pPr>
            <w:r>
              <w:rPr>
                <w:sz w:val="14"/>
              </w:rPr>
              <w:t xml:space="preserve">2,50</w:t>
            </w:r>
          </w:p>
        </w:tc>
        <w:tc>
          <w:tcPr>
            <w:tcW w:w="476" w:type="dxa"/>
            <w:tcBorders>
              <w:top w:val="single" w:sz="2" w:space="0" w:color="auto"/>
              <w:left w:val="nil"/>
              <w:bottom w:val="single" w:sz="4" w:space="0" w:color="auto"/>
              <w:right w:val="nil"/>
            </w:tcBorders>
            <w:shd w:val="clear" w:color="auto" w:fill="auto"/>
            <w:noWrap/>
            <w:vAlign w:val="bottom"/>
          </w:tcPr>
          <w:p w14:paraId="0E7B29BE" w14:textId="77777777" w:rsidR="00F87E58" w:rsidRPr="00DC7264" w:rsidRDefault="00F87E58" w:rsidP="00F87E58">
            <w:pPr>
              <w:pStyle w:val="cuatexto"/>
              <w:jc w:val="right"/>
              <w:rPr>
                <w:sz w:val="14"/>
                <w:szCs w:val="14"/>
              </w:rPr>
            </w:pPr>
            <w:r>
              <w:rPr>
                <w:sz w:val="14"/>
              </w:rPr>
              <w:t xml:space="preserve">2,45</w:t>
            </w:r>
          </w:p>
        </w:tc>
        <w:tc>
          <w:tcPr>
            <w:tcW w:w="476" w:type="dxa"/>
            <w:tcBorders>
              <w:top w:val="single" w:sz="2" w:space="0" w:color="auto"/>
              <w:left w:val="nil"/>
              <w:bottom w:val="single" w:sz="4" w:space="0" w:color="auto"/>
              <w:right w:val="nil"/>
            </w:tcBorders>
            <w:shd w:val="clear" w:color="auto" w:fill="auto"/>
            <w:noWrap/>
            <w:vAlign w:val="bottom"/>
          </w:tcPr>
          <w:p w14:paraId="25FD2941" w14:textId="77777777" w:rsidR="00F87E58" w:rsidRPr="006D3C1E" w:rsidRDefault="00F87E58" w:rsidP="00F87E58">
            <w:pPr>
              <w:pStyle w:val="cuadroCabe"/>
              <w:ind w:left="-116"/>
              <w:jc w:val="right"/>
              <w:rPr>
                <w:sz w:val="14"/>
                <w:szCs w:val="14"/>
                <w:rFonts w:ascii="Arial Narrow" w:hAnsi="Arial Narrow"/>
              </w:rPr>
            </w:pPr>
            <w:r>
              <w:rPr>
                <w:sz w:val="14"/>
                <w:rFonts w:ascii="Arial Narrow" w:hAnsi="Arial Narrow"/>
              </w:rPr>
              <w:t xml:space="preserve">2,70</w:t>
            </w:r>
          </w:p>
        </w:tc>
        <w:tc>
          <w:tcPr>
            <w:tcW w:w="476" w:type="dxa"/>
            <w:tcBorders>
              <w:top w:val="single" w:sz="2" w:space="0" w:color="auto"/>
              <w:left w:val="nil"/>
              <w:bottom w:val="single" w:sz="4" w:space="0" w:color="auto"/>
              <w:right w:val="nil"/>
            </w:tcBorders>
            <w:shd w:val="clear" w:color="auto" w:fill="auto"/>
            <w:noWrap/>
            <w:vAlign w:val="bottom"/>
          </w:tcPr>
          <w:p w14:paraId="7C247B2D" w14:textId="77777777" w:rsidR="00F87E58" w:rsidRPr="00DC7264" w:rsidRDefault="00F87E58" w:rsidP="00F87E58">
            <w:pPr>
              <w:pStyle w:val="cuatexto"/>
              <w:jc w:val="right"/>
              <w:rPr>
                <w:sz w:val="14"/>
                <w:szCs w:val="14"/>
              </w:rPr>
            </w:pPr>
            <w:r>
              <w:rPr>
                <w:sz w:val="14"/>
              </w:rPr>
              <w:t xml:space="preserve">3,35</w:t>
            </w:r>
          </w:p>
        </w:tc>
        <w:tc>
          <w:tcPr>
            <w:tcW w:w="476" w:type="dxa"/>
            <w:tcBorders>
              <w:top w:val="single" w:sz="2" w:space="0" w:color="auto"/>
              <w:left w:val="nil"/>
              <w:bottom w:val="single" w:sz="4" w:space="0" w:color="auto"/>
              <w:right w:val="nil"/>
            </w:tcBorders>
            <w:shd w:val="clear" w:color="auto" w:fill="auto"/>
            <w:noWrap/>
            <w:vAlign w:val="bottom"/>
          </w:tcPr>
          <w:p w14:paraId="1E966203" w14:textId="77777777" w:rsidR="00F87E58" w:rsidRPr="00DC7264" w:rsidRDefault="00F87E58" w:rsidP="00F87E58">
            <w:pPr>
              <w:pStyle w:val="cuatexto"/>
              <w:jc w:val="right"/>
              <w:rPr>
                <w:sz w:val="14"/>
                <w:szCs w:val="14"/>
              </w:rPr>
            </w:pPr>
            <w:r>
              <w:rPr>
                <w:sz w:val="14"/>
              </w:rPr>
              <w:t xml:space="preserve">2,00</w:t>
            </w:r>
          </w:p>
        </w:tc>
        <w:tc>
          <w:tcPr>
            <w:tcW w:w="476" w:type="dxa"/>
            <w:tcBorders>
              <w:top w:val="single" w:sz="2" w:space="0" w:color="auto"/>
              <w:left w:val="nil"/>
              <w:bottom w:val="single" w:sz="4" w:space="0" w:color="auto"/>
              <w:right w:val="nil"/>
            </w:tcBorders>
            <w:shd w:val="clear" w:color="auto" w:fill="auto"/>
            <w:noWrap/>
            <w:vAlign w:val="bottom"/>
          </w:tcPr>
          <w:p w14:paraId="0A3ADFE4" w14:textId="77777777" w:rsidR="00F87E58" w:rsidRPr="00DC7264" w:rsidRDefault="00F87E58" w:rsidP="00F87E58">
            <w:pPr>
              <w:pStyle w:val="cuatexto"/>
              <w:jc w:val="right"/>
              <w:rPr>
                <w:sz w:val="14"/>
                <w:szCs w:val="14"/>
              </w:rPr>
            </w:pPr>
            <w:r>
              <w:rPr>
                <w:sz w:val="14"/>
              </w:rPr>
              <w:t xml:space="preserve">2,22</w:t>
            </w:r>
          </w:p>
        </w:tc>
      </w:tr>
    </w:tbl>
    <w:p w14:paraId="4E48B205"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p>
    <w:p w14:paraId="55E23B30"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drawing>
          <wp:inline distT="0" distB="0" distL="0" distR="0" wp14:anchorId="284E69BA" wp14:editId="633ABB44">
            <wp:extent cx="5191125" cy="1943100"/>
            <wp:effectExtent l="0" t="0" r="0" b="0"/>
            <wp:docPr id="8"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058451" w14:textId="77777777" w:rsidR="00F87E58" w:rsidRDefault="00F87E58" w:rsidP="00F87E58">
      <w:pPr>
        <w:pStyle w:val="texto"/>
        <w:spacing w:before="240" w:after="240"/>
      </w:pPr>
      <w:r>
        <w:t xml:space="preserve">Beheko taulan azaltzen da zein zen partaidetza-maileguen egoera, merkataritza-ondorioetarako, Parquenasaren ondare-egoeran, 2022ko abenduaren 31n:</w:t>
      </w:r>
      <w:r>
        <w:t xml:space="preserve"> </w:t>
      </w:r>
    </w:p>
    <w:tbl>
      <w:tblPr>
        <w:tblW w:w="8789" w:type="dxa"/>
        <w:tblCellMar>
          <w:left w:w="70" w:type="dxa"/>
          <w:right w:w="70" w:type="dxa"/>
        </w:tblCellMar>
        <w:tblLook w:val="04A0" w:firstRow="1" w:lastRow="0" w:firstColumn="1" w:lastColumn="0" w:noHBand="0" w:noVBand="1"/>
      </w:tblPr>
      <w:tblGrid>
        <w:gridCol w:w="7413"/>
        <w:gridCol w:w="1376"/>
      </w:tblGrid>
      <w:tr w:rsidR="00F87E58" w:rsidRPr="00045BCE" w14:paraId="63471228" w14:textId="77777777" w:rsidTr="00F87E58">
        <w:trPr>
          <w:trHeight w:val="255"/>
        </w:trPr>
        <w:tc>
          <w:tcPr>
            <w:tcW w:w="7655" w:type="dxa"/>
            <w:tcBorders>
              <w:top w:val="single" w:sz="4" w:space="0" w:color="auto"/>
              <w:left w:val="nil"/>
              <w:bottom w:val="single" w:sz="4" w:space="0" w:color="auto"/>
              <w:right w:val="nil"/>
            </w:tcBorders>
            <w:shd w:val="clear" w:color="auto" w:fill="9CC2E5"/>
            <w:noWrap/>
            <w:vAlign w:val="bottom"/>
          </w:tcPr>
          <w:p w14:paraId="65B1F622" w14:textId="77777777" w:rsidR="00F87E58" w:rsidRPr="00045BCE" w:rsidRDefault="00F87E58" w:rsidP="00F87E58">
            <w:pPr>
              <w:pStyle w:val="cuadroCabe"/>
              <w:jc w:val="left"/>
            </w:pPr>
            <w:r>
              <w:t xml:space="preserve">Parque de la Naturaleza, S.A.</w:t>
            </w:r>
            <w:r>
              <w:t xml:space="preserve"> </w:t>
            </w:r>
          </w:p>
        </w:tc>
        <w:tc>
          <w:tcPr>
            <w:tcW w:w="1417" w:type="dxa"/>
            <w:tcBorders>
              <w:top w:val="single" w:sz="4" w:space="0" w:color="auto"/>
              <w:left w:val="nil"/>
              <w:bottom w:val="single" w:sz="4" w:space="0" w:color="auto"/>
              <w:right w:val="nil"/>
            </w:tcBorders>
            <w:shd w:val="clear" w:color="auto" w:fill="9CC2E5"/>
            <w:noWrap/>
            <w:vAlign w:val="bottom"/>
          </w:tcPr>
          <w:p w14:paraId="773C66F7" w14:textId="77777777" w:rsidR="00F87E58" w:rsidRPr="00045BCE" w:rsidRDefault="00F87E58" w:rsidP="00F87E58">
            <w:pPr>
              <w:pStyle w:val="cuadroCabe"/>
              <w:jc w:val="right"/>
            </w:pPr>
          </w:p>
        </w:tc>
      </w:tr>
      <w:tr w:rsidR="00F87E58" w:rsidRPr="00045BCE" w14:paraId="2F0211A9" w14:textId="77777777" w:rsidTr="00F87E58">
        <w:trPr>
          <w:trHeight w:val="198"/>
        </w:trPr>
        <w:tc>
          <w:tcPr>
            <w:tcW w:w="7655" w:type="dxa"/>
            <w:tcBorders>
              <w:top w:val="single" w:sz="4" w:space="0" w:color="auto"/>
              <w:left w:val="nil"/>
              <w:bottom w:val="single" w:sz="2" w:space="0" w:color="auto"/>
              <w:right w:val="nil"/>
            </w:tcBorders>
            <w:shd w:val="clear" w:color="auto" w:fill="auto"/>
            <w:noWrap/>
            <w:vAlign w:val="bottom"/>
            <w:hideMark/>
          </w:tcPr>
          <w:p w14:paraId="38906F42" w14:textId="77777777" w:rsidR="00F87E58" w:rsidRPr="00045BCE" w:rsidRDefault="00F87E58" w:rsidP="00F87E58">
            <w:pPr>
              <w:pStyle w:val="cuatexto"/>
              <w:jc w:val="left"/>
            </w:pPr>
            <w:r>
              <w:t xml:space="preserve">Kapitala</w:t>
            </w:r>
          </w:p>
        </w:tc>
        <w:tc>
          <w:tcPr>
            <w:tcW w:w="1417" w:type="dxa"/>
            <w:tcBorders>
              <w:top w:val="single" w:sz="4" w:space="0" w:color="auto"/>
              <w:left w:val="nil"/>
              <w:bottom w:val="single" w:sz="2" w:space="0" w:color="auto"/>
              <w:right w:val="nil"/>
            </w:tcBorders>
            <w:shd w:val="clear" w:color="auto" w:fill="auto"/>
            <w:noWrap/>
            <w:vAlign w:val="bottom"/>
            <w:hideMark/>
          </w:tcPr>
          <w:p w14:paraId="180911F1" w14:textId="77777777" w:rsidR="00F87E58" w:rsidRPr="00045BCE" w:rsidRDefault="00F87E58" w:rsidP="00F87E58">
            <w:pPr>
              <w:pStyle w:val="cuatexto"/>
              <w:jc w:val="right"/>
            </w:pPr>
            <w:r>
              <w:t xml:space="preserve">1.800.000</w:t>
            </w:r>
          </w:p>
        </w:tc>
      </w:tr>
      <w:tr w:rsidR="00F87E58" w:rsidRPr="00045BCE" w14:paraId="638BBEEF"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7D6C4254" w14:textId="77777777" w:rsidR="00F87E58" w:rsidRPr="00045BCE" w:rsidRDefault="00F87E58" w:rsidP="00F87E58">
            <w:pPr>
              <w:pStyle w:val="cuatexto"/>
              <w:jc w:val="left"/>
            </w:pPr>
            <w:r>
              <w:t xml:space="preserve">Erreserbak (galera metatuak)</w:t>
            </w:r>
          </w:p>
        </w:tc>
        <w:tc>
          <w:tcPr>
            <w:tcW w:w="1417" w:type="dxa"/>
            <w:tcBorders>
              <w:top w:val="single" w:sz="2" w:space="0" w:color="auto"/>
              <w:left w:val="nil"/>
              <w:bottom w:val="single" w:sz="2" w:space="0" w:color="auto"/>
              <w:right w:val="nil"/>
            </w:tcBorders>
            <w:shd w:val="clear" w:color="auto" w:fill="auto"/>
            <w:noWrap/>
            <w:vAlign w:val="bottom"/>
            <w:hideMark/>
          </w:tcPr>
          <w:p w14:paraId="3D398AB9" w14:textId="77777777" w:rsidR="00F87E58" w:rsidRPr="00045BCE" w:rsidRDefault="00F87E58" w:rsidP="00F87E58">
            <w:pPr>
              <w:pStyle w:val="cuatexto"/>
              <w:jc w:val="right"/>
            </w:pPr>
            <w:r>
              <w:t xml:space="preserve">-55.120.162</w:t>
            </w:r>
          </w:p>
        </w:tc>
      </w:tr>
      <w:tr w:rsidR="00F87E58" w:rsidRPr="00045BCE" w14:paraId="69967F9A"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0328CDF7" w14:textId="77777777" w:rsidR="00F87E58" w:rsidRPr="00045BCE" w:rsidRDefault="00F87E58" w:rsidP="00F87E58">
            <w:pPr>
              <w:pStyle w:val="cuatexto"/>
              <w:jc w:val="left"/>
            </w:pPr>
            <w:r>
              <w:t xml:space="preserve">Ekitaldiko emaitzak</w:t>
            </w:r>
          </w:p>
        </w:tc>
        <w:tc>
          <w:tcPr>
            <w:tcW w:w="1417" w:type="dxa"/>
            <w:tcBorders>
              <w:top w:val="single" w:sz="2" w:space="0" w:color="auto"/>
              <w:left w:val="nil"/>
              <w:bottom w:val="single" w:sz="2" w:space="0" w:color="auto"/>
              <w:right w:val="nil"/>
            </w:tcBorders>
            <w:shd w:val="clear" w:color="auto" w:fill="auto"/>
            <w:noWrap/>
            <w:vAlign w:val="bottom"/>
            <w:hideMark/>
          </w:tcPr>
          <w:p w14:paraId="4F7228DD" w14:textId="77777777" w:rsidR="00F87E58" w:rsidRPr="00045BCE" w:rsidRDefault="00F87E58" w:rsidP="00F87E58">
            <w:pPr>
              <w:pStyle w:val="cuatexto"/>
              <w:jc w:val="right"/>
            </w:pPr>
            <w:r>
              <w:t xml:space="preserve">-2.210.198</w:t>
            </w:r>
          </w:p>
        </w:tc>
      </w:tr>
      <w:tr w:rsidR="00F87E58" w:rsidRPr="00045BCE" w14:paraId="3BF1873D"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4DAA1534" w14:textId="77777777" w:rsidR="00F87E58" w:rsidRPr="00045BCE" w:rsidRDefault="00F87E58" w:rsidP="00F87E58">
            <w:pPr>
              <w:pStyle w:val="cuatexto"/>
              <w:jc w:val="left"/>
            </w:pPr>
            <w:r>
              <w:t xml:space="preserve">Ondare garbia</w:t>
            </w:r>
          </w:p>
        </w:tc>
        <w:tc>
          <w:tcPr>
            <w:tcW w:w="1417" w:type="dxa"/>
            <w:tcBorders>
              <w:top w:val="single" w:sz="2" w:space="0" w:color="auto"/>
              <w:left w:val="nil"/>
              <w:bottom w:val="single" w:sz="2" w:space="0" w:color="auto"/>
              <w:right w:val="nil"/>
            </w:tcBorders>
            <w:shd w:val="clear" w:color="auto" w:fill="auto"/>
            <w:noWrap/>
            <w:vAlign w:val="bottom"/>
            <w:hideMark/>
          </w:tcPr>
          <w:p w14:paraId="10FC5910" w14:textId="77777777" w:rsidR="00F87E58" w:rsidRPr="00045BCE" w:rsidRDefault="00F87E58" w:rsidP="00F87E58">
            <w:pPr>
              <w:pStyle w:val="cuatexto"/>
              <w:jc w:val="right"/>
            </w:pPr>
            <w:r>
              <w:t xml:space="preserve">-55.530.360</w:t>
            </w:r>
          </w:p>
        </w:tc>
      </w:tr>
      <w:tr w:rsidR="00F87E58" w:rsidRPr="00045BCE" w14:paraId="49508691" w14:textId="77777777" w:rsidTr="00E1441F">
        <w:trPr>
          <w:trHeight w:val="198"/>
        </w:trPr>
        <w:tc>
          <w:tcPr>
            <w:tcW w:w="7655" w:type="dxa"/>
            <w:tcBorders>
              <w:top w:val="single" w:sz="2" w:space="0" w:color="auto"/>
              <w:left w:val="nil"/>
              <w:bottom w:val="single" w:sz="4" w:space="0" w:color="auto"/>
              <w:right w:val="nil"/>
            </w:tcBorders>
            <w:shd w:val="clear" w:color="auto" w:fill="auto"/>
            <w:noWrap/>
            <w:vAlign w:val="bottom"/>
          </w:tcPr>
          <w:p w14:paraId="3BDE137D" w14:textId="77777777" w:rsidR="00F87E58" w:rsidRDefault="00F87E58" w:rsidP="00F87E58">
            <w:pPr>
              <w:pStyle w:val="cuatexto"/>
              <w:jc w:val="left"/>
            </w:pPr>
            <w:r>
              <w:t xml:space="preserve">Partaidetza-maileguak</w:t>
            </w:r>
          </w:p>
        </w:tc>
        <w:tc>
          <w:tcPr>
            <w:tcW w:w="1417" w:type="dxa"/>
            <w:tcBorders>
              <w:top w:val="single" w:sz="2" w:space="0" w:color="auto"/>
              <w:left w:val="nil"/>
              <w:bottom w:val="single" w:sz="4" w:space="0" w:color="auto"/>
              <w:right w:val="nil"/>
            </w:tcBorders>
            <w:shd w:val="clear" w:color="auto" w:fill="auto"/>
            <w:noWrap/>
            <w:vAlign w:val="bottom"/>
          </w:tcPr>
          <w:p w14:paraId="519E8491" w14:textId="77777777" w:rsidR="00F87E58" w:rsidRPr="00045BCE" w:rsidRDefault="00F87E58" w:rsidP="00F87E58">
            <w:pPr>
              <w:pStyle w:val="cuatexto"/>
              <w:jc w:val="right"/>
            </w:pPr>
            <w:r>
              <w:t xml:space="preserve">56.795.000</w:t>
            </w:r>
          </w:p>
        </w:tc>
      </w:tr>
      <w:tr w:rsidR="00F87E58" w:rsidRPr="00045BCE" w14:paraId="0E72E0E9" w14:textId="77777777" w:rsidTr="00E1441F">
        <w:trPr>
          <w:trHeight w:val="198"/>
        </w:trPr>
        <w:tc>
          <w:tcPr>
            <w:tcW w:w="7655" w:type="dxa"/>
            <w:tcBorders>
              <w:top w:val="single" w:sz="4" w:space="0" w:color="auto"/>
              <w:left w:val="nil"/>
              <w:bottom w:val="single" w:sz="4" w:space="0" w:color="auto"/>
              <w:right w:val="nil"/>
            </w:tcBorders>
            <w:shd w:val="clear" w:color="auto" w:fill="auto"/>
            <w:noWrap/>
            <w:vAlign w:val="bottom"/>
          </w:tcPr>
          <w:p w14:paraId="314744FD" w14:textId="77777777" w:rsidR="00F87E58" w:rsidRDefault="00F87E58" w:rsidP="00F87E58">
            <w:pPr>
              <w:pStyle w:val="cuatexto"/>
              <w:jc w:val="left"/>
            </w:pPr>
            <w:r>
              <w:t xml:space="preserve">Ondare garbi konputagarria, partaidetza-maileguak egonda</w:t>
            </w:r>
          </w:p>
        </w:tc>
        <w:tc>
          <w:tcPr>
            <w:tcW w:w="1417" w:type="dxa"/>
            <w:tcBorders>
              <w:top w:val="single" w:sz="4" w:space="0" w:color="auto"/>
              <w:left w:val="nil"/>
              <w:bottom w:val="single" w:sz="4" w:space="0" w:color="auto"/>
              <w:right w:val="nil"/>
            </w:tcBorders>
            <w:shd w:val="clear" w:color="auto" w:fill="auto"/>
            <w:noWrap/>
            <w:vAlign w:val="bottom"/>
          </w:tcPr>
          <w:p w14:paraId="162E6F5C" w14:textId="77777777" w:rsidR="00F87E58" w:rsidRDefault="00F87E58" w:rsidP="00F87E58">
            <w:pPr>
              <w:pStyle w:val="cuatexto"/>
              <w:jc w:val="right"/>
            </w:pPr>
            <w:r>
              <w:t xml:space="preserve">1.264.640</w:t>
            </w:r>
          </w:p>
        </w:tc>
      </w:tr>
    </w:tbl>
    <w:p w14:paraId="682AFEDE" w14:textId="77777777" w:rsidR="00667669" w:rsidRDefault="00F87E58" w:rsidP="00F87E58">
      <w:pPr>
        <w:pStyle w:val="texto"/>
        <w:tabs>
          <w:tab w:val="clear" w:pos="2835"/>
          <w:tab w:val="clear" w:pos="3969"/>
          <w:tab w:val="clear" w:pos="5103"/>
          <w:tab w:val="clear" w:pos="6237"/>
          <w:tab w:val="clear" w:pos="7371"/>
          <w:tab w:val="left" w:pos="480"/>
          <w:tab w:val="num" w:pos="2062"/>
          <w:tab w:val="num" w:pos="4472"/>
        </w:tabs>
        <w:spacing w:before="240"/>
        <w:rPr>
          <w:szCs w:val="26"/>
        </w:rPr>
      </w:pPr>
      <w:r>
        <w:t xml:space="preserve">Horren arabera, ondare garbi konputagarria, kontabilitate-ondorioetarako, ez da 55,53 milioiz negatiboa, 1,26 milioiz positiboa baino. Era horretara saihesten dira sozietatearen nahitaezko desegitea eta geroko likidazioa.</w:t>
      </w:r>
      <w:r>
        <w:t xml:space="preserve"> </w:t>
      </w:r>
    </w:p>
    <w:p w14:paraId="54807BA4" w14:textId="77777777" w:rsidR="00F87E58" w:rsidRPr="00AA16A6" w:rsidRDefault="00F87E58" w:rsidP="00F87E58">
      <w:pPr>
        <w:pStyle w:val="texto"/>
        <w:tabs>
          <w:tab w:val="clear" w:pos="2835"/>
          <w:tab w:val="clear" w:pos="3969"/>
          <w:tab w:val="clear" w:pos="5103"/>
          <w:tab w:val="clear" w:pos="6237"/>
          <w:tab w:val="clear" w:pos="7371"/>
          <w:tab w:val="left" w:pos="480"/>
          <w:tab w:val="num" w:pos="2062"/>
          <w:tab w:val="num" w:pos="4472"/>
        </w:tabs>
        <w:spacing w:before="240"/>
        <w:rPr>
          <w:szCs w:val="26"/>
        </w:rPr>
      </w:pPr>
      <w:r>
        <w:t xml:space="preserve">Kontuan izan behar da, ordea, partaidetza-maileguei buruzko merkataritza araudian haiek ondare garbitzat konputatzean enpresei aukera eman nahi zaiela desegitea atzeratzeko eta suspertu ahal izateko, baina ez egoera hori mugarik gabe luzatzeko.</w:t>
      </w:r>
      <w:r>
        <w:t xml:space="preserve"> </w:t>
      </w:r>
      <w:r>
        <w:t xml:space="preserve">Parquenasak 18 urte daramatza egoera horretan.</w:t>
      </w:r>
    </w:p>
    <w:p w14:paraId="6014191E"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t xml:space="preserve">Urtero ustiapen emaitza negatiboak izan ahala handitu egiten zaizkio galera metatuak. Horregatik, arestian azaldutako egoera gertatu arren, partaidetza-maileguetan, edozein mailegutan bezala, hartzaileak mailegua itzuli egin behar dio emaileari; hori nekez gerta daiteke Parquenasaren kasuan.</w:t>
      </w:r>
      <w:r>
        <w:t xml:space="preserve"> </w:t>
      </w:r>
    </w:p>
    <w:p w14:paraId="7E148C3B"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t xml:space="preserve">Parquenasak bere gain hartutako zorra ezabatzeko edo gutxitzeko modu bakarra da maileguen amortizazioa kapitalizazioaren bitartez aurreratzea, alegia, zorra kapital sozial bihurtzea. Era horretara mailegu-emailea kreditu posiziotik sozietate bateko kapitaleko partaide posiziora pasatzen da, aurretik sozietatearen kapitala handituta; eragiketa horretan Sodenak mugak izan ditu, gehigarri honetan beheragoko 2.6.2 atalean zehazten dugun moduan.</w:t>
      </w:r>
      <w:r>
        <w:t xml:space="preserve"> </w:t>
      </w:r>
    </w:p>
    <w:p w14:paraId="7554A8B2"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after="240"/>
        <w:ind w:left="0" w:firstLine="284"/>
        <w:rPr>
          <w:szCs w:val="26"/>
        </w:rPr>
      </w:pPr>
      <w:r>
        <w:t xml:space="preserve">Gainerako 22,51 milioiak ez dira ageri balorazioa zuzendu behar zaien kreditutzat Sodenaren urteko kontuetan; hots, balio galerarik gabeko kreditutzat jotzen dira, eta horrek esan nahi du berreskuragarritzat jotzen direla.</w:t>
      </w:r>
    </w:p>
    <w:p w14:paraId="4BD898D8" w14:textId="77777777" w:rsidR="00E5006D" w:rsidRPr="00AA16A6" w:rsidRDefault="00F87E58" w:rsidP="00F87E58">
      <w:pPr>
        <w:pStyle w:val="texto"/>
      </w:pPr>
      <w:r>
        <w:t xml:space="preserve">Hori dela-eta, gure iritziz garrantzia duten eta aztertutako espedienteetatik ondorioztatzen diren bi kontu nabarmentzen ditugu:</w:t>
      </w:r>
      <w:r>
        <w:t xml:space="preserve"> </w:t>
      </w:r>
    </w:p>
    <w:p w14:paraId="4F6C6AC3" w14:textId="77777777" w:rsidR="00E5006D" w:rsidRPr="00AA16A6" w:rsidRDefault="00E5006D" w:rsidP="00E5006D">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t xml:space="preserve">Urtero Nafarroako Gobernuari baimena eskatzen dionean maileguak emateko, Sodenak osorik huts egindako mailegutzat jotzen ditu; hori ez da kontuan hartu partaidetzazkotzat jo ez diren kredituen balioa zenbatestean, kontabilitateko ekitaldiaren itxieran.</w:t>
      </w:r>
      <w:r>
        <w:t xml:space="preserve">  </w:t>
      </w:r>
    </w:p>
    <w:p w14:paraId="0D48A1F2" w14:textId="77777777" w:rsidR="00F87E58" w:rsidRPr="00AA16A6" w:rsidRDefault="00E5006D" w:rsidP="00E1441F">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ind w:left="0" w:firstLine="289"/>
        <w:rPr>
          <w:i/>
          <w:sz w:val="20"/>
          <w:szCs w:val="20"/>
        </w:rPr>
      </w:pPr>
      <w:r>
        <w:t xml:space="preserve">Kontu-hartzailetza Nagusiaren nahitaezko txosten batzuetan (2016/2019 Foru Dekretuaren arabera), emandako finantzaketa berreskuratu ezin delako zantzu argiak jaso dira. Zehazki, Kontu-hartzailetza Nagusiaren 2020ko maiatzaren 12ko txostenean</w:t>
      </w:r>
      <w:r w:rsidR="00F87E58" w:rsidRPr="00AA16A6">
        <w:rPr>
          <w:rStyle w:val="Refdenotaalpie"/>
          <w:rFonts w:eastAsia="Calibri"/>
          <w:szCs w:val="26"/>
        </w:rPr>
        <w:footnoteReference w:id="17"/>
      </w:r>
      <w:r>
        <w:t xml:space="preserve"> hau adierazten da:</w:t>
      </w:r>
      <w:r>
        <w:t xml:space="preserve">  </w:t>
      </w:r>
      <w:r>
        <w:rPr>
          <w:sz w:val="20"/>
        </w:rPr>
        <w:t xml:space="preserve">“….</w:t>
      </w:r>
      <w:r>
        <w:rPr>
          <w:sz w:val="20"/>
          <w:i/>
        </w:rPr>
        <w:t xml:space="preserve"> </w:t>
      </w:r>
      <w:r>
        <w:rPr>
          <w:sz w:val="20"/>
          <w:i/>
        </w:rPr>
        <w:t xml:space="preserve">Horregatik, ez baitago bideragarritasun planik entitatea printzipala eta interesak itzultzeko gai izanen dela nahiko ziur espero izateko aukera ematen duenik, eta entitateari sortu zenetik eman zaizkion maileguak itzuli ez direnez, ….”. </w:t>
      </w:r>
      <w:r>
        <w:t xml:space="preserve">Halaber, Kontu-hartzailetza Nagusiaren 2022ko martxoaren 8ko txostenean</w:t>
      </w:r>
      <w:r w:rsidR="00F87E58" w:rsidRPr="00AA16A6">
        <w:rPr>
          <w:rStyle w:val="Refdenotaalpie"/>
          <w:rFonts w:eastAsia="Calibri"/>
          <w:szCs w:val="26"/>
        </w:rPr>
        <w:footnoteReference w:id="18"/>
      </w:r>
      <w:r>
        <w:t xml:space="preserve"> honako hau adierazten da:</w:t>
      </w:r>
      <w:r>
        <w:t xml:space="preserve"> </w:t>
      </w:r>
      <w:r>
        <w:t xml:space="preserve">“….</w:t>
      </w:r>
      <w:r>
        <w:rPr>
          <w:i/>
          <w:sz w:val="20"/>
        </w:rPr>
        <w:t xml:space="preserve">, edo oso nekez gerta daitekeen susperraldi baten aukera iradokiko balitz”.</w:t>
      </w:r>
    </w:p>
    <w:p w14:paraId="367971FE" w14:textId="77777777" w:rsidR="00CB23D6" w:rsidRPr="00AA16A6"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Uste dugu narriatu gabeko 22,51 milioiko kreditu horiei balorazioaren zuzenketa egin behar zitzaiela kontabilitatean, berreskuratu ahalko ote diren zalantzan jartzeko zantzu objektiboak daudelako.</w:t>
      </w:r>
    </w:p>
    <w:p w14:paraId="6C16F623" w14:textId="77777777" w:rsidR="00F87E58" w:rsidRDefault="00F87E58" w:rsidP="00F87E58">
      <w:pPr>
        <w:pStyle w:val="atitulo2"/>
        <w:spacing w:before="240"/>
      </w:pPr>
      <w:bookmarkStart w:id="36" w:name="_Toc146017576"/>
      <w:bookmarkStart w:id="37" w:name="_Toc149803654"/>
      <w:r>
        <w:t xml:space="preserve">2.5. Bazkideen egoera Sodenaren ekarpen finantzarioen aurrean</w:t>
      </w:r>
      <w:bookmarkEnd w:id="36"/>
      <w:bookmarkEnd w:id="37"/>
    </w:p>
    <w:p w14:paraId="47ED86E3"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Gai honen inguruan, honako hauek hartu behar dira aintzat:</w:t>
      </w:r>
    </w:p>
    <w:p w14:paraId="7E5C9B23"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num" w:pos="600"/>
          <w:tab w:val="num" w:pos="720"/>
        </w:tabs>
        <w:spacing w:after="100"/>
        <w:ind w:left="0" w:firstLine="284"/>
        <w:rPr>
          <w:szCs w:val="26"/>
        </w:rPr>
      </w:pPr>
      <w:r>
        <w:t xml:space="preserve">Lehendabizi, azpimarratu behar dugu Sodenak Parquenasari egin dizkion ekarpen finantzarioak mailegu finantzarioak izan direla, eta 2005az geroztik Sodena dela sozietateko bazkide mailegu-emaile bakarra.</w:t>
      </w:r>
    </w:p>
    <w:p w14:paraId="41B88467" w14:textId="77777777" w:rsidR="00F87E58" w:rsidRPr="004E14C8"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num" w:pos="600"/>
          <w:tab w:val="num" w:pos="720"/>
        </w:tabs>
        <w:spacing w:after="100"/>
        <w:ind w:left="0" w:firstLine="284"/>
        <w:rPr>
          <w:szCs w:val="26"/>
        </w:rPr>
      </w:pPr>
      <w:r>
        <w:t xml:space="preserve">Bigarrenik, Sodenak eta Parquenasak 2005eko urtarrilaren 31n eta abenduaren 30ean sinatutako finantzaketa kontratuetan dago egoera horren abiapuntua. Kontratu horiek indarrean daude, sinatzaileak behartzen dituzte, eta baliozkoak dira merkataritza legeriaren arabera.</w:t>
      </w:r>
    </w:p>
    <w:p w14:paraId="5EBC3277" w14:textId="77777777" w:rsidR="00F87E58" w:rsidRPr="002F0602"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Ondorioz, gure iritziz, ez dago inolako lege arrazoirik gainerako bazkideei –bai hasierako bazkideei bai gero horien partaidetzak erosi zituztenei– maileguz emandako diru kopuruak erreklamatzeko oinarria eman dezakeenik, sozietate anonimo batean bazkideek ez dutelako pertsonalki erantzuten sozietatearen zorrez. Horrela adierazten du 1. artikuluan uztailaren 2ko 1/2010 Legegintzako Errege Dekretuak, Kapital Sozietateei buruzko Legearen testu bategina onesten duenak.</w:t>
      </w:r>
    </w:p>
    <w:p w14:paraId="74E8F145" w14:textId="77777777" w:rsidR="00F87E58" w:rsidRPr="006B7173" w:rsidRDefault="00F87E58" w:rsidP="00F87E58">
      <w:pPr>
        <w:pStyle w:val="atitulo2"/>
        <w:spacing w:before="240"/>
      </w:pPr>
      <w:bookmarkStart w:id="38" w:name="_Toc146017577"/>
      <w:bookmarkStart w:id="39" w:name="_Toc149803655"/>
      <w:r>
        <w:t xml:space="preserve">2.6. Kredituen kapitalizazioa, eta Parquenasa sozietate publiko bilakatzeak ekarriko lituzkeen ondorioak.</w:t>
      </w:r>
      <w:bookmarkEnd w:id="38"/>
      <w:bookmarkEnd w:id="39"/>
    </w:p>
    <w:p w14:paraId="277CCF71" w14:textId="77777777" w:rsidR="00F87E58" w:rsidRPr="00532AC5" w:rsidRDefault="00F87E58" w:rsidP="00F87E58">
      <w:pPr>
        <w:autoSpaceDE w:val="0"/>
        <w:autoSpaceDN w:val="0"/>
        <w:adjustRightInd w:val="0"/>
        <w:spacing w:after="160"/>
        <w:ind w:firstLine="280"/>
        <w:rPr>
          <w:i/>
          <w:color w:val="000000"/>
          <w:sz w:val="26"/>
          <w:szCs w:val="26"/>
          <w:rFonts w:ascii="Arial" w:hAnsi="Arial" w:cs="Arial"/>
        </w:rPr>
      </w:pPr>
      <w:bookmarkStart w:id="40" w:name="_Toc19535166"/>
      <w:r>
        <w:rPr>
          <w:i/>
          <w:color w:val="000000"/>
          <w:sz w:val="26"/>
          <w:rFonts w:ascii="Arial" w:hAnsi="Arial"/>
        </w:rPr>
        <w:t xml:space="preserve">2.6.1. Kredituen kapitalizazioa Sodenaren eta Parquenasaren arteko 2005eko abenduaren 30eko finantzaketa kontratuaren aurrean</w:t>
      </w:r>
    </w:p>
    <w:p w14:paraId="7A2EE0C3"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Gaur egun indarrean dirauen kontratu horretan, kontuan hartu behar da bosgarren klausularen edukia. Hona ekarri dugu hitzez hitz:</w:t>
      </w:r>
    </w:p>
    <w:p w14:paraId="73719A50" w14:textId="77777777" w:rsidR="00F87E58" w:rsidRPr="00C17061"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i/>
          <w:sz w:val="20"/>
          <w:szCs w:val="20"/>
        </w:rPr>
      </w:pPr>
      <w:r>
        <w:rPr>
          <w:i/>
          <w:sz w:val="20"/>
        </w:rPr>
        <w:t xml:space="preserve">“Kontratu honen indarraldiko edozein unetan SODENAk, egokitzat jotzen badu, osorik edo partez:</w:t>
      </w:r>
      <w:r>
        <w:rPr>
          <w:i/>
          <w:sz w:val="20"/>
        </w:rPr>
        <w:t xml:space="preserve"> </w:t>
      </w:r>
    </w:p>
    <w:p w14:paraId="6839EA78" w14:textId="77777777" w:rsidR="00F87E58" w:rsidRPr="00C17061" w:rsidRDefault="00F87E58" w:rsidP="00F87E58">
      <w:pPr>
        <w:pStyle w:val="Prrafodelista"/>
        <w:numPr>
          <w:ilvl w:val="0"/>
          <w:numId w:val="25"/>
        </w:numPr>
        <w:tabs>
          <w:tab w:val="left" w:pos="567"/>
        </w:tabs>
        <w:autoSpaceDE w:val="0"/>
        <w:autoSpaceDN w:val="0"/>
        <w:adjustRightInd w:val="0"/>
        <w:spacing w:after="120"/>
        <w:ind w:left="0" w:firstLine="284"/>
        <w:jc w:val="both"/>
        <w:rPr>
          <w:i/>
          <w:color w:val="000000"/>
          <w:sz w:val="20"/>
          <w:szCs w:val="20"/>
        </w:rPr>
      </w:pPr>
      <w:r>
        <w:rPr>
          <w:i/>
          <w:color w:val="000000"/>
          <w:sz w:val="20"/>
        </w:rPr>
        <w:t xml:space="preserve">Partaidetza-mailegu bilakatu ahalko ditu sozietatearekiko kredituak.</w:t>
      </w:r>
    </w:p>
    <w:p w14:paraId="10E4DDBB" w14:textId="77777777" w:rsidR="00F87E58" w:rsidRPr="00C17061" w:rsidRDefault="00F87E58" w:rsidP="00F87E58">
      <w:pPr>
        <w:pStyle w:val="Prrafodelista"/>
        <w:numPr>
          <w:ilvl w:val="0"/>
          <w:numId w:val="25"/>
        </w:numPr>
        <w:tabs>
          <w:tab w:val="left" w:pos="567"/>
        </w:tabs>
        <w:autoSpaceDE w:val="0"/>
        <w:autoSpaceDN w:val="0"/>
        <w:adjustRightInd w:val="0"/>
        <w:spacing w:after="120"/>
        <w:ind w:left="0" w:firstLine="284"/>
        <w:jc w:val="both"/>
        <w:rPr>
          <w:i/>
          <w:color w:val="000000"/>
          <w:sz w:val="20"/>
          <w:szCs w:val="20"/>
        </w:rPr>
      </w:pPr>
      <w:r>
        <w:rPr>
          <w:i/>
          <w:color w:val="000000"/>
          <w:sz w:val="20"/>
        </w:rPr>
        <w:t xml:space="preserve">Kredituak kapitalizatu ahalko ditu, honako baldintza hauek betez gero:</w:t>
      </w:r>
    </w:p>
    <w:p w14:paraId="371B0422"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sz w:val="20"/>
          <w:szCs w:val="20"/>
        </w:rPr>
      </w:pPr>
      <w:r>
        <w:rPr>
          <w:sz w:val="20"/>
          <w:i/>
        </w:rPr>
        <w:t xml:space="preserve">2005eko urtarrileko finantzaketa kontratuan aurreikusten den kapital-murrizketa egin izana</w:t>
      </w:r>
      <w:r w:rsidRPr="00C17061">
        <w:rPr>
          <w:rStyle w:val="Refdenotaalpie"/>
          <w:rFonts w:eastAsia="Calibri"/>
          <w:sz w:val="20"/>
          <w:szCs w:val="20"/>
        </w:rPr>
        <w:footnoteReference w:id="19"/>
      </w:r>
      <w:r>
        <w:rPr>
          <w:sz w:val="20"/>
          <w:i/>
        </w:rPr>
        <w:t xml:space="preserve">.</w:t>
      </w:r>
    </w:p>
    <w:p w14:paraId="227A64D8"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sz w:val="20"/>
          <w:szCs w:val="20"/>
        </w:rPr>
      </w:pPr>
      <w:r>
        <w:rPr>
          <w:i/>
          <w:sz w:val="20"/>
          <w:color w:val="000000"/>
        </w:rPr>
        <w:t xml:space="preserve">Sodenak kapitalizazio horren ondoren sozietatean gehiengorik ez eskuratzea</w:t>
      </w:r>
      <w:r>
        <w:rPr>
          <w:i/>
          <w:sz w:val="20"/>
        </w:rPr>
        <w:t xml:space="preserve">.</w:t>
      </w:r>
    </w:p>
    <w:p w14:paraId="4C7B79CD"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color w:val="000000"/>
          <w:sz w:val="20"/>
          <w:szCs w:val="20"/>
        </w:rPr>
      </w:pPr>
      <w:r>
        <w:rPr>
          <w:i/>
          <w:sz w:val="20"/>
        </w:rPr>
        <w:t xml:space="preserve">Sozietatearen Batzar Orokorrak kapitalizazioa onestea, legean eta estatutuetan ezarritako izapideak beteta</w:t>
      </w:r>
      <w:r>
        <w:rPr>
          <w:i/>
          <w:sz w:val="20"/>
          <w:color w:val="000000"/>
        </w:rPr>
        <w:t xml:space="preserve">”.</w:t>
      </w:r>
    </w:p>
    <w:p w14:paraId="37FC8451" w14:textId="77777777" w:rsidR="00F87E58" w:rsidRPr="00AA16A6"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Hori dela-eta, azpimarratu behar dugu ezen, klausula hori indarrean dagoenez, Sodenaren urteko kontuetan ageri diren 56,80 milioiko partaidetza-maileguak ezin izan direla kapitalizatu, ez osorik, ezta kapital sozialean gehiengo osoa lortzeko adina ere (% 50etik gora), Sodenak muga hauek izan dituelako:</w:t>
      </w:r>
      <w:r>
        <w:t xml:space="preserve"> </w:t>
      </w:r>
    </w:p>
    <w:p w14:paraId="6D6CDEE8" w14:textId="77777777" w:rsidR="00F87E58" w:rsidRPr="0057079F" w:rsidRDefault="00D843C7" w:rsidP="00F87E58">
      <w:pPr>
        <w:pStyle w:val="texto"/>
        <w:numPr>
          <w:ilvl w:val="0"/>
          <w:numId w:val="30"/>
        </w:numPr>
        <w:tabs>
          <w:tab w:val="clear" w:pos="2835"/>
          <w:tab w:val="clear" w:pos="3969"/>
          <w:tab w:val="clear" w:pos="5103"/>
          <w:tab w:val="clear" w:pos="6237"/>
          <w:tab w:val="clear" w:pos="7371"/>
          <w:tab w:val="left" w:pos="284"/>
          <w:tab w:val="left" w:pos="567"/>
          <w:tab w:val="num" w:pos="720"/>
          <w:tab w:val="num" w:pos="786"/>
          <w:tab w:val="num" w:pos="1320"/>
          <w:tab w:val="num" w:pos="2062"/>
          <w:tab w:val="num" w:pos="4472"/>
        </w:tabs>
        <w:spacing w:after="240"/>
        <w:ind w:left="0" w:firstLine="284"/>
        <w:rPr>
          <w:szCs w:val="26"/>
        </w:rPr>
      </w:pPr>
      <w:r>
        <w:t xml:space="preserve">Ezin zuen sozietatearen kapitalaren % 50 gainditu. Beraz, partaidetza-maileguak kapitalizatu ahal zituen kapital sozialaren erdia eskuratzeraino. Zehazki 90.000 euro kapitalizatu ahal zituen, lehendik % 45eko partaidetza baitzuen.</w:t>
      </w:r>
      <w:r>
        <w:t xml:space="preserve"> </w:t>
      </w:r>
      <w:r>
        <w:t xml:space="preserve">Gainerakoa, 78,20 milioiraino, berreskuraezina litzateke, Parquenasak itzulketari dagokionez duen egoera finantzarioaren ondorioz.</w:t>
      </w:r>
      <w:r>
        <w:t xml:space="preserve"> </w:t>
      </w:r>
    </w:p>
    <w:tbl>
      <w:tblPr>
        <w:tblW w:w="8789" w:type="dxa"/>
        <w:tblCellMar>
          <w:left w:w="70" w:type="dxa"/>
          <w:right w:w="70" w:type="dxa"/>
        </w:tblCellMar>
        <w:tblLook w:val="04A0" w:firstRow="1" w:lastRow="0" w:firstColumn="1" w:lastColumn="0" w:noHBand="0" w:noVBand="1"/>
      </w:tblPr>
      <w:tblGrid>
        <w:gridCol w:w="1418"/>
        <w:gridCol w:w="1417"/>
        <w:gridCol w:w="3544"/>
        <w:gridCol w:w="2410"/>
      </w:tblGrid>
      <w:tr w:rsidR="00F87E58" w:rsidRPr="00302F48" w14:paraId="260B8929" w14:textId="77777777" w:rsidTr="00C17061">
        <w:trPr>
          <w:trHeight w:val="255"/>
        </w:trPr>
        <w:tc>
          <w:tcPr>
            <w:tcW w:w="1418" w:type="dxa"/>
            <w:tcBorders>
              <w:top w:val="single" w:sz="4" w:space="0" w:color="auto"/>
              <w:left w:val="nil"/>
              <w:bottom w:val="single" w:sz="4" w:space="0" w:color="auto"/>
              <w:right w:val="nil"/>
            </w:tcBorders>
            <w:shd w:val="clear" w:color="auto" w:fill="9CC2E5"/>
            <w:noWrap/>
            <w:vAlign w:val="bottom"/>
          </w:tcPr>
          <w:p w14:paraId="04B04F10" w14:textId="77777777" w:rsidR="00F87E58" w:rsidRPr="00302F48" w:rsidRDefault="00F87E58" w:rsidP="00F87E58">
            <w:pPr>
              <w:pStyle w:val="cuadroCabe"/>
              <w:jc w:val="left"/>
              <w:rPr>
                <w:rFonts w:cs="Arial"/>
              </w:rPr>
            </w:pPr>
            <w:r>
              <w:t xml:space="preserve">Kapital soziala</w:t>
            </w:r>
          </w:p>
        </w:tc>
        <w:tc>
          <w:tcPr>
            <w:tcW w:w="1417" w:type="dxa"/>
            <w:tcBorders>
              <w:top w:val="single" w:sz="4" w:space="0" w:color="auto"/>
              <w:left w:val="nil"/>
              <w:bottom w:val="single" w:sz="4" w:space="0" w:color="auto"/>
              <w:right w:val="nil"/>
            </w:tcBorders>
            <w:shd w:val="clear" w:color="auto" w:fill="9CC2E5"/>
            <w:noWrap/>
            <w:vAlign w:val="bottom"/>
          </w:tcPr>
          <w:p w14:paraId="7AD5D820" w14:textId="77777777" w:rsidR="00F87E58" w:rsidRPr="00302F48" w:rsidRDefault="00F87E58" w:rsidP="00F87E58">
            <w:pPr>
              <w:pStyle w:val="cuadroCabe"/>
              <w:jc w:val="right"/>
              <w:rPr>
                <w:color w:val="000000"/>
                <w:rFonts w:cs="Arial"/>
              </w:rPr>
            </w:pPr>
            <w:r>
              <w:rPr>
                <w:color w:val="000000"/>
              </w:rPr>
              <w:t xml:space="preserve">Sodena: % 45</w:t>
            </w:r>
          </w:p>
        </w:tc>
        <w:tc>
          <w:tcPr>
            <w:tcW w:w="3544" w:type="dxa"/>
            <w:tcBorders>
              <w:top w:val="single" w:sz="4" w:space="0" w:color="auto"/>
              <w:left w:val="nil"/>
              <w:bottom w:val="single" w:sz="4" w:space="0" w:color="auto"/>
              <w:right w:val="nil"/>
            </w:tcBorders>
            <w:shd w:val="clear" w:color="auto" w:fill="9CC2E5"/>
            <w:noWrap/>
            <w:vAlign w:val="bottom"/>
          </w:tcPr>
          <w:p w14:paraId="78D1301E" w14:textId="77777777" w:rsidR="00F87E58" w:rsidRPr="00302F48" w:rsidRDefault="00F87E58" w:rsidP="00C17061">
            <w:pPr>
              <w:pStyle w:val="cuadroCabe"/>
              <w:jc w:val="right"/>
              <w:rPr>
                <w:color w:val="000000"/>
                <w:rFonts w:cs="Arial"/>
              </w:rPr>
            </w:pPr>
            <w:r>
              <w:rPr>
                <w:color w:val="000000"/>
              </w:rPr>
              <w:t xml:space="preserve">Gehieneko kapitalizazioa: % 5</w:t>
            </w:r>
          </w:p>
        </w:tc>
        <w:tc>
          <w:tcPr>
            <w:tcW w:w="2410" w:type="dxa"/>
            <w:tcBorders>
              <w:top w:val="single" w:sz="4" w:space="0" w:color="auto"/>
              <w:left w:val="nil"/>
              <w:bottom w:val="single" w:sz="4" w:space="0" w:color="auto"/>
              <w:right w:val="nil"/>
            </w:tcBorders>
            <w:shd w:val="clear" w:color="auto" w:fill="9CC2E5"/>
            <w:noWrap/>
            <w:vAlign w:val="bottom"/>
          </w:tcPr>
          <w:p w14:paraId="0C2FEFB4" w14:textId="77777777" w:rsidR="00F87E58" w:rsidRPr="00302F48" w:rsidRDefault="00F87E58" w:rsidP="00F87E58">
            <w:pPr>
              <w:pStyle w:val="cuadroCabe"/>
              <w:jc w:val="right"/>
              <w:rPr>
                <w:color w:val="000000"/>
                <w:rFonts w:cs="Arial"/>
              </w:rPr>
            </w:pPr>
            <w:r>
              <w:rPr>
                <w:color w:val="000000"/>
              </w:rPr>
              <w:t xml:space="preserve">Sodenaren partaidetza: % 50</w:t>
            </w:r>
          </w:p>
        </w:tc>
      </w:tr>
      <w:tr w:rsidR="00F87E58" w:rsidRPr="00211412" w14:paraId="6054C600" w14:textId="77777777" w:rsidTr="00C17061">
        <w:trPr>
          <w:trHeight w:val="198"/>
        </w:trPr>
        <w:tc>
          <w:tcPr>
            <w:tcW w:w="1418" w:type="dxa"/>
            <w:tcBorders>
              <w:top w:val="single" w:sz="4" w:space="0" w:color="auto"/>
              <w:left w:val="nil"/>
              <w:bottom w:val="single" w:sz="4" w:space="0" w:color="auto"/>
              <w:right w:val="nil"/>
            </w:tcBorders>
            <w:shd w:val="clear" w:color="auto" w:fill="auto"/>
            <w:noWrap/>
            <w:vAlign w:val="bottom"/>
          </w:tcPr>
          <w:p w14:paraId="2399A949" w14:textId="77777777" w:rsidR="00F87E58" w:rsidRPr="00211412" w:rsidRDefault="00F87E58" w:rsidP="00F87E58">
            <w:pPr>
              <w:pStyle w:val="cuatexto"/>
              <w:jc w:val="left"/>
            </w:pPr>
            <w:r>
              <w:t xml:space="preserve">1.800.000</w:t>
            </w:r>
          </w:p>
        </w:tc>
        <w:tc>
          <w:tcPr>
            <w:tcW w:w="1417" w:type="dxa"/>
            <w:tcBorders>
              <w:top w:val="single" w:sz="4" w:space="0" w:color="auto"/>
              <w:left w:val="nil"/>
              <w:bottom w:val="single" w:sz="4" w:space="0" w:color="auto"/>
              <w:right w:val="nil"/>
            </w:tcBorders>
            <w:shd w:val="clear" w:color="auto" w:fill="auto"/>
            <w:noWrap/>
            <w:vAlign w:val="bottom"/>
          </w:tcPr>
          <w:p w14:paraId="5900229F" w14:textId="77777777" w:rsidR="00F87E58" w:rsidRPr="00211412" w:rsidRDefault="00F87E58" w:rsidP="00F87E58">
            <w:pPr>
              <w:pStyle w:val="cuatexto"/>
              <w:jc w:val="right"/>
            </w:pPr>
            <w:r>
              <w:t xml:space="preserve">810.000</w:t>
            </w:r>
          </w:p>
        </w:tc>
        <w:tc>
          <w:tcPr>
            <w:tcW w:w="3544" w:type="dxa"/>
            <w:tcBorders>
              <w:top w:val="single" w:sz="4" w:space="0" w:color="auto"/>
              <w:left w:val="nil"/>
              <w:bottom w:val="single" w:sz="4" w:space="0" w:color="auto"/>
              <w:right w:val="nil"/>
            </w:tcBorders>
            <w:shd w:val="clear" w:color="auto" w:fill="auto"/>
            <w:noWrap/>
            <w:vAlign w:val="bottom"/>
          </w:tcPr>
          <w:p w14:paraId="753D0414" w14:textId="77777777" w:rsidR="00F87E58" w:rsidRPr="00211412" w:rsidRDefault="00F87E58" w:rsidP="00C17061">
            <w:pPr>
              <w:pStyle w:val="cuatexto"/>
              <w:jc w:val="right"/>
            </w:pPr>
            <w:r>
              <w:t xml:space="preserve">90.000</w:t>
            </w:r>
          </w:p>
        </w:tc>
        <w:tc>
          <w:tcPr>
            <w:tcW w:w="2410" w:type="dxa"/>
            <w:tcBorders>
              <w:top w:val="single" w:sz="4" w:space="0" w:color="auto"/>
              <w:left w:val="nil"/>
              <w:bottom w:val="single" w:sz="4" w:space="0" w:color="auto"/>
              <w:right w:val="nil"/>
            </w:tcBorders>
            <w:shd w:val="clear" w:color="auto" w:fill="auto"/>
            <w:noWrap/>
            <w:vAlign w:val="bottom"/>
          </w:tcPr>
          <w:p w14:paraId="40D256B2" w14:textId="77777777" w:rsidR="00F87E58" w:rsidRPr="00211412" w:rsidRDefault="00F87E58" w:rsidP="00F87E58">
            <w:pPr>
              <w:pStyle w:val="cuatexto"/>
              <w:jc w:val="right"/>
            </w:pPr>
            <w:r>
              <w:t xml:space="preserve">900.000</w:t>
            </w:r>
          </w:p>
        </w:tc>
      </w:tr>
    </w:tbl>
    <w:p w14:paraId="2F3CD7F3" w14:textId="77777777" w:rsidR="00F87E58" w:rsidRDefault="00F87E58" w:rsidP="00F87E58">
      <w:pPr>
        <w:pStyle w:val="texto"/>
        <w:tabs>
          <w:tab w:val="clear" w:pos="2835"/>
          <w:tab w:val="clear" w:pos="3969"/>
          <w:tab w:val="clear" w:pos="5103"/>
          <w:tab w:val="clear" w:pos="6237"/>
          <w:tab w:val="clear" w:pos="7371"/>
          <w:tab w:val="left" w:pos="284"/>
          <w:tab w:val="left" w:pos="567"/>
          <w:tab w:val="num" w:pos="1320"/>
          <w:tab w:val="num" w:pos="2062"/>
          <w:tab w:val="num" w:pos="4472"/>
        </w:tabs>
        <w:rPr>
          <w:szCs w:val="26"/>
        </w:rPr>
      </w:pPr>
    </w:p>
    <w:tbl>
      <w:tblPr>
        <w:tblW w:w="8789" w:type="dxa"/>
        <w:tblCellMar>
          <w:left w:w="70" w:type="dxa"/>
          <w:right w:w="70" w:type="dxa"/>
        </w:tblCellMar>
        <w:tblLook w:val="04A0" w:firstRow="1" w:lastRow="0" w:firstColumn="1" w:lastColumn="0" w:noHBand="0" w:noVBand="1"/>
      </w:tblPr>
      <w:tblGrid>
        <w:gridCol w:w="1560"/>
        <w:gridCol w:w="5386"/>
        <w:gridCol w:w="1843"/>
      </w:tblGrid>
      <w:tr w:rsidR="00F87E58" w:rsidRPr="00302F48" w14:paraId="30419D74" w14:textId="77777777" w:rsidTr="00C17061">
        <w:trPr>
          <w:trHeight w:val="255"/>
        </w:trPr>
        <w:tc>
          <w:tcPr>
            <w:tcW w:w="1560" w:type="dxa"/>
            <w:tcBorders>
              <w:top w:val="single" w:sz="4" w:space="0" w:color="auto"/>
              <w:left w:val="nil"/>
              <w:bottom w:val="single" w:sz="4" w:space="0" w:color="auto"/>
              <w:right w:val="nil"/>
            </w:tcBorders>
            <w:shd w:val="clear" w:color="auto" w:fill="9CC2E5"/>
            <w:noWrap/>
            <w:vAlign w:val="bottom"/>
          </w:tcPr>
          <w:p w14:paraId="4C3558F9" w14:textId="77777777" w:rsidR="00F87E58" w:rsidRPr="00302F48" w:rsidRDefault="00F87E58" w:rsidP="00F87E58">
            <w:pPr>
              <w:pStyle w:val="cuadroCabe"/>
              <w:jc w:val="left"/>
              <w:rPr>
                <w:rFonts w:cs="Arial"/>
              </w:rPr>
            </w:pPr>
            <w:r>
              <w:t xml:space="preserve">Parquenasaren zor osoa</w:t>
            </w:r>
          </w:p>
        </w:tc>
        <w:tc>
          <w:tcPr>
            <w:tcW w:w="5386" w:type="dxa"/>
            <w:tcBorders>
              <w:top w:val="single" w:sz="4" w:space="0" w:color="auto"/>
              <w:left w:val="nil"/>
              <w:bottom w:val="single" w:sz="4" w:space="0" w:color="auto"/>
              <w:right w:val="nil"/>
            </w:tcBorders>
            <w:shd w:val="clear" w:color="auto" w:fill="9CC2E5"/>
            <w:noWrap/>
            <w:vAlign w:val="bottom"/>
          </w:tcPr>
          <w:p w14:paraId="35A31E2D" w14:textId="77777777" w:rsidR="00F87E58" w:rsidRDefault="00F87E58" w:rsidP="00C17061">
            <w:pPr>
              <w:pStyle w:val="cuadroCabe"/>
              <w:ind w:firstLine="1064"/>
              <w:jc w:val="right"/>
              <w:rPr>
                <w:color w:val="000000"/>
                <w:rFonts w:cs="Arial"/>
              </w:rPr>
            </w:pPr>
            <w:r>
              <w:rPr>
                <w:color w:val="000000"/>
              </w:rPr>
              <w:t xml:space="preserve">Kapitalizazio bidezko</w:t>
            </w:r>
          </w:p>
          <w:p w14:paraId="4DC97665" w14:textId="77777777" w:rsidR="00F87E58" w:rsidRPr="00302F48" w:rsidRDefault="00F87E58" w:rsidP="00C17061">
            <w:pPr>
              <w:pStyle w:val="cuadroCabe"/>
              <w:jc w:val="right"/>
              <w:rPr>
                <w:color w:val="000000"/>
                <w:rFonts w:cs="Arial"/>
              </w:rPr>
            </w:pPr>
            <w:r>
              <w:rPr>
                <w:color w:val="000000"/>
              </w:rPr>
              <w:t xml:space="preserve">amortizazio aurreratuaren zenbatekoa</w:t>
            </w:r>
          </w:p>
        </w:tc>
        <w:tc>
          <w:tcPr>
            <w:tcW w:w="1843" w:type="dxa"/>
            <w:tcBorders>
              <w:top w:val="single" w:sz="4" w:space="0" w:color="auto"/>
              <w:left w:val="nil"/>
              <w:bottom w:val="single" w:sz="4" w:space="0" w:color="auto"/>
              <w:right w:val="nil"/>
            </w:tcBorders>
            <w:shd w:val="clear" w:color="auto" w:fill="9CC2E5"/>
            <w:noWrap/>
            <w:vAlign w:val="bottom"/>
          </w:tcPr>
          <w:p w14:paraId="44CFD68F" w14:textId="77777777" w:rsidR="00F87E58" w:rsidRDefault="00F87E58" w:rsidP="00F87E58">
            <w:pPr>
              <w:pStyle w:val="cuadroCabe"/>
              <w:jc w:val="right"/>
              <w:rPr>
                <w:color w:val="000000"/>
                <w:rFonts w:cs="Arial"/>
              </w:rPr>
            </w:pPr>
            <w:r>
              <w:rPr>
                <w:color w:val="000000"/>
              </w:rPr>
              <w:t xml:space="preserve">Parquenasaren</w:t>
            </w:r>
          </w:p>
          <w:p w14:paraId="74670BEE" w14:textId="77777777" w:rsidR="00F87E58" w:rsidRPr="00302F48" w:rsidRDefault="00F87E58" w:rsidP="00F87E58">
            <w:pPr>
              <w:pStyle w:val="cuadroCabe"/>
              <w:jc w:val="right"/>
              <w:rPr>
                <w:color w:val="000000"/>
                <w:rFonts w:cs="Arial"/>
              </w:rPr>
            </w:pPr>
            <w:r>
              <w:rPr>
                <w:color w:val="000000"/>
              </w:rPr>
              <w:t xml:space="preserve">zor ordaindu gabea</w:t>
            </w:r>
          </w:p>
        </w:tc>
      </w:tr>
      <w:tr w:rsidR="00F87E58" w:rsidRPr="00211412" w14:paraId="330A1757" w14:textId="77777777" w:rsidTr="00C17061">
        <w:trPr>
          <w:trHeight w:val="198"/>
        </w:trPr>
        <w:tc>
          <w:tcPr>
            <w:tcW w:w="1560" w:type="dxa"/>
            <w:tcBorders>
              <w:top w:val="single" w:sz="4" w:space="0" w:color="auto"/>
              <w:left w:val="nil"/>
              <w:bottom w:val="single" w:sz="2" w:space="0" w:color="auto"/>
              <w:right w:val="nil"/>
            </w:tcBorders>
            <w:shd w:val="clear" w:color="auto" w:fill="auto"/>
            <w:noWrap/>
            <w:vAlign w:val="bottom"/>
          </w:tcPr>
          <w:p w14:paraId="60422582" w14:textId="77777777" w:rsidR="00F87E58" w:rsidRPr="00211412" w:rsidRDefault="00F87E58" w:rsidP="00F87E58">
            <w:pPr>
              <w:pStyle w:val="cuatexto"/>
              <w:jc w:val="left"/>
            </w:pPr>
            <w:r>
              <w:t xml:space="preserve">78.292.154</w:t>
            </w:r>
          </w:p>
        </w:tc>
        <w:tc>
          <w:tcPr>
            <w:tcW w:w="5386" w:type="dxa"/>
            <w:tcBorders>
              <w:top w:val="single" w:sz="4" w:space="0" w:color="auto"/>
              <w:left w:val="nil"/>
              <w:bottom w:val="single" w:sz="2" w:space="0" w:color="auto"/>
              <w:right w:val="nil"/>
            </w:tcBorders>
            <w:shd w:val="clear" w:color="auto" w:fill="auto"/>
            <w:noWrap/>
            <w:vAlign w:val="bottom"/>
          </w:tcPr>
          <w:p w14:paraId="64A5D92C" w14:textId="77777777" w:rsidR="00F87E58" w:rsidRPr="00211412" w:rsidRDefault="00F87E58" w:rsidP="00C17061">
            <w:pPr>
              <w:pStyle w:val="cuatexto"/>
              <w:jc w:val="right"/>
            </w:pPr>
            <w:r>
              <w:t xml:space="preserve">90.000</w:t>
            </w:r>
          </w:p>
        </w:tc>
        <w:tc>
          <w:tcPr>
            <w:tcW w:w="1843" w:type="dxa"/>
            <w:tcBorders>
              <w:top w:val="single" w:sz="4" w:space="0" w:color="auto"/>
              <w:left w:val="nil"/>
              <w:bottom w:val="single" w:sz="2" w:space="0" w:color="auto"/>
              <w:right w:val="nil"/>
            </w:tcBorders>
            <w:shd w:val="clear" w:color="auto" w:fill="auto"/>
            <w:noWrap/>
            <w:vAlign w:val="bottom"/>
          </w:tcPr>
          <w:p w14:paraId="49894ADF" w14:textId="77777777" w:rsidR="00F87E58" w:rsidRPr="00211412" w:rsidRDefault="00F87E58" w:rsidP="00F87E58">
            <w:pPr>
              <w:pStyle w:val="cuatexto"/>
              <w:jc w:val="right"/>
            </w:pPr>
            <w:r>
              <w:t xml:space="preserve">78.202.154</w:t>
            </w:r>
          </w:p>
        </w:tc>
      </w:tr>
    </w:tbl>
    <w:p w14:paraId="252E45A4" w14:textId="77777777" w:rsidR="00F87E58" w:rsidRPr="00AA16A6" w:rsidRDefault="00D843C7" w:rsidP="00F87E58">
      <w:pPr>
        <w:pStyle w:val="texto"/>
        <w:numPr>
          <w:ilvl w:val="0"/>
          <w:numId w:val="30"/>
        </w:numPr>
        <w:tabs>
          <w:tab w:val="clear" w:pos="2835"/>
          <w:tab w:val="clear" w:pos="3969"/>
          <w:tab w:val="clear" w:pos="5103"/>
          <w:tab w:val="clear" w:pos="6237"/>
          <w:tab w:val="clear" w:pos="7371"/>
          <w:tab w:val="left" w:pos="284"/>
          <w:tab w:val="left" w:pos="567"/>
          <w:tab w:val="num" w:pos="720"/>
          <w:tab w:val="num" w:pos="786"/>
          <w:tab w:val="num" w:pos="1320"/>
          <w:tab w:val="num" w:pos="2062"/>
          <w:tab w:val="num" w:pos="4472"/>
        </w:tabs>
        <w:ind w:left="0" w:firstLine="284"/>
        <w:rPr>
          <w:szCs w:val="26"/>
        </w:rPr>
      </w:pPr>
      <w:r>
        <w:t xml:space="preserve">Batzar Orokorraren onespena behar zuen.</w:t>
      </w:r>
    </w:p>
    <w:p w14:paraId="7B3260AB" w14:textId="77777777" w:rsidR="00667669" w:rsidRPr="00AA16A6" w:rsidRDefault="00667669" w:rsidP="00667669">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Bestalde, gehigarri honen 2.2.1 atalean adierazi dugun bezala, Nafarroako Gobernuaren onespena behar zen, Nafarroaren Garapen Sozietatea sortzeari buruzko urtarrilaren 2ko 1/1984 Foru Legearen arabera, Sodenak Parquenasaren kapital sozialaren % 45 baino gehiago eskuratu ahal zezan.</w:t>
      </w:r>
      <w:r>
        <w:t xml:space="preserve"> </w:t>
      </w:r>
    </w:p>
    <w:p w14:paraId="56B373E2"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Sodena izanda Sendavivaren jarduerari eusteko finantzaketa eskaini duen bazkide bakarra, ez da zentzuzkoa hura kapital sozialaren gehiengoaren jabe ez izatea.</w:t>
      </w:r>
      <w:r>
        <w:t xml:space="preserve"> </w:t>
      </w:r>
      <w:r>
        <w:t xml:space="preserve">Egoera ez da aldatu Nicdori partaidetzak saldu ondoren, partaidetza publikoak oraindik ere gutxiengoa baitu Parquenasaren kapital sozialean.</w:t>
      </w:r>
      <w:r>
        <w:t xml:space="preserve"> </w:t>
      </w:r>
    </w:p>
    <w:p w14:paraId="3D71975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Gutxiengo hori gorabehera, Parquenasan partaide izanda hartutako arriskuak eta Parquenasaren ustiapen- eta finantza-erabakietan parte hartzeko ahalmena direla medio, 1159/2010 Errege Dekretuaren 2.2 artikuluaren arabera</w:t>
      </w:r>
      <w:r>
        <w:rPr>
          <w:rStyle w:val="Refdenotaalpie"/>
          <w:rFonts w:eastAsia="Calibri"/>
          <w:szCs w:val="26"/>
        </w:rPr>
        <w:footnoteReference w:id="20"/>
      </w:r>
      <w:r>
        <w:t xml:space="preserve">, sozietatearen gaineko kontrolari buruzko lege-presuntzioa sortzen da, eta, horrenbestez, Parquenasaren kontuak NEKPren urteko kontu bateratuetan bateratu behar dira.</w:t>
      </w:r>
      <w:r>
        <w:t xml:space="preserve"> </w:t>
      </w:r>
    </w:p>
    <w:p w14:paraId="49C8CB10" w14:textId="77777777" w:rsidR="00F87E58" w:rsidRPr="00F011A2"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Gure iritziz, kontabilitatearen ikuspegitik lege-presuntzio horrek, funtsean, agerian jartzen du sozietatearen gaineko egitatezko kontrola dagoela, eta pentsa liteke erabateko kontrola dela; izan ere, finantzaketa publikoa etenen balitz sozietatea desegin eginen litzateke.</w:t>
      </w:r>
      <w:r>
        <w:t xml:space="preserve"> </w:t>
      </w:r>
      <w:r>
        <w:t xml:space="preserve">Arau esparru ezberdinek (kontabilitate arlokoa eta juridiko-administratiboa) bat egin izanak, muina formari nagusitzen zaiola aintzat hartuta, ez du galarazten egoera bat ikustea non egitatezko kontrola bazkide publikoaren eskuetan dagoen, nahiz eta % 45eko partaidetza izan, eta legezko kontrola bazkide pribatuen eskuetan, kapitalaren % 55aren jabe baitira. Egoera guztiz kontraesanezkoa da eta zuzendu egin behar da, gure iritziz.</w:t>
      </w:r>
      <w:r>
        <w:t xml:space="preserve"> </w:t>
      </w:r>
    </w:p>
    <w:p w14:paraId="3722FD74" w14:textId="77777777" w:rsidR="00F87E58" w:rsidRDefault="00F87E58" w:rsidP="00F87E58">
      <w:pPr>
        <w:pStyle w:val="atitulo3"/>
        <w:spacing w:before="240"/>
      </w:pPr>
      <w:r>
        <w:t xml:space="preserve">2.6.2. Parquenasa sozietate publiko bilakatzearen ondorioak</w:t>
      </w:r>
    </w:p>
    <w:p w14:paraId="54622068"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Sozietate publikoak foru sektore publikoaren barruan daudela diote Nafarroako Ogasun Publikoari buruzko apirilaren 4ko 13/2007 Foru Legeak eta Nafarroako Foru Komunitateko Administrazioari eta foru-sektore publiko instituzionalari buruzko martxoaren 11ko 11/2019 Foru Legeak. </w:t>
      </w:r>
      <w:r>
        <w:t xml:space="preserve"> </w:t>
      </w:r>
      <w:r>
        <w:t xml:space="preserve">Bi foru legeok Nafarroako Ondareari buruzko apirilaren 4ko 14/2007 Foru Legera igortzen dute sozietate publikoaren definizioa ikusteko.</w:t>
      </w:r>
    </w:p>
    <w:p w14:paraId="53822AB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i/>
          <w:szCs w:val="26"/>
        </w:rPr>
      </w:pPr>
      <w:r>
        <w:t xml:space="preserve">Foru lege horren arabera, “</w:t>
      </w:r>
      <w:r>
        <w:rPr>
          <w:i/>
          <w:iCs/>
        </w:rPr>
        <w:t xml:space="preserve">Nafarroako Foru Komunitateko eta haren menpeko erakunde publikoetako sozietate publikoak dira Foru Komunitateko Administrazioaren edo/eta haren menpeko erakunde autonomoen zuzeneko nahiz zeharkako partaidetza duten sozietateak, partaidetza horrek sozietatearen kapitalaren gehiengo osoa osatzen badu.</w:t>
      </w:r>
      <w:r>
        <w:rPr>
          <w:i/>
        </w:rPr>
        <w:t xml:space="preserve"> </w:t>
      </w:r>
    </w:p>
    <w:p w14:paraId="43AEA99E" w14:textId="77777777" w:rsidR="00F87E58" w:rsidRPr="00045BCE"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i/>
          <w:iCs/>
        </w:rPr>
        <w:t xml:space="preserve">Orobat dira sozietate publikoak Nafarroako Foru Komunitateko Administrazioak edo/eta haren menpeko erakunde publikoek administrazio, zuzendaritza edo zaintza organoetako kideen erdia baino gehiago zuzenean nahiz zeharka izendatzeko gaitasuna dutenak; edo sozietateak jaulkitako partaidetzei dagozkien botoen gehiengoa dutenak</w:t>
      </w:r>
      <w:r>
        <w:t xml:space="preserve">”.</w:t>
      </w:r>
    </w:p>
    <w:p w14:paraId="1EADF023"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Beraz, sozietate publikoak hiru irizpide hauetakoren batean oinarrituta dira halakoak:</w:t>
      </w:r>
    </w:p>
    <w:p w14:paraId="11E22B1C"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a) Kapital sozialaren kontrola: kapital sozialean gehiengo osoa izatea (% 50etik gora) zuzenean edo zeharka.</w:t>
      </w:r>
    </w:p>
    <w:p w14:paraId="2C9C9416"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b) Kontrol organikoa: sozietatearen gobernu- edo zuzendaritza-organoetako kideen erdiak baino gehiago izendatzea.</w:t>
      </w:r>
    </w:p>
    <w:p w14:paraId="0DE9CB57"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c) Funtzionamenduaren kontrola: sozietateak jaulkitako partaidetzei dagozkien botorik gehienak izatea.</w:t>
      </w:r>
    </w:p>
    <w:p w14:paraId="5D2A76AF"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pacing w:val="0"/>
          <w:szCs w:val="26"/>
        </w:rPr>
      </w:pPr>
      <w:r>
        <w:t xml:space="preserve">Sodenak Parquenasan duen partaidetzak ez du baldintza horietako bat ere betetzen. Beraz, Parquenasa ez da sozietate publikoa.</w:t>
      </w:r>
      <w:r>
        <w:t xml:space="preserve"> </w:t>
      </w:r>
    </w:p>
    <w:p w14:paraId="41180C9D"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Sozietatearen administratzaile bakarra lehenago Sodena eta orain Nicdo izatea Parquenasaren Batzar Orokorrak onetsitako egoera da, eta hiru bazkide pribatuk dute gehiengoa organo horretan.</w:t>
      </w:r>
      <w:r>
        <w:t xml:space="preserve"> </w:t>
      </w:r>
      <w:r>
        <w:t xml:space="preserve">Ez Sodenak ez Nicdok ez dute ahalmenik izan gobernu- edo zuzendaritza-organoetako kide gehienak izendatzeko.</w:t>
      </w:r>
    </w:p>
    <w:p w14:paraId="52A8B23C"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b/>
        </w:rPr>
        <w:t xml:space="preserve">Laburbilduz,</w:t>
      </w:r>
      <w:r>
        <w:t xml:space="preserve"> Parquenasak merkataritza sozietate pribatua izaten jarraitzen du.</w:t>
      </w:r>
      <w:r>
        <w:t xml:space="preserve"> </w:t>
      </w:r>
      <w:r>
        <w:t xml:space="preserve">Gai horri buruz, kontuan izanda sozietateko akziodun publikoek estrategikotzat jotzen dutela sozietateak kudeatzen duen jarduera eta bere gain hartu dituztela finantzaketa eta arrisku osoa, ez da zentzuzkoa kudeaketa sozietate pribatu baten esku uztea.</w:t>
      </w:r>
      <w:r>
        <w:t xml:space="preserve"> </w:t>
      </w:r>
      <w:r>
        <w:t xml:space="preserve">Ganbera honen iritziz, ez da uste izatekoa bere erabaki finantzarioak inbertsioaren errentagarritasunean oinarritzen dituen inbertsiogile pribatu batek sozietateari finantzaketa eskainiko dionik aldian-aldian, berreskuratzeko itxaropenik gabe.  </w:t>
      </w:r>
    </w:p>
    <w:p w14:paraId="2CCA816A"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Ez da txosten honen helburua baloratzea Sodenak 2005ean estrategikoa iritzi zion erabaki hori, oraindik ere merkataritza sozietate pribatu bat finantzatu beharra sortzen ari dena.</w:t>
      </w:r>
      <w:r>
        <w:t xml:space="preserve"> </w:t>
      </w:r>
      <w:r>
        <w:t xml:space="preserve">Hala ere, Ganbera honen iritziz, sektore pribatuarekin lankidetzan bideratzen diren proiektuek balizko arriskuen eta mozkinen banaketa orekatua aurreikusi behar dute, ez dadin izan sektore publikoa arrisku guztiak bere gain hartzen dituena.</w:t>
      </w:r>
      <w:r>
        <w:t xml:space="preserve"> </w:t>
      </w:r>
    </w:p>
    <w:p w14:paraId="6FD37C46" w14:textId="77777777" w:rsidR="00F87E58" w:rsidRPr="002B46E4"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t xml:space="preserve">Parquenasa sozietate publiko bihurtu eta Nafarroako Foru Komunitateko enpresen sektore publikoan sartzea erabakiko balitz, sozietate horrek zuzenbide publikoko zenbait arau bete beharko lituzke. Horien artean aipatzekoak dira honako hauek:</w:t>
      </w:r>
    </w:p>
    <w:p w14:paraId="1F536F2F" w14:textId="77777777" w:rsidR="00F87E58" w:rsidRPr="001A5E7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19/1996 Foru Legea, azaroaren 4koa, Nafarroako Gobernuko kideen eta Nafarroako Foru Komunitatearen Administrazioko goi karguen bateraezintasunei buruzkoa.</w:t>
      </w:r>
    </w:p>
    <w:p w14:paraId="5EDD2B53"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13/2007 Foru Legea, apirilaren 4koa, Nafarroako Ogasun Publikoari buruzkoa.</w:t>
      </w:r>
    </w:p>
    <w:p w14:paraId="65D3F368" w14:textId="77777777" w:rsidR="00F87E58" w:rsidRPr="001A5E7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14/2007 Foru Legea, apirilaren 14koa, Nafarroako ondareari buruzkoa.</w:t>
      </w:r>
    </w:p>
    <w:p w14:paraId="0F2DB7F9"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2/2018 Foru Legea, apirilaren 13koa, kontratu publikoei buruzkoa.</w:t>
      </w:r>
    </w:p>
    <w:p w14:paraId="67F7811B"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5/2018 Foru Legea, maiatzaren 17koa, gardentasunari, informazio publikoa eskuratzeari eta gobernu onari buruzkoa.</w:t>
      </w:r>
    </w:p>
    <w:p w14:paraId="1D20C4C0" w14:textId="77777777" w:rsidR="00F87E58" w:rsidRPr="00884174"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11/2019 Foru Legea, martxoaren 11koa, Nafarroako Foru Komunitateko Administrazioari eta foru-sektore publiko instituzionalari buruzkoa.</w:t>
      </w:r>
    </w:p>
    <w:p w14:paraId="0D28A85C"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2/2012 Lege Organikoa, apirilaren 27koa, aurrekontu-egonkortasunari eta finantza-iraunkortasunari buruzkoa.</w:t>
      </w:r>
    </w:p>
    <w:p w14:paraId="6BCF8425" w14:textId="77777777" w:rsidR="00F87E58" w:rsidRPr="00886F8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pPr>
      <w:r>
        <w:t xml:space="preserve">Estatuko aurrekontu orokorrei buruzko urteroko legeetan langileei buruz xedatzen dena.</w:t>
      </w:r>
      <w:bookmarkEnd w:id="40"/>
    </w:p>
    <w:p w14:paraId="130D7E86" w14:textId="77777777" w:rsidR="00156B78" w:rsidRDefault="00156B78">
      <w:pPr>
        <w:spacing w:after="0"/>
        <w:ind w:firstLine="0"/>
        <w:jc w:val="left"/>
        <w:rPr>
          <w:i/>
          <w:iCs/>
          <w:color w:val="000000"/>
          <w:spacing w:val="10"/>
          <w:kern w:val="28"/>
          <w:sz w:val="25"/>
          <w:szCs w:val="26"/>
          <w:rFonts w:ascii="Arial" w:hAnsi="Arial"/>
        </w:rPr>
      </w:pPr>
      <w:r>
        <w:br w:type="page"/>
      </w:r>
    </w:p>
    <w:p w14:paraId="00AFEEC9" w14:textId="77777777" w:rsidR="00156B78" w:rsidRPr="000D06D2" w:rsidRDefault="00156B78" w:rsidP="000D06D2">
      <w:pPr>
        <w:pStyle w:val="atitulo1"/>
      </w:pPr>
      <w:bookmarkStart w:id="41" w:name="_Toc129330332"/>
      <w:bookmarkStart w:id="42" w:name="_Toc130198158"/>
      <w:bookmarkStart w:id="43" w:name="_Toc146195637"/>
      <w:bookmarkStart w:id="44" w:name="_Toc149803656"/>
      <w:r>
        <w:t xml:space="preserve">Behin-behineko txostenari aurkeztutako alegazioak</w:t>
      </w:r>
      <w:bookmarkEnd w:id="41"/>
      <w:bookmarkEnd w:id="42"/>
      <w:bookmarkEnd w:id="43"/>
      <w:bookmarkEnd w:id="44"/>
    </w:p>
    <w:p w14:paraId="47E85967" w14:textId="5E0BE91A"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M. Eugenia Lecumberri Alli andrea</w:t>
      </w:r>
      <w:r>
        <w:rPr>
          <w:color w:val="000000"/>
          <w:sz w:val="22"/>
          <w:rFonts w:ascii="Calibri" w:hAnsi="Calibri"/>
        </w:rPr>
        <w:t xml:space="preserve">, adin nagusikoa, </w:t>
      </w:r>
      <w:r>
        <w:rPr>
          <w:color w:val="000000"/>
          <w:sz w:val="22"/>
          <w:b/>
          <w:rFonts w:ascii="Calibri" w:hAnsi="Calibri"/>
        </w:rPr>
        <w:t xml:space="preserve">Nafarroaren Garapen Sozietatea SA</w:t>
      </w:r>
      <w:r>
        <w:rPr>
          <w:color w:val="000000"/>
          <w:sz w:val="22"/>
          <w:rFonts w:ascii="Calibri" w:hAnsi="Calibri"/>
        </w:rPr>
        <w:t xml:space="preserve">ren (aurrerantzean, </w:t>
      </w:r>
      <w:r>
        <w:rPr>
          <w:color w:val="000000"/>
          <w:sz w:val="22"/>
          <w:b/>
          <w:rFonts w:ascii="Calibri" w:hAnsi="Calibri"/>
        </w:rPr>
        <w:t xml:space="preserve">Sodena</w:t>
      </w:r>
      <w:r>
        <w:rPr>
          <w:color w:val="000000"/>
          <w:sz w:val="22"/>
          <w:rFonts w:ascii="Calibri" w:hAnsi="Calibri"/>
        </w:rPr>
        <w:t xml:space="preserve">) izenean eta hura ordezkatuz (legezko helbidea: Iruña, 31003 Nafarroa, Karlos III.a etorbidea 36, 1. solairua, eskuinaldea; IFZ: B/71/069868) eta</w:t>
      </w:r>
      <w:r>
        <w:rPr>
          <w:color w:val="000000"/>
          <w:sz w:val="22"/>
          <w:b/>
          <w:rFonts w:ascii="Calibri" w:hAnsi="Calibri"/>
        </w:rPr>
        <w:t xml:space="preserve">Francisco Fernández Nistal jauna</w:t>
      </w:r>
      <w:r>
        <w:rPr>
          <w:color w:val="000000"/>
          <w:sz w:val="22"/>
          <w:rFonts w:ascii="Calibri" w:hAnsi="Calibri"/>
        </w:rPr>
        <w:t xml:space="preserve">, adin nagusikoa, </w:t>
      </w:r>
      <w:r>
        <w:rPr>
          <w:color w:val="000000"/>
          <w:sz w:val="22"/>
          <w:b/>
          <w:rFonts w:ascii="Calibri" w:hAnsi="Calibri"/>
        </w:rPr>
        <w:t xml:space="preserve">Nafarroako Enpresa Korporazio Publikoa SL</w:t>
      </w:r>
      <w:r>
        <w:rPr>
          <w:color w:val="000000"/>
          <w:sz w:val="22"/>
          <w:rFonts w:ascii="Calibri" w:hAnsi="Calibri"/>
        </w:rPr>
        <w:t xml:space="preserve">ren (aurrerantzean, </w:t>
      </w:r>
      <w:r>
        <w:rPr>
          <w:color w:val="000000"/>
          <w:sz w:val="22"/>
          <w:b/>
          <w:rFonts w:ascii="Calibri" w:hAnsi="Calibri"/>
        </w:rPr>
        <w:t xml:space="preserve">NEKP</w:t>
      </w:r>
      <w:r>
        <w:rPr>
          <w:color w:val="000000"/>
          <w:sz w:val="22"/>
          <w:rFonts w:ascii="Calibri" w:hAnsi="Calibri"/>
        </w:rPr>
        <w:t xml:space="preserve">) izenean eta hura ordezkatuz (legezko helbidea: Iruña, 31001 Nafarroa, Pablo Sarasate pasealekua 38, 2. solairua, eskuinaldea; IFZ: B/71/018360) Kontuen Ganbera horren aurrera agertzen dira, eta bidezkoen den moduan hau </w:t>
      </w:r>
      <w:r>
        <w:rPr>
          <w:color w:val="000000"/>
          <w:sz w:val="22"/>
          <w:b/>
          <w:rFonts w:ascii="Calibri" w:hAnsi="Calibri"/>
        </w:rPr>
        <w:t xml:space="preserve">DIOTE</w:t>
      </w:r>
      <w:r>
        <w:rPr>
          <w:color w:val="000000"/>
          <w:sz w:val="22"/>
          <w:rFonts w:ascii="Calibri" w:hAnsi="Calibri"/>
        </w:rPr>
        <w:t xml:space="preserve">:</w:t>
      </w:r>
      <w:r>
        <w:rPr>
          <w:color w:val="000000"/>
          <w:sz w:val="22"/>
          <w:rFonts w:ascii="Calibri" w:hAnsi="Calibri"/>
        </w:rPr>
        <w:t xml:space="preserve">  </w:t>
      </w:r>
    </w:p>
    <w:p w14:paraId="37BAA06E" w14:textId="77777777" w:rsidR="005318CE" w:rsidRPr="005318CE" w:rsidRDefault="005318CE" w:rsidP="005318CE">
      <w:pPr>
        <w:spacing w:after="282" w:line="287" w:lineRule="auto"/>
        <w:ind w:left="719"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I.-</w:t>
      </w:r>
      <w:r>
        <w:rPr>
          <w:color w:val="000000"/>
          <w:sz w:val="22"/>
          <w:rFonts w:ascii="Calibri" w:hAnsi="Calibri"/>
        </w:rPr>
        <w:t xml:space="preserve"> 2023ko urriaren 23an Sodenari eta NEKPri jakinarazi zaie Kontuen Ganberako lehendakariak egun berean emandako 2023-0158 Ebazpena, zeinaren bidez onesten baita “Sodenak Parquenasari egindako ekarpen finantzarioak” izeneko behin-behineko fiskalizazio txostena (aurrerantzean, </w:t>
      </w:r>
      <w:r>
        <w:rPr>
          <w:color w:val="000000"/>
          <w:sz w:val="22"/>
          <w:b/>
          <w:rFonts w:ascii="Calibri" w:hAnsi="Calibri"/>
        </w:rPr>
        <w:t xml:space="preserve">behin-behineko txostena</w:t>
      </w:r>
      <w:r>
        <w:rPr>
          <w:color w:val="000000"/>
          <w:sz w:val="22"/>
          <w:rFonts w:ascii="Calibri" w:hAnsi="Calibri"/>
        </w:rPr>
        <w:t xml:space="preserve">); jakinarazi ere, “</w:t>
      </w:r>
      <w:r>
        <w:rPr>
          <w:color w:val="000000"/>
          <w:sz w:val="22"/>
          <w:i/>
          <w:rFonts w:ascii="Calibri" w:hAnsi="Calibri"/>
        </w:rPr>
        <w:t xml:space="preserve">txostena helarazi behar zaiolako fiskalizatutako erakundeari, azter dezan eta alegazioak egin ahal ditzan urriaren 31ra arte</w:t>
      </w:r>
      <w:r>
        <w:rPr>
          <w:color w:val="000000"/>
          <w:sz w:val="22"/>
          <w:rFonts w:ascii="Calibri" w:hAnsi="Calibri"/>
        </w:rPr>
        <w:t xml:space="preserve">”.</w:t>
      </w:r>
      <w:r>
        <w:rPr>
          <w:color w:val="000000"/>
          <w:sz w:val="22"/>
          <w:rFonts w:ascii="Calibri" w:hAnsi="Calibri"/>
        </w:rPr>
        <w:t xml:space="preserve">  </w:t>
      </w:r>
    </w:p>
    <w:p w14:paraId="0DA977E7" w14:textId="77777777" w:rsidR="005318CE" w:rsidRPr="005318CE" w:rsidRDefault="005318CE" w:rsidP="005318CE">
      <w:pPr>
        <w:spacing w:after="282" w:line="287" w:lineRule="auto"/>
        <w:ind w:left="719"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II.-</w:t>
      </w:r>
      <w:r>
        <w:rPr>
          <w:color w:val="000000"/>
          <w:sz w:val="22"/>
          <w:rFonts w:ascii="Calibri" w:hAnsi="Calibri"/>
        </w:rPr>
        <w:t xml:space="preserve"> Eman diguten ordezkaritza baliatuta, ezarritako epearen barruan eta arestian azaldutako ondorioetarako, idazki honen bitartez alegazio hauek aurkezten dizkiogu Kontuen Ganberari:</w:t>
      </w:r>
      <w:r>
        <w:rPr>
          <w:color w:val="000000"/>
          <w:sz w:val="22"/>
          <w:rFonts w:ascii="Calibri" w:hAnsi="Calibri"/>
        </w:rPr>
        <w:t xml:space="preserve">  </w:t>
      </w:r>
    </w:p>
    <w:p w14:paraId="39698786" w14:textId="77777777" w:rsidR="005318CE" w:rsidRPr="005318CE" w:rsidRDefault="005318CE" w:rsidP="005318CE">
      <w:pPr>
        <w:spacing w:after="311" w:line="259" w:lineRule="auto"/>
        <w:ind w:left="704" w:firstLine="0"/>
        <w:jc w:val="center"/>
        <w:rPr>
          <w:color w:val="000000"/>
          <w:kern w:val="2"/>
          <w:sz w:val="22"/>
          <w:szCs w:val="22"/>
          <w14:ligatures w14:val="standardContextual"/>
          <w:rFonts w:ascii="Calibri" w:eastAsia="Calibri" w:hAnsi="Calibri" w:cs="Calibri"/>
        </w:rPr>
      </w:pPr>
      <w:r>
        <w:rPr>
          <w:color w:val="000000"/>
          <w:sz w:val="22"/>
          <w:b/>
          <w:rFonts w:ascii="Calibri" w:hAnsi="Calibri"/>
        </w:rPr>
        <w:t xml:space="preserve">ALEGAZIOAK</w:t>
      </w:r>
      <w:r>
        <w:rPr>
          <w:color w:val="000000"/>
          <w:sz w:val="22"/>
          <w:rFonts w:ascii="Calibri" w:hAnsi="Calibri"/>
        </w:rPr>
        <w:t xml:space="preserve"> </w:t>
      </w:r>
    </w:p>
    <w:p w14:paraId="2080F8C6" w14:textId="77777777" w:rsidR="005318CE" w:rsidRPr="005318CE" w:rsidRDefault="005318CE" w:rsidP="005318CE">
      <w:pPr>
        <w:keepNext/>
        <w:keepLines/>
        <w:spacing w:after="311" w:line="259" w:lineRule="auto"/>
        <w:ind w:left="1" w:firstLine="0"/>
        <w:jc w:val="left"/>
        <w:outlineLvl w:val="0"/>
        <w:rPr>
          <w:b/>
          <w:color w:val="000000"/>
          <w:kern w:val="2"/>
          <w:sz w:val="22"/>
          <w:szCs w:val="22"/>
          <w:u w:val="single" w:color="000000"/>
          <w14:ligatures w14:val="standardContextual"/>
          <w:rFonts w:ascii="Calibri" w:eastAsia="Calibri" w:hAnsi="Calibri" w:cs="Calibri"/>
        </w:rPr>
      </w:pPr>
      <w:r>
        <w:rPr>
          <w:b/>
          <w:color w:val="000000"/>
          <w:sz w:val="22"/>
          <w:u w:val="single" w:color="000000"/>
          <w:rFonts w:ascii="Calibri" w:hAnsi="Calibri"/>
        </w:rPr>
        <w:t xml:space="preserve">ATARIKOA</w:t>
      </w:r>
      <w:r>
        <w:rPr>
          <w:b/>
          <w:color w:val="000000"/>
          <w:sz w:val="22"/>
          <w:u w:color="000000"/>
          <w:rFonts w:ascii="Calibri" w:hAnsi="Calibri"/>
        </w:rPr>
        <w:t xml:space="preserve">.-</w:t>
      </w:r>
      <w:r>
        <w:rPr>
          <w:b/>
          <w:color w:val="000000"/>
          <w:sz w:val="22"/>
          <w:u w:color="000000"/>
          <w:rFonts w:ascii="Calibri" w:hAnsi="Calibri"/>
        </w:rPr>
        <w:t xml:space="preserve"> </w:t>
      </w:r>
    </w:p>
    <w:p w14:paraId="0ED47649"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Argibide huts moduan adierazten da idazki honetan “</w:t>
      </w:r>
      <w:r>
        <w:rPr>
          <w:color w:val="000000"/>
          <w:sz w:val="22"/>
          <w:b/>
          <w:rFonts w:ascii="Calibri" w:hAnsi="Calibri"/>
        </w:rPr>
        <w:t xml:space="preserve">Parquenasa</w:t>
      </w:r>
      <w:r>
        <w:rPr>
          <w:color w:val="000000"/>
          <w:sz w:val="22"/>
          <w:rFonts w:ascii="Calibri" w:hAnsi="Calibri"/>
        </w:rPr>
        <w:t xml:space="preserve"> eta/edo </w:t>
      </w:r>
      <w:r>
        <w:rPr>
          <w:color w:val="000000"/>
          <w:sz w:val="22"/>
          <w:b/>
          <w:rFonts w:ascii="Calibri" w:hAnsi="Calibri"/>
        </w:rPr>
        <w:t xml:space="preserve">Sozietatea</w:t>
      </w:r>
      <w:r>
        <w:rPr>
          <w:color w:val="000000"/>
          <w:sz w:val="22"/>
          <w:rFonts w:ascii="Calibri" w:hAnsi="Calibri"/>
        </w:rPr>
        <w:t xml:space="preserve">” terminoak erabiliko direla Parque de la Naturaleza de Navarra SA merkataritza sozietatea aipatzeko eta “</w:t>
      </w:r>
      <w:r>
        <w:rPr>
          <w:color w:val="000000"/>
          <w:sz w:val="22"/>
          <w:b/>
          <w:rFonts w:ascii="Calibri" w:hAnsi="Calibri"/>
        </w:rPr>
        <w:t xml:space="preserve">Sendaviva</w:t>
      </w:r>
      <w:r>
        <w:rPr>
          <w:color w:val="000000"/>
          <w:sz w:val="22"/>
          <w:rFonts w:ascii="Calibri" w:hAnsi="Calibri"/>
        </w:rPr>
        <w:t xml:space="preserve">” terminoa, berriz, Arguedasko udal mugartean dagoen natura parkea aipatzeko.</w:t>
      </w:r>
      <w:r>
        <w:rPr>
          <w:color w:val="000000"/>
          <w:sz w:val="22"/>
          <w:rFonts w:ascii="Calibri" w:hAnsi="Calibri"/>
        </w:rPr>
        <w:t xml:space="preserve">  </w:t>
      </w:r>
    </w:p>
    <w:p w14:paraId="07CA8466"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Gainera, idazki honetan azaltzen den guztia dela-eta, proposatuko da, betiere Kontuen Ganberaren iritzi hobearen menpe, behin-behineko txostenean dauden aipamen batzuk alda daitezela Sodenak Parquenasari egindako ekarpen finantzarioei buruz emanen den behin betiko txostenean.</w:t>
      </w:r>
      <w:r>
        <w:rPr>
          <w:color w:val="000000"/>
          <w:sz w:val="22"/>
          <w:rFonts w:ascii="Calibri" w:hAnsi="Calibri"/>
        </w:rPr>
        <w:t xml:space="preserve">  </w:t>
      </w:r>
    </w:p>
    <w:p w14:paraId="7F45E12B"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sz w:val="22"/>
          <w:rFonts w:ascii="Calibri" w:hAnsi="Calibri"/>
        </w:rPr>
        <w:t xml:space="preserve">Horretarako, idazki honetan</w:t>
      </w:r>
      <w:r>
        <w:rPr>
          <w:sz w:val="22"/>
          <w:color w:val="000000"/>
          <w:rFonts w:ascii="Calibri" w:hAnsi="Calibri"/>
        </w:rPr>
        <w:t xml:space="preserve"> </w:t>
      </w:r>
      <w:r>
        <w:rPr>
          <w:sz w:val="22"/>
          <w:color w:val="4472C4"/>
          <w:u w:val="single" w:color="4472C4"/>
          <w:rFonts w:ascii="Calibri" w:hAnsi="Calibri"/>
        </w:rPr>
        <w:t xml:space="preserve">urdinez eta azpimarratuta</w:t>
      </w:r>
      <w:r>
        <w:rPr>
          <w:sz w:val="22"/>
          <w:color w:val="44546A"/>
          <w:rFonts w:ascii="Calibri" w:hAnsi="Calibri"/>
        </w:rPr>
        <w:t xml:space="preserve"> [</w:t>
      </w:r>
      <w:r>
        <w:rPr>
          <w:sz w:val="22"/>
          <w:i/>
          <w:color w:val="000000"/>
          <w:rFonts w:ascii="Calibri" w:hAnsi="Calibri"/>
        </w:rPr>
        <w:t xml:space="preserve">GEHITU</w:t>
      </w:r>
      <w:r>
        <w:rPr>
          <w:sz w:val="22"/>
          <w:color w:val="44546A"/>
          <w:rFonts w:ascii="Calibri" w:hAnsi="Calibri"/>
        </w:rPr>
        <w:t xml:space="preserve">] </w:t>
      </w:r>
      <w:r>
        <w:rPr>
          <w:sz w:val="22"/>
          <w:color w:val="000000"/>
          <w:rFonts w:ascii="Calibri" w:hAnsi="Calibri"/>
        </w:rPr>
        <w:t xml:space="preserve">agertzen dira txertatzeko iradokitzen diren testu proposamenak, eta </w:t>
      </w:r>
      <w:r>
        <w:rPr>
          <w:sz w:val="22"/>
          <w:color w:val="70AD47"/>
          <w:u w:val="single" w:color="70AD47"/>
          <w:rFonts w:ascii="Calibri" w:hAnsi="Calibri"/>
        </w:rPr>
        <w:t xml:space="preserve">berdez eta azpimarratuta</w:t>
      </w:r>
      <w:r>
        <w:rPr>
          <w:sz w:val="22"/>
          <w:color w:val="000000"/>
          <w:rFonts w:ascii="Calibri" w:hAnsi="Calibri"/>
        </w:rPr>
        <w:t xml:space="preserve">, berriz, kentzeko iradokitzen direnak [</w:t>
      </w:r>
      <w:r>
        <w:rPr>
          <w:sz w:val="22"/>
          <w:color w:val="000000"/>
          <w:i/>
          <w:rFonts w:ascii="Calibri" w:hAnsi="Calibri"/>
        </w:rPr>
        <w:t xml:space="preserve">KENDU</w:t>
      </w:r>
      <w:r>
        <w:rPr>
          <w:sz w:val="22"/>
          <w:color w:val="000000"/>
          <w:rFonts w:ascii="Calibri" w:hAnsi="Calibri"/>
        </w:rPr>
        <w:t xml:space="preserve">].</w:t>
      </w:r>
      <w:r>
        <w:rPr>
          <w:sz w:val="22"/>
          <w:color w:val="000000"/>
          <w:rFonts w:ascii="Calibri" w:hAnsi="Calibri"/>
        </w:rPr>
        <w:t xml:space="preserve">  </w:t>
      </w:r>
    </w:p>
    <w:p w14:paraId="36DC1D97" w14:textId="77777777" w:rsidR="005318CE" w:rsidRPr="005318CE" w:rsidRDefault="005318CE" w:rsidP="005318CE">
      <w:pPr>
        <w:spacing w:after="0" w:line="259" w:lineRule="auto"/>
        <w:ind w:left="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35680425" w14:textId="77777777" w:rsidR="005318CE" w:rsidRPr="005318CE" w:rsidRDefault="005318CE" w:rsidP="005318CE">
      <w:pPr>
        <w:keepNext/>
        <w:keepLines/>
        <w:spacing w:after="308" w:line="259" w:lineRule="auto"/>
        <w:ind w:left="-4" w:hanging="10"/>
        <w:jc w:val="left"/>
        <w:outlineLvl w:val="1"/>
        <w:rPr>
          <w:b/>
          <w:color w:val="000000"/>
          <w:kern w:val="2"/>
          <w:sz w:val="22"/>
          <w:szCs w:val="22"/>
          <w14:ligatures w14:val="standardContextual"/>
          <w:rFonts w:ascii="Calibri" w:eastAsia="Calibri" w:hAnsi="Calibri" w:cs="Calibri"/>
        </w:rPr>
      </w:pPr>
      <w:r>
        <w:rPr>
          <w:b/>
          <w:color w:val="000000"/>
          <w:sz w:val="22"/>
          <w:u w:val="single" w:color="000000"/>
          <w:rFonts w:ascii="Calibri" w:hAnsi="Calibri"/>
        </w:rPr>
        <w:t xml:space="preserve">LEHENENGOA</w:t>
      </w:r>
      <w:r>
        <w:rPr>
          <w:b/>
          <w:color w:val="000000"/>
          <w:sz w:val="22"/>
          <w:rFonts w:ascii="Calibri" w:hAnsi="Calibri"/>
        </w:rPr>
        <w:t xml:space="preserve">.- SODENAK PARQUENASARI EMANDAKO MAILEGUEN KONTABILIZAZIOA</w:t>
      </w:r>
      <w:r>
        <w:rPr>
          <w:b/>
          <w:color w:val="000000"/>
          <w:sz w:val="22"/>
          <w:rFonts w:ascii="Calibri" w:hAnsi="Calibri"/>
        </w:rPr>
        <w:t xml:space="preserve">  </w:t>
      </w:r>
    </w:p>
    <w:p w14:paraId="7273D48F"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Behin-behineko txostenaren III. atalean (“Konklusioak eta gomendioak”), B) puntuan, 6. eta 7. orrialdeetan, Sodenak Parquenasari emandako maileguen zenbatekoa eta Sodenan duten kontabilitate-egoera azaltzen dira, eta adierazten da haien kontabilitateko balioa 22,51M eurokoa dela guztira (behin kenduta zenbateko narriatuak), Sodenaren 2022ko ekitaldiko urteko kontuetatik ondorioztatzen denez; gainera, haien kontabilizazioari buruzko ohar batzuk daude.</w:t>
      </w:r>
      <w:r>
        <w:rPr>
          <w:color w:val="000000"/>
          <w:sz w:val="22"/>
          <w:rFonts w:ascii="Calibri" w:hAnsi="Calibri"/>
        </w:rPr>
        <w:t xml:space="preserve">  </w:t>
      </w:r>
    </w:p>
    <w:p w14:paraId="60AE58F9"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Nahiz eta behin-behineko txostenaren 9. orrialdean ez den berariazko gomendiorik jarri Sodenak Parquenasari emandako maileguak kontabilizatzeko irizpideari buruz, txostenean zehar zenbait adierazpen daude mailegu horien balorazioaren eta kontabilitateko tratamenduaren gainean.</w:t>
      </w:r>
      <w:r>
        <w:rPr>
          <w:color w:val="000000"/>
          <w:sz w:val="22"/>
          <w:rFonts w:ascii="Calibri" w:hAnsi="Calibri"/>
        </w:rPr>
        <w:t xml:space="preserve"> </w:t>
      </w:r>
      <w:r>
        <w:rPr>
          <w:color w:val="000000"/>
          <w:sz w:val="22"/>
          <w:rFonts w:ascii="Calibri" w:hAnsi="Calibri"/>
        </w:rPr>
        <w:t xml:space="preserve">Hori dela-eta, alegazio hau egiten da.</w:t>
      </w:r>
      <w:r>
        <w:rPr>
          <w:color w:val="000000"/>
          <w:sz w:val="22"/>
          <w:rFonts w:ascii="Calibri" w:hAnsi="Calibri"/>
        </w:rPr>
        <w:t xml:space="preserve">  </w:t>
      </w:r>
    </w:p>
    <w:p w14:paraId="1B983F5F" w14:textId="77777777" w:rsidR="005318CE" w:rsidRPr="005318CE" w:rsidRDefault="005318CE" w:rsidP="005318CE">
      <w:pPr>
        <w:spacing w:after="278" w:line="287" w:lineRule="auto"/>
        <w:ind w:left="11" w:right="-12"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Hala bada, behin-behineko txostenaren 2. gehigarrian [2.4.c) puntua, 27. orrialdea eta hurrengoak] xehetasunez aztertzen dira Parquenasarentzako maileguen zenbatekoa eta kontabilitateko isla Sodenaren kontuetan, 2022ko abenduaren 31n itxitako ekitaldian. Hau adierazten da 31. orrialdean: “(…) </w:t>
      </w:r>
      <w:r>
        <w:rPr>
          <w:color w:val="000000"/>
          <w:sz w:val="22"/>
          <w:i/>
          <w:rFonts w:ascii="Calibri" w:hAnsi="Calibri"/>
        </w:rPr>
        <w:t xml:space="preserve">22,51 milioi ez dira ageri balorazioa zuzendu behar zaien kreditutzat Sodenaren urteko kontuetan; hots, balio galerarik gabeko kreditutzat jotzen dira, eta horrek esan nahi du berreskuragarritzat jotzen direla</w:t>
      </w:r>
      <w:r>
        <w:rPr>
          <w:color w:val="000000"/>
          <w:sz w:val="22"/>
          <w:rFonts w:ascii="Calibri" w:hAnsi="Calibri"/>
        </w:rPr>
        <w:t xml:space="preserve">”.</w:t>
      </w:r>
      <w:r>
        <w:rPr>
          <w:color w:val="000000"/>
          <w:sz w:val="22"/>
          <w:rFonts w:ascii="Calibri" w:hAnsi="Calibri"/>
        </w:rPr>
        <w:t xml:space="preserve">  </w:t>
      </w:r>
    </w:p>
    <w:p w14:paraId="3AC3DD1A" w14:textId="77777777" w:rsidR="005318CE" w:rsidRPr="005318CE" w:rsidRDefault="005318CE" w:rsidP="005318CE">
      <w:pPr>
        <w:spacing w:after="278" w:line="287" w:lineRule="auto"/>
        <w:ind w:left="11" w:right="-12"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Eta Kontu-hartzailetza Nagusiaren nahitaezko txosten batzuetara igorri ondoren (Sodenak ezin izan ditu eskuratu, 2022ko martxoaren 8koa izan ezik), hau baieztatzen da berariaz:</w:t>
      </w:r>
      <w:r>
        <w:rPr>
          <w:color w:val="000000"/>
          <w:sz w:val="22"/>
          <w:rFonts w:ascii="Calibri" w:hAnsi="Calibri"/>
        </w:rPr>
        <w:t xml:space="preserve"> </w:t>
      </w:r>
      <w:r>
        <w:rPr>
          <w:color w:val="000000"/>
          <w:sz w:val="22"/>
          <w:rFonts w:ascii="Calibri" w:hAnsi="Calibri"/>
        </w:rPr>
        <w:t xml:space="preserve">“</w:t>
      </w:r>
      <w:r>
        <w:rPr>
          <w:color w:val="000000"/>
          <w:sz w:val="22"/>
          <w:i/>
          <w:iCs/>
          <w:rFonts w:ascii="Calibri" w:hAnsi="Calibri"/>
        </w:rPr>
        <w:t xml:space="preserve">Uste dugu narriatu gabeko 22,51 milioiko kreditu horiei balorazioaren zuzenketa egin behar zitzaiela kontabilitatean, berreskuratu ahalko ote diren zalantzan jartzeko zantzu objektiboak daudelako</w:t>
      </w:r>
      <w:r>
        <w:rPr>
          <w:color w:val="000000"/>
          <w:sz w:val="22"/>
          <w:rFonts w:ascii="Calibri" w:hAnsi="Calibri"/>
        </w:rPr>
        <w:t xml:space="preserve">”.</w:t>
      </w:r>
      <w:r>
        <w:rPr>
          <w:color w:val="000000"/>
          <w:sz w:val="22"/>
          <w:rFonts w:ascii="Calibri" w:hAnsi="Calibri"/>
        </w:rPr>
        <w:t xml:space="preserve">  </w:t>
      </w:r>
    </w:p>
    <w:p w14:paraId="07061420"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Adierazpen horiei erantzunez, alegazio hauek utzi nahi dira jasorik:</w:t>
      </w:r>
      <w:r>
        <w:rPr>
          <w:color w:val="000000"/>
          <w:sz w:val="22"/>
          <w:rFonts w:ascii="Calibri" w:hAnsi="Calibri"/>
        </w:rPr>
        <w:t xml:space="preserve">  </w:t>
      </w:r>
    </w:p>
    <w:p w14:paraId="0F3ED5C3"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(a).-</w:t>
      </w:r>
      <w:r>
        <w:rPr>
          <w:color w:val="000000"/>
          <w:sz w:val="22"/>
          <w:rFonts w:ascii="Calibri" w:hAnsi="Calibri"/>
        </w:rPr>
        <w:t xml:space="preserve"> Lehenik, Parquenasak, kontabilitateko araudiari jarraikiz, “eskudiru fluxurik sortzen ez duten aktibo”tzat jo behar ditu bere aktibo materialak, martxoaren 25eko EHA/733/2010 Aginduko laugarren arauan ezarritakoaren babesean (Zenbait egoeratan jarduten duten kontabilitate alderdiak onesten dituen Agindua), aktibo horien balioa narriatuta dagoen ala ez ebaluatzeko irizpideak direla-eta.</w:t>
      </w:r>
      <w:r>
        <w:rPr>
          <w:color w:val="000000"/>
          <w:sz w:val="22"/>
          <w:rFonts w:ascii="Calibri" w:hAnsi="Calibri"/>
        </w:rPr>
        <w:t xml:space="preserve"> </w:t>
      </w:r>
    </w:p>
    <w:p w14:paraId="789B4DE9"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7908ED0F" w14:textId="77777777" w:rsidR="005318CE" w:rsidRPr="005318CE" w:rsidRDefault="005318CE" w:rsidP="005318CE">
      <w:pPr>
        <w:spacing w:after="28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(b).-</w:t>
      </w:r>
      <w:r>
        <w:rPr>
          <w:color w:val="000000"/>
          <w:sz w:val="22"/>
          <w:rFonts w:ascii="Calibri" w:hAnsi="Calibri"/>
        </w:rPr>
        <w:t xml:space="preserve"> Ezin da ukatu Parquenasa sozietate pribatua dela, baina Parquenasak uste du arau horiek nahitaez aplikatu behar dituela bere aktiboen narriaduraren kontabilitate-balorazioan, bera autonomia erkidegoko sektore publikoko entitatea delako kontabilitate-ondorioetarako. Izan ere, (i) Sodena/NICDO </w:t>
      </w:r>
      <w:r>
        <w:rPr>
          <w:color w:val="000000"/>
          <w:sz w:val="22"/>
          <w:vertAlign w:val="superscript"/>
          <w:rFonts w:ascii="Calibri" w:hAnsi="Calibri"/>
        </w:rPr>
        <w:t xml:space="preserve">(1)  </w:t>
      </w:r>
      <w:r>
        <w:rPr>
          <w:color w:val="000000"/>
          <w:sz w:val="22"/>
          <w:rFonts w:ascii="Calibri" w:hAnsi="Calibri"/>
        </w:rPr>
        <w:t xml:space="preserve">Sozietatearen administratzaile bakarrak izan dira eta haren kudeaketa gainbegiratu dute, hau da, haren gaineko kontrola izan dute; (ii) Sodenak, eta orain Nafarroako Gobernuak, beren gain hartu dute arrisku finantzario osoa 2005az geroztik; (iii) halaber kontuan hartu behar da akziodunen arteko ituna, data horretakoa; eta (iv) gainera, NEKPren bitartez, eta berriz ere kontabilitate-ondorioetarako, Sozietatea autonomia erkidegoko sektore publikoko parte da.</w:t>
      </w:r>
      <w:r>
        <w:rPr>
          <w:color w:val="000000"/>
          <w:sz w:val="22"/>
          <w:rFonts w:ascii="Calibri" w:hAnsi="Calibri"/>
        </w:rPr>
        <w:t xml:space="preserve"> </w:t>
      </w:r>
      <w:r>
        <w:rPr>
          <w:color w:val="000000"/>
          <w:sz w:val="22"/>
          <w:rFonts w:ascii="Calibri" w:hAnsi="Calibri"/>
        </w:rPr>
        <w:t xml:space="preserve">Hain zuzen ere, horrela jaso izan da NEKPren urteko kontu bateratuetan, zehatzago 2022ko eta 2021eko ekitaldietakoetan:</w:t>
      </w:r>
      <w:r>
        <w:rPr>
          <w:color w:val="000000"/>
          <w:sz w:val="22"/>
          <w:rFonts w:ascii="Calibri" w:hAnsi="Calibri"/>
        </w:rPr>
        <w:t xml:space="preserve"> </w:t>
      </w:r>
    </w:p>
    <w:p w14:paraId="667B5DBF" w14:textId="77777777" w:rsidR="005318CE" w:rsidRPr="005318CE" w:rsidRDefault="005318CE" w:rsidP="005318CE">
      <w:pPr>
        <w:spacing w:after="278" w:line="287" w:lineRule="auto"/>
        <w:ind w:left="1427" w:right="-12"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w:t>
      </w:r>
      <w:r>
        <w:rPr>
          <w:color w:val="000000"/>
          <w:sz w:val="22"/>
          <w:i/>
          <w:rFonts w:ascii="Calibri" w:hAnsi="Calibri"/>
        </w:rPr>
        <w:t xml:space="preserve">Alde horretatik, berariaz menpeko sozietatetzat jo da Parque de la Naturaleza SA, nahiz eta taldeak sozietatean duen benetako partaidetza % 45ekoa izan 2022ko eta 2021eko ekitaldien amaieran, eta haren gaineko kontrola dagoela uste izan da taldeak entitatearen arriskuetan eta emaitzetan duen partaidetzaren arabera</w:t>
      </w:r>
      <w:r>
        <w:rPr>
          <w:color w:val="000000"/>
          <w:sz w:val="22"/>
          <w:rFonts w:ascii="Calibri" w:hAnsi="Calibri"/>
        </w:rPr>
        <w:t xml:space="preserve">”.</w:t>
      </w:r>
      <w:r>
        <w:rPr>
          <w:color w:val="000000"/>
          <w:sz w:val="22"/>
          <w:rFonts w:ascii="Calibri" w:hAnsi="Calibri"/>
        </w:rPr>
        <w:t xml:space="preserve"> </w:t>
      </w:r>
    </w:p>
    <w:p w14:paraId="25C8479F" w14:textId="77777777" w:rsidR="005318CE" w:rsidRPr="005318CE" w:rsidRDefault="005318CE" w:rsidP="005318CE">
      <w:pPr>
        <w:spacing w:after="90" w:line="259" w:lineRule="auto"/>
        <w:ind w:left="716" w:right="-10" w:hanging="10"/>
        <w:rPr>
          <w:color w:val="000000"/>
          <w:kern w:val="2"/>
          <w:sz w:val="22"/>
          <w:szCs w:val="22"/>
          <w14:ligatures w14:val="standardContextual"/>
          <w:rFonts w:ascii="Calibri" w:eastAsia="Calibri" w:hAnsi="Calibri" w:cs="Calibri"/>
        </w:rPr>
      </w:pPr>
      <w:r>
        <w:rPr>
          <w:color w:val="000000"/>
          <w:sz w:val="18"/>
          <w:vertAlign w:val="superscript"/>
          <w:rFonts w:ascii="Calibri" w:hAnsi="Calibri"/>
        </w:rPr>
        <w:t xml:space="preserve">(1) </w:t>
      </w:r>
      <w:r>
        <w:rPr>
          <w:color w:val="000000"/>
          <w:sz w:val="18"/>
          <w:rFonts w:ascii="Calibri" w:hAnsi="Calibri"/>
        </w:rPr>
        <w:t xml:space="preserve">Biak aritu baitira eta/edo ari baitira Parquenasaren administratzaile bakarraren</w:t>
      </w:r>
      <w:r>
        <w:rPr>
          <w:color w:val="000000"/>
          <w:sz w:val="18"/>
          <w:rFonts w:ascii="Calibri" w:hAnsi="Calibri"/>
        </w:rPr>
        <w:t xml:space="preserve"> </w:t>
      </w:r>
    </w:p>
    <w:p w14:paraId="0F70736F" w14:textId="77777777" w:rsidR="005318CE" w:rsidRPr="005318CE" w:rsidRDefault="005318CE" w:rsidP="005318CE">
      <w:pPr>
        <w:spacing w:after="22" w:line="259" w:lineRule="auto"/>
        <w:ind w:left="716" w:right="-10" w:hanging="10"/>
        <w:rPr>
          <w:color w:val="000000"/>
          <w:kern w:val="2"/>
          <w:sz w:val="22"/>
          <w:szCs w:val="22"/>
          <w14:ligatures w14:val="standardContextual"/>
          <w:rFonts w:ascii="Calibri" w:eastAsia="Calibri" w:hAnsi="Calibri" w:cs="Calibri"/>
        </w:rPr>
      </w:pPr>
      <w:r>
        <w:rPr>
          <w:color w:val="000000"/>
          <w:sz w:val="18"/>
          <w:rFonts w:ascii="Calibri" w:hAnsi="Calibri"/>
        </w:rPr>
        <w:t xml:space="preserve">karguan.</w:t>
      </w:r>
      <w:r>
        <w:rPr>
          <w:color w:val="000000"/>
          <w:sz w:val="18"/>
          <w:rFonts w:ascii="Calibri" w:hAnsi="Calibri"/>
        </w:rPr>
        <w:t xml:space="preserve"> </w:t>
      </w:r>
      <w:r>
        <w:rPr>
          <w:color w:val="000000"/>
          <w:sz w:val="18"/>
          <w:rFonts w:ascii="Calibri" w:hAnsi="Calibri"/>
        </w:rPr>
        <w:t xml:space="preserve">Bereziki, Sodena, 2005eko ekainaren 15ean izendatu zutenetik 2023ko otsailaren 2an uko egin zuen arte; eta NICDO, egun horretan (2023ko otsailaren 2an) izendatu zutenetik eta orain arte.</w:t>
      </w:r>
      <w:r>
        <w:rPr>
          <w:color w:val="000000"/>
          <w:sz w:val="18"/>
          <w:rFonts w:ascii="Calibri" w:hAnsi="Calibri"/>
        </w:rPr>
        <w:t xml:space="preserve"> </w:t>
      </w:r>
    </w:p>
    <w:p w14:paraId="6809268A" w14:textId="77777777" w:rsidR="005318CE" w:rsidRPr="005318CE" w:rsidRDefault="005318CE" w:rsidP="005318CE">
      <w:pPr>
        <w:spacing w:after="63" w:line="259" w:lineRule="auto"/>
        <w:ind w:left="720" w:firstLine="0"/>
        <w:jc w:val="left"/>
        <w:rPr>
          <w:color w:val="000000"/>
          <w:kern w:val="2"/>
          <w:sz w:val="22"/>
          <w:szCs w:val="22"/>
          <w14:ligatures w14:val="standardContextual"/>
          <w:rFonts w:ascii="Calibri" w:eastAsia="Calibri" w:hAnsi="Calibri" w:cs="Calibri"/>
        </w:rPr>
      </w:pPr>
      <w:r>
        <w:rPr>
          <w:color w:val="000000"/>
          <w:sz w:val="18"/>
          <w:rFonts w:ascii="Calibri" w:hAnsi="Calibri"/>
        </w:rPr>
        <w:t xml:space="preserve"> </w:t>
      </w:r>
    </w:p>
    <w:p w14:paraId="42186555"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(c).- </w:t>
      </w:r>
      <w:r>
        <w:rPr>
          <w:color w:val="000000"/>
          <w:sz w:val="22"/>
          <w:rFonts w:ascii="Calibri" w:hAnsi="Calibri"/>
        </w:rPr>
        <w:t xml:space="preserve">EHA/733/2010 Aginduko lehenengo arauak honela definitzen ditu fluxurik sortzen ez duten aktiboak:</w:t>
      </w:r>
      <w:r>
        <w:rPr>
          <w:color w:val="000000"/>
          <w:sz w:val="22"/>
          <w:rFonts w:ascii="Calibri" w:hAnsi="Calibri"/>
        </w:rPr>
        <w:t xml:space="preserve">  </w:t>
      </w:r>
    </w:p>
    <w:p w14:paraId="3CF4489E"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0292ADF8" w14:textId="77777777" w:rsidR="005318CE" w:rsidRPr="005318CE" w:rsidRDefault="005318CE" w:rsidP="005318CE">
      <w:pPr>
        <w:spacing w:after="2" w:line="287" w:lineRule="auto"/>
        <w:ind w:left="1429" w:right="569"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w:t>
      </w:r>
      <w:r>
        <w:rPr>
          <w:color w:val="000000"/>
          <w:sz w:val="22"/>
          <w:i/>
          <w:rFonts w:ascii="Calibri" w:hAnsi="Calibri"/>
        </w:rPr>
        <w:t xml:space="preserve">e) Eskudiru fluxurik sortzen ez duten aktiboak: ibilgetu materialeko eta ukiezineko osagaiak eta higiezinetako inbertsioak, merkataritzako etekina sortzeaz bestelako helburua dutenak; adibidez, aktibo horiek kolektibitatearen onurarako sortzen dituzten fluxu ekonomiko sozialak, alegia, haien onura soziala edo zerbitzu ahalmena</w:t>
      </w:r>
      <w:r>
        <w:rPr>
          <w:color w:val="000000"/>
          <w:sz w:val="22"/>
          <w:rFonts w:ascii="Calibri" w:hAnsi="Calibri"/>
        </w:rPr>
        <w:t xml:space="preserve">”.</w:t>
      </w:r>
      <w:r>
        <w:rPr>
          <w:color w:val="000000"/>
          <w:sz w:val="22"/>
          <w:rFonts w:ascii="Calibri" w:hAnsi="Calibri"/>
        </w:rPr>
        <w:t xml:space="preserve"> </w:t>
      </w:r>
    </w:p>
    <w:p w14:paraId="5028AB08"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433624A1"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(d).-</w:t>
      </w:r>
      <w:r>
        <w:rPr>
          <w:color w:val="000000"/>
          <w:sz w:val="22"/>
          <w:rFonts w:ascii="Calibri" w:hAnsi="Calibri"/>
        </w:rPr>
        <w:t xml:space="preserve"> Transkribatutako kontabilitate arauaren ondorioetarako, azpimarratu behar da Sendavivaren eragin sozioekonomikoari buruzko urteroko azterketek agerian jartzen dutela proiektuak arlo sozioekonomikoan duen eraginaren balorazioa; azterketa horiek 2007tik egiten dituzte aholkularitza enpresa baimenduek, eta geroago berriz aipatuko dira.</w:t>
      </w:r>
      <w:r>
        <w:rPr>
          <w:color w:val="000000"/>
          <w:sz w:val="22"/>
          <w:rFonts w:ascii="Calibri" w:hAnsi="Calibri"/>
        </w:rPr>
        <w:t xml:space="preserve"> </w:t>
      </w:r>
      <w:r>
        <w:rPr>
          <w:color w:val="000000"/>
          <w:sz w:val="22"/>
          <w:rFonts w:ascii="Calibri" w:hAnsi="Calibri"/>
        </w:rPr>
        <w:t xml:space="preserve">Txosten horiek gizartearentzat errenta eta enplegu gisa sortzen diren onura ekonomikoak baloratzen dituzte. Hori bat dator transkribatutako arauan eskudiru fluxurik sortzen ez duten aktiboei buruz ematen den definizioarekin.</w:t>
      </w:r>
      <w:r>
        <w:rPr>
          <w:color w:val="000000"/>
          <w:sz w:val="22"/>
          <w:rFonts w:ascii="Calibri" w:hAnsi="Calibri"/>
        </w:rPr>
        <w:t xml:space="preserve"> </w:t>
      </w:r>
    </w:p>
    <w:p w14:paraId="0F28135A"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0F7B1587"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(e).-</w:t>
      </w:r>
      <w:r>
        <w:rPr>
          <w:color w:val="000000"/>
          <w:sz w:val="22"/>
          <w:rFonts w:ascii="Calibri" w:hAnsi="Calibri"/>
        </w:rPr>
        <w:t xml:space="preserve"> Hortaz, bere aktiboen balizko narriadura baloratzeko garaian, Parquenasak ez du irizpide komertzialen arabera aztertzen balizko balio galera, aktiboek sortzen duten zerbitzu ahalmenaren arabera baizik.</w:t>
      </w:r>
      <w:r>
        <w:rPr>
          <w:color w:val="000000"/>
          <w:sz w:val="22"/>
          <w:rFonts w:ascii="Calibri" w:hAnsi="Calibri"/>
        </w:rPr>
        <w:t xml:space="preserve"> </w:t>
      </w:r>
      <w:r>
        <w:rPr>
          <w:color w:val="000000"/>
          <w:sz w:val="22"/>
          <w:rFonts w:ascii="Calibri" w:hAnsi="Calibri"/>
        </w:rPr>
        <w:t xml:space="preserve">Eta, EHA/733/2010 Aginduak adierazten duen bezala, narriadura zantzurik baldin badago, balio berreskuragarria da erabilera-balioaren eta zentzuzko balioaren artetik handiena.</w:t>
      </w:r>
      <w:r>
        <w:rPr>
          <w:color w:val="000000"/>
          <w:sz w:val="22"/>
          <w:rFonts w:ascii="Calibri" w:hAnsi="Calibri"/>
        </w:rPr>
        <w:t xml:space="preserve"> </w:t>
      </w:r>
      <w:r>
        <w:rPr>
          <w:color w:val="000000"/>
          <w:sz w:val="22"/>
          <w:rFonts w:ascii="Calibri" w:hAnsi="Calibri"/>
        </w:rPr>
        <w:t xml:space="preserve">Erabilera-balioa da bere zerbitzu ahalmenari eusten dion aktiboaren egungo balioa, eta balioa galdutako berrezarpen kostuaren erreferentziaren bidez zehazten da.</w:t>
      </w:r>
      <w:r>
        <w:rPr>
          <w:color w:val="000000"/>
          <w:sz w:val="22"/>
          <w:rFonts w:ascii="Calibri" w:hAnsi="Calibri"/>
        </w:rPr>
        <w:t xml:space="preserve"> </w:t>
      </w:r>
      <w:r>
        <w:rPr>
          <w:color w:val="000000"/>
          <w:sz w:val="22"/>
          <w:rFonts w:ascii="Calibri" w:hAnsi="Calibri"/>
        </w:rPr>
        <w:t xml:space="preserve">Horrelaxe ari dira baloratzen aktiboak Parquenasan.</w:t>
      </w:r>
      <w:r>
        <w:rPr>
          <w:color w:val="000000"/>
          <w:sz w:val="22"/>
          <w:rFonts w:ascii="Calibri" w:hAnsi="Calibri"/>
        </w:rPr>
        <w:t xml:space="preserve"> </w:t>
      </w:r>
    </w:p>
    <w:p w14:paraId="095C20D4"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(f).-</w:t>
      </w:r>
      <w:r>
        <w:rPr>
          <w:color w:val="000000"/>
          <w:sz w:val="22"/>
          <w:rFonts w:ascii="Calibri" w:hAnsi="Calibri"/>
        </w:rPr>
        <w:t xml:space="preserve"> Aipatu kontabilitate-arauaren aplikazioa onartu eta berretsi izan dute Parquenasa 2001ean sortu zenetik haren kontuen auditoriak egin dituzten enpresek. Aintzat hartu dituzte EHA/733/2010 Aginduan adierazitako irizpideak, Parquenasak aktibo horien balio-narriadurarik ba ote dagoen ebaluatzeko garaian, eta haien iritzia inoiz ez da salbuespen batekin kualifikatu.</w:t>
      </w:r>
      <w:r>
        <w:rPr>
          <w:color w:val="000000"/>
          <w:sz w:val="22"/>
          <w:rFonts w:ascii="Calibri" w:hAnsi="Calibri"/>
        </w:rPr>
        <w:t xml:space="preserve"> </w:t>
      </w:r>
    </w:p>
    <w:p w14:paraId="2E642B13"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53D54B5F" w14:textId="418A6A08"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(g).-</w:t>
      </w:r>
      <w:r>
        <w:rPr>
          <w:color w:val="000000"/>
          <w:sz w:val="22"/>
          <w:rFonts w:ascii="Calibri" w:hAnsi="Calibri"/>
        </w:rPr>
        <w:t xml:space="preserve"> Sodenan kontabilizatutako maileguen balio berreskuragarriari dagokionez, Sodenak oinarri hartu du Parquenasak bere aktibo materialei ematen dien kontabilitate-tratamendua, eskudiru fluxurik sortzen ez duten aktibotzat jotzen baititu, Parquenasaren urteko kontuetan bertan adierazten den moduan.</w:t>
      </w:r>
      <w:r>
        <w:rPr>
          <w:color w:val="000000"/>
          <w:sz w:val="22"/>
          <w:rFonts w:ascii="Calibri" w:hAnsi="Calibri"/>
        </w:rPr>
        <w:t xml:space="preserve">  </w:t>
      </w:r>
    </w:p>
    <w:p w14:paraId="38B962B0"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3B0BD859" w14:textId="77777777" w:rsidR="005318CE" w:rsidRPr="005318CE" w:rsidRDefault="005318CE" w:rsidP="005318CE">
      <w:pPr>
        <w:spacing w:after="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(h).-</w:t>
      </w:r>
      <w:r>
        <w:rPr>
          <w:color w:val="000000"/>
          <w:sz w:val="22"/>
          <w:rFonts w:ascii="Calibri" w:hAnsi="Calibri"/>
        </w:rPr>
        <w:t xml:space="preserve"> Horregatik, aurreko guztia kontuan hartuta, Sodenak bere narriadura-azterketa egitean aintzat hartzen du Parquenasaren aktibo horien balio berreskuragarria, bai eta Parquenasaren beste aktibo eta pasibo batzuek (Sodenak emandako maileguez bestelakoek) duten kontabilitate-balioa ere, kontuan hartuta mailegu horien kontabilitate-balio garbia bat datorrela zenbatetsitako balio berreskuragarriarekin, eta, beraz, jada egindakoez gain beste balorazio-zuzenketarik egin gabe.</w:t>
      </w:r>
      <w:r>
        <w:rPr>
          <w:color w:val="000000"/>
          <w:sz w:val="22"/>
          <w:rFonts w:ascii="Calibri" w:hAnsi="Calibri"/>
        </w:rPr>
        <w:t xml:space="preserve"> </w:t>
      </w:r>
      <w:r>
        <w:rPr>
          <w:color w:val="000000"/>
          <w:sz w:val="22"/>
          <w:rFonts w:ascii="Calibri" w:hAnsi="Calibri"/>
        </w:rPr>
        <w:t xml:space="preserve">Balio hori haren urteko kontuetan islatuta dago urtez urte, eta hartan oinarrituta egin dira balorazio-zuzenketak Sodenan.</w:t>
      </w:r>
      <w:r>
        <w:rPr>
          <w:color w:val="000000"/>
          <w:sz w:val="22"/>
          <w:rFonts w:ascii="Calibri" w:hAnsi="Calibri"/>
        </w:rPr>
        <w:t xml:space="preserve"> </w:t>
      </w:r>
    </w:p>
    <w:p w14:paraId="5077A313" w14:textId="77777777" w:rsidR="005318CE" w:rsidRPr="005318CE" w:rsidRDefault="005318CE" w:rsidP="005318CE">
      <w:pPr>
        <w:spacing w:after="31"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18B7FA74" w14:textId="77777777" w:rsidR="005318CE" w:rsidRPr="005318CE" w:rsidRDefault="005318CE" w:rsidP="005318CE">
      <w:pPr>
        <w:spacing w:after="280" w:line="288" w:lineRule="auto"/>
        <w:ind w:left="731"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(i).-</w:t>
      </w:r>
      <w:r>
        <w:rPr>
          <w:color w:val="000000"/>
          <w:sz w:val="22"/>
          <w:rFonts w:ascii="Calibri" w:hAnsi="Calibri"/>
        </w:rPr>
        <w:t xml:space="preserve"> Irizpide hori zuzena da eta halakotzat jo dute entzute handiko hiru auditoretza enpresak. Horiek Sodenaren eta NEKPren urteko kontuak egiaztatu izan dituzte Parquenasari lehenengoz finantzaketa eman zitzaionetik (ez dute inolako salbuespenik azaldu Sodenaren eta NEKPren urteko kontuei buruzko auditoretza txostenetan hark balorazio irizpide hori aplikatzen hasi zenez geroztik).</w:t>
      </w:r>
      <w:r>
        <w:rPr>
          <w:color w:val="000000"/>
          <w:sz w:val="22"/>
          <w:rFonts w:ascii="Calibri" w:hAnsi="Calibri"/>
        </w:rPr>
        <w:t xml:space="preserve"> </w:t>
      </w:r>
    </w:p>
    <w:p w14:paraId="650FF2DB" w14:textId="77777777" w:rsidR="005318CE" w:rsidRPr="005318CE" w:rsidRDefault="005318CE" w:rsidP="005318CE">
      <w:pPr>
        <w:spacing w:after="278" w:line="287" w:lineRule="auto"/>
        <w:ind w:left="704" w:right="-12"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(j).-</w:t>
      </w:r>
      <w:r>
        <w:rPr>
          <w:color w:val="000000"/>
          <w:sz w:val="22"/>
          <w:rFonts w:ascii="Calibri" w:hAnsi="Calibri"/>
        </w:rPr>
        <w:t xml:space="preserve"> Azkenik, aipatu behar da Kontuen Ganberak 2014ko urriaren 13an emandako txostena: “Nafarroaren Garapen Sozietateak 2002-2013 urte bitartean enpresa partaidetuetan eginiko inbertsio finantzarioei buruzko fiskalizazio txostena”. Bertan, besteak beste, Sodenak Parquenasari egindako ekarpenak aztertu zituen, eta hau adierazi zuen 12. orrialdean:</w:t>
      </w:r>
      <w:r>
        <w:rPr>
          <w:color w:val="000000"/>
          <w:sz w:val="22"/>
          <w:rFonts w:ascii="Calibri" w:hAnsi="Calibri"/>
        </w:rPr>
        <w:t xml:space="preserve"> </w:t>
      </w:r>
      <w:r>
        <w:rPr>
          <w:color w:val="000000"/>
          <w:sz w:val="22"/>
          <w:rFonts w:ascii="Calibri" w:hAnsi="Calibri"/>
        </w:rPr>
        <w:t xml:space="preserve">“</w:t>
      </w:r>
      <w:r>
        <w:rPr>
          <w:color w:val="000000"/>
          <w:sz w:val="22"/>
          <w:i/>
          <w:rFonts w:ascii="Calibri" w:hAnsi="Calibri"/>
        </w:rPr>
        <w:t xml:space="preserve">Sodenaren 2002tik 2013ra bitarteko urteko kontuek beren alderdi nabarmen guztietan islatzen dituzte enpresen kapitalean parte hartzeko finantza-eragiketak, bai eta sozietate publikoak parte hartutako enpresei aldi horretan maileguak emateko jarduketak ere; azkenik, eragiketa horiei buruz kudeaketa-txostenean jasotako informazioa bat dator ekitaldi bakoitzeko urteko kontuetan islatutakoarekin”.</w:t>
      </w:r>
      <w:r>
        <w:rPr>
          <w:color w:val="000000"/>
          <w:sz w:val="22"/>
          <w:i/>
          <w:rFonts w:ascii="Calibri" w:hAnsi="Calibri"/>
        </w:rPr>
        <w:t xml:space="preserve"> </w:t>
      </w:r>
      <w:r>
        <w:rPr>
          <w:color w:val="000000"/>
          <w:sz w:val="22"/>
          <w:rFonts w:ascii="Calibri" w:hAnsi="Calibri"/>
        </w:rPr>
        <w:t xml:space="preserve"> </w:t>
      </w:r>
    </w:p>
    <w:p w14:paraId="2FE496AC" w14:textId="77777777" w:rsidR="005318CE" w:rsidRPr="005318CE" w:rsidRDefault="005318CE" w:rsidP="005318CE">
      <w:pPr>
        <w:spacing w:after="282" w:line="287" w:lineRule="auto"/>
        <w:ind w:left="718"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Hala bada, Kontuen Ganberak, behin-behineko txostenean (9. orrialdea) jasotako gomendioen ildotik, 2014ko txosten horretan eta Parquenasari zegokionez, ez zuen ezertxo ere adierazi Sodenaren urteko kontuetan balorazio-zuzenketa egitearen komenigarritasunari edo beharrari buruz.</w:t>
      </w:r>
      <w:r>
        <w:rPr>
          <w:color w:val="000000"/>
          <w:sz w:val="22"/>
          <w:rFonts w:ascii="Calibri" w:hAnsi="Calibri"/>
        </w:rPr>
        <w:t xml:space="preserve">   </w:t>
      </w:r>
    </w:p>
    <w:p w14:paraId="6F751987" w14:textId="77777777" w:rsidR="005318CE" w:rsidRPr="005318CE" w:rsidRDefault="005318CE" w:rsidP="005318CE">
      <w:pPr>
        <w:spacing w:after="0" w:line="259" w:lineRule="auto"/>
        <w:ind w:left="750" w:firstLine="0"/>
        <w:jc w:val="center"/>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7A613019" w14:textId="60D151EC"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Horrenbestez, alegazio honetan honaino emandako azalpenetan oinarrituta, begi bistan dago Sodenak Parquenasari emandako maileguen balorazioa zuzen egin dela eta zorrotz aplikatu dela kontabilitateko araudia (EHA/733/2010 Agindua, gorago aipatua). Araudi hori nahitaez aplikatu behar da, arau esparru ezberdinak egon arren (kontabilitate arlokoak eta juridiko-administratiboak) eta biak batera gertatu arren, behin-behineko txostenak berak 33. orrialdean dioen bezala.</w:t>
      </w:r>
      <w:r>
        <w:rPr>
          <w:color w:val="000000"/>
          <w:sz w:val="22"/>
          <w:rFonts w:ascii="Calibri" w:hAnsi="Calibri"/>
        </w:rPr>
        <w:t xml:space="preserve">  </w:t>
      </w:r>
    </w:p>
    <w:p w14:paraId="7D7F2A30"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Sodenak Nafarroako Gobernuan izapidetu dituen baimen-eskaeretan maileguak “hutsegin”tzat jotzeari dagokionez, horrela kalifikatu dira berreskuratzen zailak izateagatik.</w:t>
      </w:r>
      <w:r>
        <w:rPr>
          <w:color w:val="000000"/>
          <w:sz w:val="22"/>
          <w:rFonts w:ascii="Calibri" w:hAnsi="Calibri"/>
        </w:rPr>
        <w:t xml:space="preserve"> </w:t>
      </w:r>
      <w:r>
        <w:rPr>
          <w:color w:val="000000"/>
          <w:sz w:val="22"/>
          <w:rFonts w:ascii="Calibri" w:hAnsi="Calibri"/>
        </w:rPr>
        <w:t xml:space="preserve">Baina, lehen azpimarratu den bezala, maileguen narriadura kalkulatzeko irizpidea kontabilitateko araudiak ematen du, eta ez mailegu horiek berreskuragarritzat edo berreskuraezintzat jotzen dituen ikuspegi komertzialak. </w:t>
      </w:r>
      <w:r>
        <w:rPr>
          <w:color w:val="000000"/>
          <w:sz w:val="22"/>
          <w:rFonts w:ascii="Calibri" w:hAnsi="Calibri"/>
        </w:rPr>
        <w:t xml:space="preserve"> </w:t>
      </w:r>
    </w:p>
    <w:p w14:paraId="12825E10" w14:textId="216C1C44"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Hala bada, ondorioztatu behar da, kontabilitate arloko araudiaren autonomian oinarrituta, mailegu horiek  22,51M euroko kontabilitate balioa dutela eta zuzen kontabilizatuta daudela. Halaxe egiaztatu dute Sodenaren, Parquenasaren eta NEKPren kontuak auditatu dituzten enpresek, lehenago adierazi bezala.</w:t>
      </w:r>
      <w:r>
        <w:rPr>
          <w:color w:val="000000"/>
          <w:sz w:val="22"/>
          <w:rFonts w:ascii="Calibri" w:hAnsi="Calibri"/>
        </w:rPr>
        <w:t xml:space="preserve">  </w:t>
      </w:r>
    </w:p>
    <w:p w14:paraId="2E5F5192"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Azaldutakoa ikusita, Kontuen Ganberaren iritzi hobeari men eginez, proposatzen da behin-behineko txosteneko puntu hauek alda daitezela gero emanen den behin betiko txostenean:</w:t>
      </w:r>
      <w:r>
        <w:rPr>
          <w:color w:val="000000"/>
          <w:sz w:val="22"/>
          <w:rFonts w:ascii="Calibri" w:hAnsi="Calibri"/>
        </w:rPr>
        <w:t xml:space="preserve">  </w:t>
      </w:r>
    </w:p>
    <w:p w14:paraId="19C92C00" w14:textId="77777777" w:rsidR="005318CE" w:rsidRPr="005318CE" w:rsidRDefault="005318CE" w:rsidP="005318CE">
      <w:pPr>
        <w:numPr>
          <w:ilvl w:val="0"/>
          <w:numId w:val="48"/>
        </w:numPr>
        <w:spacing w:after="0" w:line="287" w:lineRule="auto"/>
        <w:ind w:right="-12" w:hanging="360"/>
        <w:jc w:val="left"/>
        <w:rPr>
          <w:color w:val="000000"/>
          <w:kern w:val="2"/>
          <w:sz w:val="22"/>
          <w:szCs w:val="22"/>
          <w14:ligatures w14:val="standardContextual"/>
          <w:rFonts w:ascii="Calibri" w:eastAsia="Calibri" w:hAnsi="Calibri" w:cs="Calibri"/>
        </w:rPr>
      </w:pPr>
      <w:r>
        <w:rPr>
          <w:sz w:val="22"/>
          <w:color w:val="000000"/>
          <w:rFonts w:ascii="Calibri" w:hAnsi="Calibri"/>
        </w:rPr>
        <w:t xml:space="preserve">“</w:t>
      </w:r>
      <w:r>
        <w:rPr>
          <w:sz w:val="22"/>
          <w:color w:val="000000"/>
          <w:u w:val="single" w:color="000000"/>
          <w:rFonts w:ascii="Calibri" w:hAnsi="Calibri"/>
        </w:rPr>
        <w:t xml:space="preserve">III. Konklusioak eta gomendioak” atalean, B puntuan (7. orrialdea</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 </w:t>
      </w:r>
      <w:r>
        <w:rPr>
          <w:sz w:val="22"/>
          <w:color w:val="000000"/>
          <w:i/>
          <w:rFonts w:ascii="Calibri" w:hAnsi="Calibri"/>
        </w:rPr>
        <w:t xml:space="preserve">Maileguak emateko urteroko baimen-eskaeretan, Sodenak adierazi izan du mailegu horiek kobraezin gisa hornitzen direla osorik, [GEHITU] </w:t>
      </w:r>
      <w:r>
        <w:rPr>
          <w:sz w:val="22"/>
          <w:i/>
          <w:color w:val="4472C4"/>
          <w:u w:val="single" w:color="4472C4"/>
          <w:rFonts w:ascii="Calibri" w:hAnsi="Calibri"/>
        </w:rPr>
        <w:t xml:space="preserve">alde batera utzi gabe</w:t>
      </w:r>
      <w:r>
        <w:rPr>
          <w:sz w:val="22"/>
          <w:i/>
          <w:color w:val="4472C4"/>
          <w:rFonts w:ascii="Calibri" w:hAnsi="Calibri"/>
        </w:rPr>
        <w:t xml:space="preserve"> </w:t>
      </w:r>
      <w:r>
        <w:rPr>
          <w:sz w:val="22"/>
          <w:i/>
          <w:color w:val="4472C4"/>
          <w:u w:val="single" w:color="4472C4"/>
          <w:rFonts w:ascii="Calibri" w:hAnsi="Calibri"/>
        </w:rPr>
        <w:t xml:space="preserve">haiek kontabilizatzeko irizpideak</w:t>
      </w:r>
      <w:r>
        <w:rPr>
          <w:sz w:val="22"/>
          <w:i/>
          <w:color w:val="000000"/>
          <w:rFonts w:ascii="Calibri" w:hAnsi="Calibri"/>
        </w:rPr>
        <w:t xml:space="preserve">.</w:t>
      </w:r>
      <w:r>
        <w:rPr>
          <w:sz w:val="22"/>
          <w:i/>
          <w:color w:val="000000"/>
          <w:rFonts w:ascii="Calibri" w:hAnsi="Calibri"/>
        </w:rPr>
        <w:t xml:space="preserve"> </w:t>
      </w:r>
      <w:r>
        <w:rPr>
          <w:sz w:val="22"/>
          <w:i/>
          <w:color w:val="000000"/>
          <w:rFonts w:ascii="Calibri" w:hAnsi="Calibri"/>
        </w:rPr>
        <w:t xml:space="preserve">[KENDU] </w:t>
      </w:r>
      <w:r>
        <w:rPr>
          <w:sz w:val="22"/>
          <w:i/>
          <w:color w:val="70AD47"/>
          <w:u w:val="single" w:color="70AD47"/>
          <w:rFonts w:ascii="Calibri" w:hAnsi="Calibri"/>
        </w:rPr>
        <w:t xml:space="preserve">Kontu horri dagokionez, atentzioa ematen du</w:t>
      </w:r>
      <w:r>
        <w:rPr>
          <w:sz w:val="22"/>
          <w:i/>
          <w:color w:val="70AD47"/>
          <w:rFonts w:ascii="Calibri" w:hAnsi="Calibri"/>
        </w:rPr>
        <w:t xml:space="preserve"> </w:t>
      </w:r>
      <w:r>
        <w:rPr>
          <w:sz w:val="22"/>
          <w:i/>
          <w:color w:val="70AD47"/>
          <w:u w:val="single" w:color="70AD47"/>
          <w:rFonts w:ascii="Calibri" w:hAnsi="Calibri"/>
        </w:rPr>
        <w:t xml:space="preserve">oraindik ageri direla 22,51 milioiko mailegu berreskuragarriak, nahiz eta</w:t>
      </w:r>
      <w:r>
        <w:rPr>
          <w:sz w:val="22"/>
          <w:i/>
          <w:color w:val="70AD47"/>
          <w:rFonts w:ascii="Calibri" w:hAnsi="Calibri"/>
        </w:rPr>
        <w:t xml:space="preserve"> </w:t>
      </w:r>
      <w:r>
        <w:rPr>
          <w:sz w:val="22"/>
          <w:i/>
          <w:color w:val="70AD47"/>
          <w:u w:val="single" w:color="70AD47"/>
          <w:rFonts w:ascii="Calibri" w:hAnsi="Calibri"/>
        </w:rPr>
        <w:t xml:space="preserve">eskaeretan kobraezintzat jotzen ziren, eta ez dela</w:t>
      </w:r>
      <w:r>
        <w:rPr>
          <w:sz w:val="22"/>
          <w:i/>
          <w:color w:val="70AD47"/>
          <w:rFonts w:ascii="Calibri" w:hAnsi="Calibri"/>
        </w:rPr>
        <w:t xml:space="preserve"> </w:t>
      </w:r>
      <w:r>
        <w:rPr>
          <w:sz w:val="22"/>
          <w:i/>
          <w:color w:val="70AD47"/>
          <w:u w:val="single" w:color="70AD47"/>
          <w:rFonts w:ascii="Calibri" w:hAnsi="Calibri"/>
        </w:rPr>
        <w:t xml:space="preserve">bideragarritasun planik egin haiek itzultzeko, eta Parquenasak berak zer nolako</w:t>
      </w:r>
      <w:r>
        <w:rPr>
          <w:sz w:val="22"/>
          <w:i/>
          <w:color w:val="70AD47"/>
          <w:rFonts w:ascii="Calibri" w:hAnsi="Calibri"/>
        </w:rPr>
        <w:t xml:space="preserve"> </w:t>
      </w:r>
      <w:r>
        <w:rPr>
          <w:sz w:val="22"/>
          <w:i/>
          <w:color w:val="70AD47"/>
          <w:u w:val="single" w:color="70AD47"/>
          <w:rFonts w:ascii="Calibri" w:hAnsi="Calibri"/>
        </w:rPr>
        <w:t xml:space="preserve">finantza egoera duen</w:t>
      </w:r>
      <w:r>
        <w:rPr>
          <w:sz w:val="22"/>
          <w:color w:val="000000"/>
          <w:rFonts w:ascii="Calibri" w:hAnsi="Calibri"/>
        </w:rPr>
        <w:t xml:space="preserve">”.</w:t>
      </w:r>
      <w:r>
        <w:rPr>
          <w:sz w:val="22"/>
          <w:color w:val="000000"/>
          <w:rFonts w:ascii="Calibri" w:hAnsi="Calibri"/>
        </w:rPr>
        <w:t xml:space="preserve"> </w:t>
      </w:r>
    </w:p>
    <w:p w14:paraId="55A9CD4C" w14:textId="77777777" w:rsidR="005318CE" w:rsidRPr="005318CE" w:rsidRDefault="005318CE" w:rsidP="005318CE">
      <w:pPr>
        <w:spacing w:after="33"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6E35B985" w14:textId="77777777" w:rsidR="005318CE" w:rsidRPr="005318CE" w:rsidRDefault="005318CE" w:rsidP="005318CE">
      <w:pPr>
        <w:numPr>
          <w:ilvl w:val="0"/>
          <w:numId w:val="48"/>
        </w:numPr>
        <w:spacing w:after="0" w:line="287" w:lineRule="auto"/>
        <w:ind w:right="-12" w:hanging="360"/>
        <w:jc w:val="left"/>
        <w:rPr>
          <w:color w:val="000000"/>
          <w:kern w:val="2"/>
          <w:sz w:val="22"/>
          <w:szCs w:val="22"/>
          <w14:ligatures w14:val="standardContextual"/>
          <w:rFonts w:ascii="Calibri" w:eastAsia="Calibri" w:hAnsi="Calibri" w:cs="Calibri"/>
        </w:rPr>
      </w:pPr>
      <w:r>
        <w:rPr>
          <w:sz w:val="22"/>
          <w:color w:val="000000"/>
          <w:u w:val="single" w:color="000000"/>
          <w:rFonts w:ascii="Calibri" w:hAnsi="Calibri"/>
        </w:rPr>
        <w:t xml:space="preserve">28. orrialdean, a</w:t>
      </w:r>
      <w:r>
        <w:rPr>
          <w:sz w:val="22"/>
          <w:color w:val="000000"/>
          <w:rFonts w:ascii="Calibri" w:hAnsi="Calibri"/>
        </w:rPr>
        <w:t xml:space="preserve">) atalean, “a</w:t>
      </w:r>
      <w:r>
        <w:rPr>
          <w:sz w:val="22"/>
          <w:color w:val="000000"/>
          <w:i/>
          <w:rFonts w:ascii="Calibri" w:hAnsi="Calibri"/>
        </w:rPr>
        <w:t xml:space="preserve">) Mailegu narriatuak, guztira 55,78 milioi, Sodenak hutsegintzat jotzen dituenak urtero Nafarroako Gobernuari baimena eskatzen dionean maileguak emateko, [GEHITU] </w:t>
      </w:r>
      <w:r>
        <w:rPr>
          <w:sz w:val="22"/>
          <w:i/>
          <w:color w:val="4472C4"/>
          <w:u w:val="single" w:color="4472C4"/>
          <w:rFonts w:ascii="Calibri" w:hAnsi="Calibri"/>
        </w:rPr>
        <w:t xml:space="preserve">alde batera</w:t>
      </w:r>
      <w:r>
        <w:rPr>
          <w:sz w:val="22"/>
          <w:i/>
          <w:color w:val="4472C4"/>
          <w:rFonts w:ascii="Calibri" w:hAnsi="Calibri"/>
        </w:rPr>
        <w:t xml:space="preserve"> </w:t>
      </w:r>
      <w:r>
        <w:rPr>
          <w:sz w:val="22"/>
          <w:i/>
          <w:color w:val="4472C4"/>
          <w:u w:val="single" w:color="4472C4"/>
          <w:rFonts w:ascii="Calibri" w:hAnsi="Calibri"/>
        </w:rPr>
        <w:t xml:space="preserve">utzi gabe haiek kontabilizatzeko irizpideak</w:t>
      </w:r>
      <w:r>
        <w:rPr>
          <w:sz w:val="22"/>
          <w:i/>
          <w:color w:val="000000"/>
          <w:rFonts w:ascii="Calibri" w:hAnsi="Calibri"/>
        </w:rPr>
        <w:t xml:space="preserve">.</w:t>
      </w:r>
      <w:r>
        <w:rPr>
          <w:sz w:val="22"/>
          <w:i/>
          <w:color w:val="000000"/>
          <w:rFonts w:ascii="Calibri" w:hAnsi="Calibri"/>
        </w:rPr>
        <w:t xml:space="preserve"> </w:t>
      </w:r>
      <w:r>
        <w:rPr>
          <w:sz w:val="22"/>
          <w:i/>
          <w:color w:val="000000"/>
          <w:rFonts w:ascii="Calibri" w:hAnsi="Calibri"/>
        </w:rPr>
        <w:t xml:space="preserve">Urteko narriadura Parquenasaren urteko galeren bilakaeraren arabera zenbatesten eta kontabilizatzen da</w:t>
      </w:r>
      <w:r>
        <w:rPr>
          <w:sz w:val="22"/>
          <w:color w:val="000000"/>
          <w:rFonts w:ascii="Calibri" w:hAnsi="Calibri"/>
        </w:rPr>
        <w:t xml:space="preserve"> (…)”.</w:t>
      </w:r>
      <w:r>
        <w:rPr>
          <w:sz w:val="22"/>
          <w:color w:val="000000"/>
          <w:rFonts w:ascii="Calibri" w:hAnsi="Calibri"/>
        </w:rPr>
        <w:t xml:space="preserve"> </w:t>
      </w:r>
    </w:p>
    <w:p w14:paraId="1E1B0626" w14:textId="77777777" w:rsidR="005318CE" w:rsidRPr="005318CE" w:rsidRDefault="005318CE" w:rsidP="005318CE">
      <w:pPr>
        <w:spacing w:after="33"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0DC7A9C3" w14:textId="77777777" w:rsidR="005318CE" w:rsidRPr="005318CE" w:rsidRDefault="005318CE" w:rsidP="005318CE">
      <w:pPr>
        <w:numPr>
          <w:ilvl w:val="0"/>
          <w:numId w:val="48"/>
        </w:numPr>
        <w:spacing w:after="278" w:line="287" w:lineRule="auto"/>
        <w:ind w:right="-12" w:hanging="360"/>
        <w:jc w:val="left"/>
        <w:rPr>
          <w:color w:val="000000"/>
          <w:kern w:val="2"/>
          <w:sz w:val="22"/>
          <w:szCs w:val="22"/>
          <w14:ligatures w14:val="standardContextual"/>
          <w:rFonts w:ascii="Calibri" w:eastAsia="Calibri" w:hAnsi="Calibri" w:cs="Calibri"/>
        </w:rPr>
      </w:pPr>
      <w:r>
        <w:rPr>
          <w:sz w:val="22"/>
          <w:color w:val="000000"/>
          <w:u w:val="single" w:color="000000"/>
          <w:rFonts w:ascii="Calibri" w:hAnsi="Calibri"/>
        </w:rPr>
        <w:t xml:space="preserve">31. orrialdean, c) atalean, 1. paragrafoan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w:t>
      </w:r>
      <w:r>
        <w:rPr>
          <w:sz w:val="22"/>
          <w:color w:val="000000"/>
          <w:i/>
          <w:rFonts w:ascii="Calibri" w:hAnsi="Calibri"/>
        </w:rPr>
        <w:t xml:space="preserve">c) Gainerako 22,51 milioiak [KENDU] </w:t>
      </w:r>
      <w:r>
        <w:rPr>
          <w:sz w:val="22"/>
          <w:i/>
          <w:color w:val="70AD47"/>
          <w:u w:val="single" w:color="70AD47"/>
          <w:rFonts w:ascii="Calibri" w:hAnsi="Calibri"/>
        </w:rPr>
        <w:t xml:space="preserve">ez dira ageri</w:t>
      </w:r>
      <w:r>
        <w:rPr>
          <w:sz w:val="22"/>
          <w:i/>
          <w:color w:val="000000"/>
          <w:rFonts w:ascii="Calibri" w:hAnsi="Calibri"/>
        </w:rPr>
        <w:t xml:space="preserve"> Sodenaren urteko kontuetan ageri dira balorazioa zuzendu behar [GEHITU] </w:t>
      </w:r>
      <w:r>
        <w:rPr>
          <w:sz w:val="22"/>
          <w:i/>
          <w:color w:val="4472C4"/>
          <w:u w:val="single" w:color="4472C4"/>
          <w:rFonts w:ascii="Calibri" w:hAnsi="Calibri"/>
        </w:rPr>
        <w:t xml:space="preserve">ez</w:t>
      </w:r>
      <w:r>
        <w:rPr>
          <w:sz w:val="22"/>
          <w:i/>
          <w:color w:val="000000"/>
          <w:rFonts w:ascii="Calibri" w:hAnsi="Calibri"/>
        </w:rPr>
        <w:t xml:space="preserve"> zaien kreditutzat, [KENDU] </w:t>
      </w:r>
      <w:r>
        <w:rPr>
          <w:sz w:val="22"/>
          <w:i/>
          <w:color w:val="70AD47"/>
          <w:u w:val="single" w:color="70AD47"/>
          <w:rFonts w:ascii="Calibri" w:hAnsi="Calibri"/>
        </w:rPr>
        <w:t xml:space="preserve">hots, balio galerarik gabeko</w:t>
      </w:r>
      <w:r>
        <w:rPr>
          <w:sz w:val="22"/>
          <w:i/>
          <w:color w:val="70AD47"/>
          <w:rFonts w:ascii="Calibri" w:hAnsi="Calibri"/>
        </w:rPr>
        <w:t xml:space="preserve"> </w:t>
      </w:r>
      <w:r>
        <w:rPr>
          <w:sz w:val="22"/>
          <w:i/>
          <w:color w:val="70AD47"/>
          <w:u w:val="single" w:color="70AD47"/>
          <w:rFonts w:ascii="Calibri" w:hAnsi="Calibri"/>
        </w:rPr>
        <w:t xml:space="preserve">kreditutzat jotzen dira, eta horrek esan nahi du aintzat hartu behar direla</w:t>
      </w:r>
      <w:r>
        <w:rPr>
          <w:sz w:val="22"/>
          <w:i/>
          <w:color w:val="70AD47"/>
          <w:rFonts w:ascii="Calibri" w:hAnsi="Calibri"/>
        </w:rPr>
        <w:t xml:space="preserve">, </w:t>
      </w:r>
      <w:r>
        <w:rPr>
          <w:sz w:val="22"/>
          <w:i/>
          <w:color w:val="000000"/>
          <w:rFonts w:ascii="Calibri" w:hAnsi="Calibri"/>
        </w:rPr>
        <w:t xml:space="preserve">[GEHITU] </w:t>
      </w:r>
      <w:r>
        <w:rPr>
          <w:sz w:val="22"/>
          <w:i/>
          <w:color w:val="4472C4"/>
          <w:rFonts w:ascii="Calibri" w:hAnsi="Calibri"/>
        </w:rPr>
        <w:t xml:space="preserve"> </w:t>
      </w:r>
      <w:r>
        <w:rPr>
          <w:sz w:val="22"/>
          <w:i/>
          <w:color w:val="4472C4"/>
          <w:u w:val="single" w:color="4472C4"/>
          <w:rFonts w:ascii="Calibri" w:hAnsi="Calibri"/>
        </w:rPr>
        <w:t xml:space="preserve">albo batera utzita mailegu berreskuragarritzat jotzen diren ala ez</w:t>
      </w:r>
      <w:r>
        <w:rPr>
          <w:sz w:val="22"/>
          <w:i/>
          <w:color w:val="000000"/>
          <w:rFonts w:ascii="Calibri" w:hAnsi="Calibri"/>
        </w:rPr>
        <w:t xml:space="preserve"> </w:t>
      </w:r>
      <w:r>
        <w:rPr>
          <w:sz w:val="22"/>
          <w:color w:val="000000"/>
          <w:rFonts w:ascii="Calibri" w:hAnsi="Calibri"/>
        </w:rPr>
        <w:t xml:space="preserve">(…)”.</w:t>
      </w:r>
      <w:r>
        <w:rPr>
          <w:sz w:val="22"/>
          <w:color w:val="000000"/>
          <w:rFonts w:ascii="Calibri" w:hAnsi="Calibri"/>
        </w:rPr>
        <w:t xml:space="preserve">  </w:t>
      </w:r>
    </w:p>
    <w:p w14:paraId="3FC85C08" w14:textId="77777777" w:rsidR="005318CE" w:rsidRPr="005318CE" w:rsidRDefault="005318CE" w:rsidP="005318CE">
      <w:pPr>
        <w:spacing w:after="33" w:line="259" w:lineRule="auto"/>
        <w:ind w:left="72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047F6F9C" w14:textId="77777777" w:rsidR="005318CE" w:rsidRPr="005318CE" w:rsidRDefault="005318CE" w:rsidP="005318CE">
      <w:pPr>
        <w:numPr>
          <w:ilvl w:val="0"/>
          <w:numId w:val="48"/>
        </w:numPr>
        <w:spacing w:after="278" w:line="287" w:lineRule="auto"/>
        <w:ind w:right="-12" w:hanging="360"/>
        <w:jc w:val="left"/>
        <w:rPr>
          <w:color w:val="000000"/>
          <w:kern w:val="2"/>
          <w:sz w:val="22"/>
          <w:szCs w:val="22"/>
          <w14:ligatures w14:val="standardContextual"/>
          <w:rFonts w:ascii="Calibri" w:eastAsia="Calibri" w:hAnsi="Calibri" w:cs="Calibri"/>
        </w:rPr>
      </w:pPr>
      <w:r>
        <w:rPr>
          <w:sz w:val="22"/>
          <w:color w:val="000000"/>
          <w:rFonts w:ascii="Calibri" w:hAnsi="Calibri"/>
        </w:rPr>
        <w:t xml:space="preserve">Eta </w:t>
      </w:r>
      <w:r>
        <w:rPr>
          <w:sz w:val="22"/>
          <w:color w:val="000000"/>
          <w:u w:val="single" w:color="000000"/>
          <w:rFonts w:ascii="Calibri" w:hAnsi="Calibri"/>
        </w:rPr>
        <w:t xml:space="preserve">31. orrialdean bertan, c) atalean, 3. paragrafoan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 </w:t>
      </w:r>
      <w:r>
        <w:rPr>
          <w:sz w:val="22"/>
          <w:color w:val="000000"/>
          <w:i/>
          <w:rFonts w:ascii="Calibri" w:hAnsi="Calibri"/>
        </w:rPr>
        <w:t xml:space="preserve">Urtero Nafarroako Gobernuari baimena eskatzen dionean maileguak emateko, Sodenak osorik huts egindako mailegutzat jotzen ditu</w:t>
      </w:r>
      <w:r>
        <w:rPr>
          <w:sz w:val="22"/>
          <w:color w:val="4472C4"/>
          <w:u w:val="single" w:color="4472C4"/>
          <w:rFonts w:ascii="Calibri" w:hAnsi="Calibri"/>
        </w:rPr>
        <w:t xml:space="preserve">, </w:t>
      </w:r>
      <w:r>
        <w:rPr>
          <w:sz w:val="22"/>
          <w:i/>
          <w:color w:val="000000"/>
          <w:rFonts w:ascii="Calibri" w:hAnsi="Calibri"/>
        </w:rPr>
        <w:t xml:space="preserve">[GEHITU] </w:t>
      </w:r>
      <w:r>
        <w:rPr>
          <w:sz w:val="22"/>
          <w:i/>
          <w:color w:val="4472C4"/>
          <w:u w:val="single" w:color="4472C4"/>
          <w:rFonts w:ascii="Calibri" w:hAnsi="Calibri"/>
        </w:rPr>
        <w:t xml:space="preserve">albora utzi gabe haiek kontabilizatzeko</w:t>
      </w:r>
      <w:r>
        <w:rPr>
          <w:sz w:val="22"/>
          <w:i/>
          <w:color w:val="4472C4"/>
          <w:rFonts w:ascii="Calibri" w:hAnsi="Calibri"/>
        </w:rPr>
        <w:t xml:space="preserve"> </w:t>
      </w:r>
      <w:r>
        <w:rPr>
          <w:sz w:val="22"/>
          <w:i/>
          <w:color w:val="4472C4"/>
          <w:u w:val="single" w:color="4472C4"/>
          <w:rFonts w:ascii="Calibri" w:hAnsi="Calibri"/>
        </w:rPr>
        <w:t xml:space="preserve">irizpideak;</w:t>
      </w:r>
      <w:r>
        <w:rPr>
          <w:sz w:val="22"/>
          <w:i/>
          <w:color w:val="4472C4"/>
          <w:rFonts w:ascii="Calibri" w:hAnsi="Calibri"/>
        </w:rPr>
        <w:t xml:space="preserve"> </w:t>
      </w:r>
      <w:r>
        <w:rPr>
          <w:sz w:val="22"/>
          <w:i/>
          <w:color w:val="000000"/>
          <w:rFonts w:ascii="Calibri" w:hAnsi="Calibri"/>
        </w:rPr>
        <w:t xml:space="preserve">[KENDU] </w:t>
      </w:r>
      <w:r>
        <w:rPr>
          <w:sz w:val="22"/>
          <w:i/>
          <w:color w:val="70AD47"/>
          <w:u w:val="single" w:color="70AD47"/>
          <w:rFonts w:ascii="Calibri" w:hAnsi="Calibri"/>
        </w:rPr>
        <w:t xml:space="preserve">hori ez da kontuan hartu parteidetzazkotzat jo ez diren kredituen balioa</w:t>
      </w:r>
      <w:r>
        <w:rPr>
          <w:sz w:val="22"/>
          <w:i/>
          <w:color w:val="70AD47"/>
          <w:rFonts w:ascii="Calibri" w:hAnsi="Calibri"/>
        </w:rPr>
        <w:t xml:space="preserve"> </w:t>
      </w:r>
      <w:r>
        <w:rPr>
          <w:sz w:val="22"/>
          <w:i/>
          <w:color w:val="70AD47"/>
          <w:u w:val="single" w:color="70AD47"/>
          <w:rFonts w:ascii="Calibri" w:hAnsi="Calibri"/>
        </w:rPr>
        <w:t xml:space="preserve">zenbatestean, kontabilitateko ekitaldiaren</w:t>
      </w:r>
      <w:r>
        <w:rPr>
          <w:sz w:val="22"/>
          <w:i/>
          <w:color w:val="70AD47"/>
          <w:rFonts w:ascii="Calibri" w:hAnsi="Calibri"/>
        </w:rPr>
        <w:t xml:space="preserve"> </w:t>
      </w:r>
      <w:r>
        <w:rPr>
          <w:sz w:val="22"/>
          <w:i/>
          <w:color w:val="70AD47"/>
          <w:u w:val="single" w:color="70AD47"/>
          <w:rFonts w:ascii="Calibri" w:hAnsi="Calibri"/>
        </w:rPr>
        <w:t xml:space="preserve">itxieran</w:t>
      </w:r>
      <w:r>
        <w:rPr>
          <w:sz w:val="22"/>
          <w:color w:val="000000"/>
          <w:rFonts w:ascii="Calibri" w:hAnsi="Calibri"/>
        </w:rPr>
        <w:t xml:space="preserve">”.</w:t>
      </w:r>
      <w:r>
        <w:rPr>
          <w:sz w:val="22"/>
          <w:color w:val="000000"/>
          <w:rFonts w:ascii="Calibri" w:hAnsi="Calibri"/>
        </w:rPr>
        <w:t xml:space="preserve">  </w:t>
      </w:r>
    </w:p>
    <w:p w14:paraId="27E958D7" w14:textId="77777777" w:rsidR="005318CE" w:rsidRPr="005318CE" w:rsidRDefault="005318CE" w:rsidP="005318CE">
      <w:pPr>
        <w:keepNext/>
        <w:keepLines/>
        <w:spacing w:after="278" w:line="259" w:lineRule="auto"/>
        <w:ind w:left="-4" w:hanging="10"/>
        <w:jc w:val="left"/>
        <w:outlineLvl w:val="1"/>
        <w:rPr>
          <w:b/>
          <w:color w:val="000000"/>
          <w:kern w:val="2"/>
          <w:sz w:val="22"/>
          <w:szCs w:val="22"/>
          <w14:ligatures w14:val="standardContextual"/>
          <w:rFonts w:ascii="Calibri" w:eastAsia="Calibri" w:hAnsi="Calibri" w:cs="Calibri"/>
        </w:rPr>
      </w:pPr>
      <w:r>
        <w:rPr>
          <w:b/>
          <w:color w:val="000000"/>
          <w:sz w:val="22"/>
          <w:u w:val="single" w:color="000000"/>
          <w:rFonts w:ascii="Calibri" w:hAnsi="Calibri"/>
        </w:rPr>
        <w:t xml:space="preserve">BIGARRENA</w:t>
      </w:r>
      <w:r>
        <w:rPr>
          <w:b/>
          <w:color w:val="000000"/>
          <w:sz w:val="22"/>
          <w:rFonts w:ascii="Calibri" w:hAnsi="Calibri"/>
        </w:rPr>
        <w:t xml:space="preserve">.- MAILEGUAK</w:t>
      </w:r>
      <w:r>
        <w:rPr>
          <w:b/>
          <w:color w:val="000000"/>
          <w:sz w:val="22"/>
          <w:rFonts w:ascii="Calibri" w:hAnsi="Calibri"/>
        </w:rPr>
        <w:t xml:space="preserve">    </w:t>
      </w:r>
    </w:p>
    <w:p w14:paraId="3E01E72E"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Behin-behineko txostenean hainbat aldiz aipatzen dira Sodenak Parquenasari emandako partaidetza-maileguak (geroago aipamen horietaz arituko gara), eta hau adierazten da:</w:t>
      </w:r>
      <w:r>
        <w:rPr>
          <w:color w:val="000000"/>
          <w:sz w:val="22"/>
          <w:rFonts w:ascii="Calibri" w:hAnsi="Calibri"/>
        </w:rPr>
        <w:t xml:space="preserve"> </w:t>
      </w:r>
      <w:r>
        <w:rPr>
          <w:color w:val="000000"/>
          <w:sz w:val="22"/>
          <w:rFonts w:ascii="Calibri" w:hAnsi="Calibri"/>
        </w:rPr>
        <w:t xml:space="preserve">(i) alde batetik, mailegu horiek zenbait “kontabilitate-ondorio” ahalbidetu dituztela Sozietatean, aplikatzekoa zaien araudi berariazkoarekin bat; eta (ii) bestetik, haien iraunaldiari buruzko iruzkinak.</w:t>
      </w:r>
      <w:r>
        <w:rPr>
          <w:color w:val="000000"/>
          <w:sz w:val="22"/>
          <w:rFonts w:ascii="Calibri" w:hAnsi="Calibri"/>
        </w:rPr>
        <w:t xml:space="preserve">  </w:t>
      </w:r>
    </w:p>
    <w:p w14:paraId="6A0E9697"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2.1.-</w:t>
      </w:r>
      <w:r>
        <w:rPr>
          <w:color w:val="000000"/>
          <w:sz w:val="22"/>
          <w:rFonts w:ascii="Calibri" w:hAnsi="Calibri"/>
        </w:rPr>
        <w:t xml:space="preserve"> Lehenengo gaia dela-eta, Jarduera ekonomikoa sustatu eta liberalizatzeko presako neurriei buruzko uztailaren 7ko 7/1996 Errege Lege-dekretuaren 20.d) artikuluari jarraikiz, esan behar da partaidetza-maileguak ondare garbitzat jotzen direla </w:t>
      </w:r>
      <w:r>
        <w:rPr>
          <w:color w:val="000000"/>
          <w:sz w:val="22"/>
          <w:u w:val="single" w:color="000000"/>
          <w:rFonts w:ascii="Calibri" w:hAnsi="Calibri"/>
        </w:rPr>
        <w:t xml:space="preserve">merkataritza legeriak</w:t>
      </w:r>
      <w:r>
        <w:rPr>
          <w:color w:val="000000"/>
          <w:sz w:val="22"/>
          <w:rFonts w:ascii="Calibri" w:hAnsi="Calibri"/>
        </w:rPr>
        <w:t xml:space="preserve"> aurreikusten dituen sozietateen kapital-murrizketei eta likidazioei dagokienez (bereziki halakotzat jotzen dira Kapital Sozietateei buruzko Legearen testu bategina onesten duen uztailaren 2ko 1/2010 Legegintzako Errege Dekretuaren 363. artikuluan).</w:t>
      </w:r>
      <w:r>
        <w:rPr>
          <w:color w:val="000000"/>
          <w:sz w:val="22"/>
          <w:rFonts w:ascii="Calibri" w:hAnsi="Calibri"/>
        </w:rPr>
        <w:t xml:space="preserve">  </w:t>
      </w:r>
    </w:p>
    <w:p w14:paraId="4CB4189D"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Alegia, partaidetza-maileguen ondorioak ez dira kontabilitatekoak (hain zuzen ere, ez dute eraginik kontabilitatean), merkataritzako ondorio hutsak baizik. Sozietateek legezko desegite-arrazoietan erortzea saihesten dute haien bitartez.</w:t>
      </w:r>
      <w:r>
        <w:rPr>
          <w:color w:val="000000"/>
          <w:sz w:val="22"/>
          <w:rFonts w:ascii="Calibri" w:hAnsi="Calibri"/>
        </w:rPr>
        <w:t xml:space="preserve"> </w:t>
      </w:r>
      <w:r>
        <w:rPr>
          <w:color w:val="000000"/>
          <w:sz w:val="22"/>
          <w:rFonts w:ascii="Calibri" w:hAnsi="Calibri"/>
        </w:rPr>
        <w:t xml:space="preserve">Hala aitortu du Auzitegi Gorenak berak [guztien eredu, 2021eko martxoaren 30eko 1255. zenbakiko epaia (ECLI:ES:TS:2021:1255)].</w:t>
      </w:r>
      <w:r>
        <w:rPr>
          <w:color w:val="000000"/>
          <w:sz w:val="22"/>
          <w:rFonts w:ascii="Calibri" w:hAnsi="Calibri"/>
        </w:rPr>
        <w:t xml:space="preserve">  </w:t>
      </w:r>
    </w:p>
    <w:p w14:paraId="34211F3E" w14:textId="69E83EEE"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Horregatik iradokitzen da, alegazio honetan honaino azaldutako guztia aintzat hartuz, gero emanen den behin betiko txostenean, behean zerrendatzen diren orrialdeetan, “kontabilitate-ondorioetarako” dioen lekuetan “merkataritza-ondorioetarako” jartzea, paragrafoak osatuz eta/edo aldatuz.</w:t>
      </w:r>
      <w:r>
        <w:rPr>
          <w:color w:val="000000"/>
          <w:sz w:val="22"/>
          <w:rFonts w:ascii="Calibri" w:hAnsi="Calibri"/>
        </w:rPr>
        <w:t xml:space="preserve"> </w:t>
      </w:r>
      <w:r>
        <w:rPr>
          <w:color w:val="000000"/>
          <w:sz w:val="22"/>
          <w:rFonts w:ascii="Calibri" w:hAnsi="Calibri"/>
        </w:rPr>
        <w:t xml:space="preserve">Zehazki: 8. orrialdeko 2. paragrafoan, 22. orrialdeko 2. paragrafoan, 29. orrialdeko 2. paragrafoan eta 30. orrialdeko 2. paragrafoan.</w:t>
      </w:r>
      <w:r>
        <w:rPr>
          <w:color w:val="000000"/>
          <w:sz w:val="22"/>
          <w:rFonts w:ascii="Calibri" w:hAnsi="Calibri"/>
        </w:rPr>
        <w:t xml:space="preserve"> </w:t>
      </w:r>
    </w:p>
    <w:p w14:paraId="75B8700D"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2.2.</w:t>
      </w:r>
      <w:r>
        <w:rPr>
          <w:color w:val="000000"/>
          <w:sz w:val="22"/>
          <w:rFonts w:ascii="Calibri" w:hAnsi="Calibri"/>
        </w:rPr>
        <w:t xml:space="preserve">- Partaidetza-maileguen iraunaldiari dagokionez, adierazi behar dugu mailegu horiek berariaz arautzen dituzten arauetan ez dela ageri maileguok iraunaldi jakina izan behar dutenik.</w:t>
      </w:r>
      <w:r>
        <w:rPr>
          <w:color w:val="000000"/>
          <w:sz w:val="22"/>
          <w:rFonts w:ascii="Calibri" w:hAnsi="Calibri"/>
        </w:rPr>
        <w:t xml:space="preserve"> </w:t>
      </w:r>
      <w:r>
        <w:rPr>
          <w:color w:val="000000"/>
          <w:sz w:val="22"/>
          <w:rFonts w:ascii="Calibri" w:hAnsi="Calibri"/>
        </w:rPr>
        <w:t xml:space="preserve">Izan ere, ohikoa da partaidetza-maileguak epe luzeko finantzaketa tresna gisa erabiltzea alderdi mailegu-emailearen konpromisoaren arabera.</w:t>
      </w:r>
      <w:r>
        <w:rPr>
          <w:color w:val="000000"/>
          <w:sz w:val="22"/>
          <w:rFonts w:ascii="Calibri" w:hAnsi="Calibri"/>
        </w:rPr>
        <w:t xml:space="preserve">  </w:t>
      </w:r>
    </w:p>
    <w:p w14:paraId="3FAF9D75" w14:textId="77777777" w:rsidR="005318CE" w:rsidRPr="005318CE" w:rsidRDefault="005318CE" w:rsidP="005318CE">
      <w:pPr>
        <w:spacing w:after="0" w:line="259" w:lineRule="auto"/>
        <w:ind w:left="1" w:firstLine="0"/>
        <w:jc w:val="left"/>
        <w:rPr>
          <w:color w:val="000000"/>
          <w:kern w:val="2"/>
          <w:sz w:val="22"/>
          <w:szCs w:val="22"/>
          <w14:ligatures w14:val="standardContextual"/>
          <w:rFonts w:ascii="Calibri" w:eastAsia="Calibri" w:hAnsi="Calibri" w:cs="Calibri"/>
        </w:rPr>
      </w:pPr>
      <w:r>
        <w:rPr>
          <w:color w:val="000000"/>
          <w:sz w:val="22"/>
          <w:rFonts w:ascii="Calibri" w:hAnsi="Calibri"/>
        </w:rPr>
        <w:t xml:space="preserve"> </w:t>
      </w:r>
    </w:p>
    <w:p w14:paraId="4F38595C"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Ez 7/1996 Errege Lege-dekretuak ez Auzitegi Gorenaren jurisprudentziak ez dute biderik ematen pentsatzeko partaidetza-maileguen bereizgarri bat denik behin-behineko txostenean haien epe jakinari buruz esandakoa. </w:t>
      </w:r>
      <w:r>
        <w:rPr>
          <w:color w:val="000000"/>
          <w:sz w:val="22"/>
          <w:rFonts w:ascii="Calibri" w:hAnsi="Calibri"/>
        </w:rPr>
        <w:t xml:space="preserve">   </w:t>
      </w:r>
    </w:p>
    <w:p w14:paraId="3FC8FFAE"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Beste alde batetik, partaidetza-maileguak aldian behin berritzeak (kasu honetan urtero, gehigarrien bitartez), hain zuzen ere esan nahi du badituztela epeak eta ez direla mugagabeak.</w:t>
      </w:r>
      <w:r>
        <w:rPr>
          <w:color w:val="000000"/>
          <w:sz w:val="22"/>
          <w:rFonts w:ascii="Calibri" w:hAnsi="Calibri"/>
        </w:rPr>
        <w:t xml:space="preserve"> </w:t>
      </w:r>
      <w:r>
        <w:rPr>
          <w:color w:val="000000"/>
          <w:sz w:val="22"/>
          <w:rFonts w:ascii="Calibri" w:hAnsi="Calibri"/>
        </w:rPr>
        <w:t xml:space="preserve">Horregatik, alegazio honetan honaino azaldutakoa aintzat hartuz, gero emanen den behin betiko txostenean maileguen epe mugagabeari buruzko aipamenak ken daitezela iradokitzen da, eta hurrengo paragrafoak osa eta/edo alda daitezela. </w:t>
      </w:r>
      <w:r>
        <w:rPr>
          <w:color w:val="000000"/>
          <w:sz w:val="22"/>
          <w:rFonts w:ascii="Calibri" w:hAnsi="Calibri"/>
        </w:rPr>
        <w:t xml:space="preserve"> </w:t>
      </w:r>
      <w:r>
        <w:rPr>
          <w:color w:val="000000"/>
          <w:sz w:val="22"/>
          <w:rFonts w:ascii="Calibri" w:hAnsi="Calibri"/>
        </w:rPr>
        <w:t xml:space="preserve">Zehazki:</w:t>
      </w:r>
      <w:r>
        <w:rPr>
          <w:color w:val="000000"/>
          <w:sz w:val="22"/>
          <w:rFonts w:ascii="Calibri" w:hAnsi="Calibri"/>
        </w:rPr>
        <w:t xml:space="preserve">  </w:t>
      </w:r>
    </w:p>
    <w:p w14:paraId="1D058736" w14:textId="77777777" w:rsidR="005318CE" w:rsidRPr="005318CE" w:rsidRDefault="005318CE" w:rsidP="005318CE">
      <w:pPr>
        <w:numPr>
          <w:ilvl w:val="0"/>
          <w:numId w:val="49"/>
        </w:numPr>
        <w:spacing w:after="278" w:line="287" w:lineRule="auto"/>
        <w:ind w:left="704" w:right="-12" w:hanging="10"/>
        <w:jc w:val="left"/>
        <w:rPr>
          <w:color w:val="000000"/>
          <w:kern w:val="2"/>
          <w:sz w:val="22"/>
          <w:szCs w:val="22"/>
          <w14:ligatures w14:val="standardContextual"/>
          <w:rFonts w:ascii="Calibri" w:eastAsia="Calibri" w:hAnsi="Calibri" w:cs="Calibri"/>
        </w:rPr>
      </w:pPr>
      <w:r>
        <w:rPr>
          <w:sz w:val="22"/>
          <w:color w:val="000000"/>
          <w:u w:val="single" w:color="000000"/>
          <w:rFonts w:ascii="Calibri" w:hAnsi="Calibri"/>
        </w:rPr>
        <w:t xml:space="preserve">8. orrialdean, 2. paragrafoan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w:t>
      </w:r>
      <w:r>
        <w:rPr>
          <w:sz w:val="22"/>
          <w:color w:val="000000"/>
          <w:i/>
          <w:rFonts w:ascii="Calibri" w:hAnsi="Calibri"/>
        </w:rPr>
        <w:t xml:space="preserve">Kontuan izan behar da partaidetza-maileguei buruzko merkataritza araudi horretan haiek ondare garbitzat konputatzean enpresei aukera eman nahi zaiela nahitaezko desegitea atzeratzeko eta suspertu ahal izateko</w:t>
      </w:r>
      <w:r>
        <w:rPr>
          <w:sz w:val="22"/>
          <w:color w:val="000000"/>
          <w:rFonts w:ascii="Calibri" w:hAnsi="Calibri"/>
        </w:rPr>
        <w:t xml:space="preserve">, [</w:t>
      </w:r>
      <w:r>
        <w:rPr>
          <w:sz w:val="22"/>
          <w:color w:val="000000"/>
          <w:i/>
          <w:rFonts w:ascii="Calibri" w:hAnsi="Calibri"/>
        </w:rPr>
        <w:t xml:space="preserve">KENDU</w:t>
      </w:r>
      <w:r>
        <w:rPr>
          <w:sz w:val="22"/>
          <w:color w:val="000000"/>
          <w:rFonts w:ascii="Calibri" w:hAnsi="Calibri"/>
        </w:rPr>
        <w:t xml:space="preserve">] </w:t>
      </w:r>
      <w:r>
        <w:rPr>
          <w:sz w:val="22"/>
          <w:i/>
          <w:color w:val="70AD47"/>
          <w:u w:val="single" w:color="70AD47"/>
          <w:rFonts w:ascii="Calibri" w:hAnsi="Calibri"/>
        </w:rPr>
        <w:t xml:space="preserve">baina ez egoera hori mugarik gabe</w:t>
      </w:r>
      <w:r>
        <w:rPr>
          <w:sz w:val="22"/>
          <w:i/>
          <w:color w:val="70AD47"/>
          <w:rFonts w:ascii="Calibri" w:hAnsi="Calibri"/>
        </w:rPr>
        <w:t xml:space="preserve"> </w:t>
      </w:r>
      <w:r>
        <w:rPr>
          <w:sz w:val="22"/>
          <w:i/>
          <w:color w:val="70AD47"/>
          <w:u w:val="single" w:color="70AD47"/>
          <w:rFonts w:ascii="Calibri" w:hAnsi="Calibri"/>
        </w:rPr>
        <w:t xml:space="preserve">luzatzeko</w:t>
      </w:r>
      <w:r>
        <w:rPr>
          <w:sz w:val="22"/>
          <w:i/>
          <w:strike/>
          <w:color w:val="4472C4"/>
          <w:rFonts w:ascii="Calibri" w:hAnsi="Calibri"/>
        </w:rPr>
        <w:t xml:space="preserve">.</w:t>
      </w:r>
      <w:r>
        <w:rPr>
          <w:sz w:val="22"/>
          <w:i/>
          <w:strike/>
          <w:color w:val="4472C4"/>
          <w:rFonts w:ascii="Calibri" w:hAnsi="Calibri"/>
        </w:rPr>
        <w:t xml:space="preserve"> </w:t>
      </w:r>
      <w:r>
        <w:rPr>
          <w:sz w:val="22"/>
          <w:i/>
          <w:color w:val="000000"/>
          <w:rFonts w:ascii="Calibri" w:hAnsi="Calibri"/>
        </w:rPr>
        <w:t xml:space="preserve">Parquenasak 18 urte daramatza egoera horretan”.</w:t>
      </w:r>
      <w:r>
        <w:rPr>
          <w:sz w:val="22"/>
          <w:i/>
          <w:color w:val="4472C4"/>
          <w:rFonts w:ascii="Calibri" w:hAnsi="Calibri"/>
        </w:rPr>
        <w:t xml:space="preserve"> </w:t>
      </w:r>
    </w:p>
    <w:p w14:paraId="7820E3A7" w14:textId="77777777" w:rsidR="005318CE" w:rsidRPr="005318CE" w:rsidRDefault="005318CE" w:rsidP="005318CE">
      <w:pPr>
        <w:numPr>
          <w:ilvl w:val="0"/>
          <w:numId w:val="49"/>
        </w:numPr>
        <w:spacing w:after="278" w:line="287" w:lineRule="auto"/>
        <w:ind w:left="704" w:right="-12" w:hanging="10"/>
        <w:jc w:val="left"/>
        <w:rPr>
          <w:color w:val="000000"/>
          <w:kern w:val="2"/>
          <w:sz w:val="22"/>
          <w:szCs w:val="22"/>
          <w14:ligatures w14:val="standardContextual"/>
          <w:rFonts w:ascii="Calibri" w:eastAsia="Calibri" w:hAnsi="Calibri" w:cs="Calibri"/>
        </w:rPr>
      </w:pPr>
      <w:r>
        <w:rPr>
          <w:sz w:val="22"/>
          <w:color w:val="000000"/>
          <w:rFonts w:ascii="Calibri" w:hAnsi="Calibri"/>
        </w:rPr>
        <w:t xml:space="preserve">Eta </w:t>
      </w:r>
      <w:r>
        <w:rPr>
          <w:sz w:val="22"/>
          <w:color w:val="000000"/>
          <w:u w:val="single" w:color="000000"/>
          <w:rFonts w:ascii="Calibri" w:hAnsi="Calibri"/>
        </w:rPr>
        <w:t xml:space="preserve">30. orrialdean, 3. paragrafoan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 </w:t>
      </w:r>
      <w:r>
        <w:rPr>
          <w:sz w:val="22"/>
          <w:color w:val="000000"/>
          <w:i/>
          <w:rFonts w:ascii="Calibri" w:hAnsi="Calibri"/>
        </w:rPr>
        <w:t xml:space="preserve">Kontuan izan behar da, ordea, partaidetza-maileguei buruzko merkataritza araudian haiek ondare garbitzat konputatzean enpresei aukera eman nahi zaiela desegitea atzeratzeko eta suspertu ahal izateko, </w:t>
      </w:r>
      <w:r>
        <w:rPr>
          <w:sz w:val="22"/>
          <w:color w:val="000000"/>
          <w:strike/>
          <w:rFonts w:ascii="Calibri" w:hAnsi="Calibri"/>
        </w:rPr>
        <w:t xml:space="preserve">[</w:t>
      </w:r>
      <w:r>
        <w:rPr>
          <w:sz w:val="22"/>
          <w:color w:val="000000"/>
          <w:i/>
          <w:rFonts w:ascii="Calibri" w:hAnsi="Calibri"/>
        </w:rPr>
        <w:t xml:space="preserve">KENDU</w:t>
      </w:r>
      <w:r>
        <w:rPr>
          <w:sz w:val="22"/>
          <w:color w:val="000000"/>
          <w:rFonts w:ascii="Calibri" w:hAnsi="Calibri"/>
        </w:rPr>
        <w:t xml:space="preserve">] </w:t>
      </w:r>
      <w:r>
        <w:rPr>
          <w:sz w:val="22"/>
          <w:i/>
          <w:color w:val="70AD47"/>
          <w:u w:val="single" w:color="70AD47"/>
          <w:rFonts w:ascii="Calibri" w:hAnsi="Calibri"/>
        </w:rPr>
        <w:t xml:space="preserve">baina ez egoera hori</w:t>
      </w:r>
      <w:r>
        <w:rPr>
          <w:sz w:val="22"/>
          <w:i/>
          <w:color w:val="70AD47"/>
          <w:rFonts w:ascii="Calibri" w:hAnsi="Calibri"/>
        </w:rPr>
        <w:t xml:space="preserve"> </w:t>
      </w:r>
      <w:r>
        <w:rPr>
          <w:sz w:val="22"/>
          <w:i/>
          <w:color w:val="70AD47"/>
          <w:u w:val="single" w:color="70AD47"/>
          <w:rFonts w:ascii="Calibri" w:hAnsi="Calibri"/>
        </w:rPr>
        <w:t xml:space="preserve">mugarik gabe luzatzeko</w:t>
      </w:r>
      <w:r>
        <w:rPr>
          <w:sz w:val="22"/>
          <w:i/>
          <w:color w:val="000000"/>
          <w:rFonts w:ascii="Calibri" w:hAnsi="Calibri"/>
        </w:rPr>
        <w:t xml:space="preserve">.</w:t>
      </w:r>
      <w:r>
        <w:rPr>
          <w:sz w:val="22"/>
          <w:i/>
          <w:color w:val="000000"/>
          <w:rFonts w:ascii="Calibri" w:hAnsi="Calibri"/>
        </w:rPr>
        <w:t xml:space="preserve"> </w:t>
      </w:r>
      <w:r>
        <w:rPr>
          <w:sz w:val="22"/>
          <w:i/>
          <w:color w:val="000000"/>
          <w:rFonts w:ascii="Calibri" w:hAnsi="Calibri"/>
        </w:rPr>
        <w:t xml:space="preserve">Parquenasak 18 urte daramatza egoera horretan</w:t>
      </w:r>
      <w:r>
        <w:rPr>
          <w:sz w:val="22"/>
          <w:color w:val="000000"/>
          <w:rFonts w:ascii="Calibri" w:hAnsi="Calibri"/>
        </w:rPr>
        <w:t xml:space="preserve">”.</w:t>
      </w:r>
      <w:r>
        <w:rPr>
          <w:sz w:val="22"/>
          <w:color w:val="000000"/>
          <w:rFonts w:ascii="Calibri" w:hAnsi="Calibri"/>
        </w:rPr>
        <w:t xml:space="preserve"> </w:t>
      </w:r>
    </w:p>
    <w:p w14:paraId="20CA70FC" w14:textId="77777777" w:rsidR="005318CE" w:rsidRPr="005318CE" w:rsidRDefault="005318CE" w:rsidP="005318CE">
      <w:pPr>
        <w:spacing w:after="278" w:line="287" w:lineRule="auto"/>
        <w:ind w:left="11" w:right="-12" w:hanging="10"/>
        <w:rPr>
          <w:color w:val="000000"/>
          <w:kern w:val="2"/>
          <w:sz w:val="22"/>
          <w:szCs w:val="22"/>
          <w14:ligatures w14:val="standardContextual"/>
          <w:rFonts w:ascii="Calibri" w:eastAsia="Calibri" w:hAnsi="Calibri" w:cs="Calibri"/>
        </w:rPr>
      </w:pPr>
      <w:r>
        <w:rPr>
          <w:color w:val="000000"/>
          <w:sz w:val="22"/>
          <w:b/>
          <w:rFonts w:ascii="Calibri" w:hAnsi="Calibri"/>
        </w:rPr>
        <w:t xml:space="preserve">2.3.-</w:t>
      </w:r>
      <w:r>
        <w:rPr>
          <w:color w:val="000000"/>
          <w:sz w:val="22"/>
          <w:rFonts w:ascii="Calibri" w:hAnsi="Calibri"/>
        </w:rPr>
        <w:t xml:space="preserve"> Oro har, mailegu guztiei dagokienez, behin-behineko txostenak (2.2.1 gehigarria, 15. orrialdea) aitortzen du Sodenak egindako inbertsioak Nafarroako Gobernuaren ekintza estrategiko bati erantzuten diola, honako hau adieraziz:</w:t>
      </w:r>
      <w:r>
        <w:rPr>
          <w:color w:val="000000"/>
          <w:sz w:val="22"/>
          <w:rFonts w:ascii="Calibri" w:hAnsi="Calibri"/>
        </w:rPr>
        <w:t xml:space="preserve"> </w:t>
      </w:r>
      <w:r>
        <w:rPr>
          <w:color w:val="000000"/>
          <w:sz w:val="22"/>
          <w:rFonts w:ascii="Calibri" w:hAnsi="Calibri"/>
        </w:rPr>
        <w:t xml:space="preserve">“</w:t>
      </w:r>
      <w:r>
        <w:rPr>
          <w:color w:val="000000"/>
          <w:sz w:val="22"/>
          <w:i/>
          <w:rFonts w:ascii="Calibri" w:hAnsi="Calibri"/>
        </w:rPr>
        <w:t xml:space="preserve">Arguedasko udalerrian naturaren parke bat (Sendaviva) egiteko proiektua Nafarroako Gobernuak hasi eta sustatu zuen, Nafarroako turismo sektorea indartze aldera</w:t>
      </w:r>
      <w:r>
        <w:rPr>
          <w:color w:val="000000"/>
          <w:sz w:val="22"/>
          <w:rFonts w:ascii="Calibri" w:hAnsi="Calibri"/>
        </w:rPr>
        <w:t xml:space="preserve">”.</w:t>
      </w:r>
      <w:r>
        <w:rPr>
          <w:color w:val="000000"/>
          <w:sz w:val="22"/>
          <w:rFonts w:ascii="Calibri" w:hAnsi="Calibri"/>
        </w:rPr>
        <w:t xml:space="preserve">  </w:t>
      </w:r>
    </w:p>
    <w:p w14:paraId="115D3C01"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Beraz, Sodena Nafarroako Gobernuaren bitartekoa izan da parke hori sustatzeko eta bultzatzeko. Gaur egun Nafarroan finkatuta dagoen turismo eta aisia eskaintza bat da parke hori. Urteetan zehar eragin sozioekonomiko garrantzitsua izan du, hazten joan da eta Parquenasari emandako laguntza finantzarioa justifikatu du.</w:t>
      </w:r>
      <w:r>
        <w:rPr>
          <w:color w:val="000000"/>
          <w:sz w:val="22"/>
          <w:rFonts w:ascii="Calibri" w:hAnsi="Calibri"/>
        </w:rPr>
        <w:t xml:space="preserve">  </w:t>
      </w:r>
    </w:p>
    <w:p w14:paraId="40D3BEA4"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Horri dagokionez, nabarmendu beharra dago aisia eta turismo sektoreetan espezializatutako aholkularitza enpresa batzuek urtero ematen dituztela eragin sozioekonomikoari buruzko txostenak, aldian behin ebaluatzen eta kuantifikatzen dutela Sendavivak Nafarroako Foru Komunitatean sortzen duen inpaktua, eta Sodenak txosten horiek aurkeztu dizkiola Kontuen Ganberari, behin-behineko txostena eman baino lehen.</w:t>
      </w:r>
      <w:r>
        <w:rPr>
          <w:color w:val="000000"/>
          <w:sz w:val="22"/>
          <w:rFonts w:ascii="Calibri" w:hAnsi="Calibri"/>
        </w:rPr>
        <w:t xml:space="preserve"> </w:t>
      </w:r>
    </w:p>
    <w:p w14:paraId="16456FF9"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Beraz, Sendaviva proiektu estrategikoa da Foru Komunitateko turismo eta aisia sektorearentzat, eta jaso ditu Nafarroako Gobernuaren baimen egokiak eta Nafarroako Parlamentuaren babesa.</w:t>
      </w:r>
      <w:r>
        <w:rPr>
          <w:color w:val="000000"/>
          <w:sz w:val="22"/>
          <w:rFonts w:ascii="Calibri" w:hAnsi="Calibri"/>
        </w:rPr>
        <w:t xml:space="preserve">  </w:t>
      </w:r>
    </w:p>
    <w:p w14:paraId="00E5677F"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Aurrean adierazitakoarekin bat, iradokitzen da </w:t>
      </w:r>
      <w:r>
        <w:rPr>
          <w:color w:val="000000"/>
          <w:sz w:val="22"/>
          <w:u w:val="single" w:color="000000"/>
          <w:rFonts w:ascii="Calibri" w:hAnsi="Calibri"/>
        </w:rPr>
        <w:t xml:space="preserve">22. orrialdeko</w:t>
      </w:r>
      <w:r>
        <w:rPr>
          <w:color w:val="000000"/>
          <w:sz w:val="22"/>
          <w:u w:val="single" w:color="000000"/>
          <w:rFonts w:ascii="Calibri" w:hAnsi="Calibri"/>
        </w:rPr>
        <w:t xml:space="preserve">azken-aurreko paragrafoa</w:t>
      </w:r>
      <w:r>
        <w:rPr>
          <w:color w:val="000000"/>
          <w:sz w:val="22"/>
          <w:rFonts w:ascii="Calibri" w:hAnsi="Calibri"/>
        </w:rPr>
        <w:t xml:space="preserve"> ordeztea:</w:t>
      </w:r>
      <w:r>
        <w:rPr>
          <w:color w:val="000000"/>
          <w:sz w:val="22"/>
          <w:rFonts w:ascii="Calibri" w:hAnsi="Calibri"/>
        </w:rPr>
        <w:t xml:space="preserve"> </w:t>
      </w:r>
    </w:p>
    <w:p w14:paraId="7BC023E9" w14:textId="77777777" w:rsidR="005318CE" w:rsidRPr="005318CE" w:rsidRDefault="005318CE" w:rsidP="005318CE">
      <w:pPr>
        <w:spacing w:after="1" w:line="287" w:lineRule="auto"/>
        <w:ind w:left="704" w:right="-12"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 </w:t>
      </w:r>
      <w:r>
        <w:rPr>
          <w:color w:val="000000"/>
          <w:sz w:val="22"/>
          <w:rFonts w:ascii="Calibri" w:hAnsi="Calibri"/>
        </w:rPr>
        <w:t xml:space="preserve">“</w:t>
      </w:r>
      <w:r>
        <w:rPr>
          <w:color w:val="000000"/>
          <w:sz w:val="22"/>
          <w:i/>
          <w:u w:val="single" w:color="000000"/>
          <w:rFonts w:ascii="Calibri" w:hAnsi="Calibri"/>
        </w:rPr>
        <w:t xml:space="preserve">Sodenarentzat</w:t>
      </w:r>
      <w:r>
        <w:rPr>
          <w:color w:val="000000"/>
          <w:sz w:val="22"/>
          <w:i/>
          <w:rFonts w:ascii="Calibri" w:hAnsi="Calibri"/>
        </w:rPr>
        <w:t xml:space="preserve">, laguntza finantzario horren arrazoiaren oinarria da Sendaviva proiektuak eragin positiboa eta errentagarritasuna dituela ikuspuntu sozioekonomikotik.</w:t>
      </w:r>
      <w:r>
        <w:rPr>
          <w:color w:val="000000"/>
          <w:sz w:val="22"/>
          <w:i/>
          <w:rFonts w:ascii="Calibri" w:hAnsi="Calibri"/>
        </w:rPr>
        <w:t xml:space="preserve"> </w:t>
      </w:r>
      <w:r>
        <w:rPr>
          <w:color w:val="000000"/>
          <w:sz w:val="22"/>
          <w:i/>
          <w:rFonts w:ascii="Calibri" w:hAnsi="Calibri"/>
        </w:rPr>
        <w:t xml:space="preserve">2007tik aldian behin eragin sozioekonomikoari buruzko azterlanak egiten dira, eta horien emaitzek erakusten dute Sendavivaren eragina handitzen joan dela, eta haren balio sozioekonomikoak, </w:t>
      </w:r>
      <w:r>
        <w:rPr>
          <w:color w:val="000000"/>
          <w:sz w:val="22"/>
          <w:i/>
          <w:u w:val="single" w:color="000000"/>
          <w:rFonts w:ascii="Calibri" w:hAnsi="Calibri"/>
        </w:rPr>
        <w:t xml:space="preserve">Sodenaren arabera</w:t>
      </w:r>
      <w:r>
        <w:rPr>
          <w:color w:val="000000"/>
          <w:sz w:val="22"/>
          <w:i/>
          <w:rFonts w:ascii="Calibri" w:hAnsi="Calibri"/>
        </w:rPr>
        <w:t xml:space="preserve">, egindako inbertsioa justifikatzen duela</w:t>
      </w:r>
      <w:r>
        <w:rPr>
          <w:color w:val="000000"/>
          <w:sz w:val="22"/>
          <w:i/>
          <w:rFonts w:ascii="Calibri" w:hAnsi="Calibri"/>
        </w:rPr>
        <w:t xml:space="preserve"> </w:t>
      </w:r>
    </w:p>
    <w:p w14:paraId="152EAB5E" w14:textId="77777777" w:rsidR="005318CE" w:rsidRPr="005318CE" w:rsidRDefault="005318CE" w:rsidP="005318CE">
      <w:pPr>
        <w:spacing w:after="0" w:line="536" w:lineRule="auto"/>
        <w:ind w:left="-14" w:right="4660" w:firstLine="708"/>
        <w:rPr>
          <w:color w:val="000000"/>
          <w:kern w:val="2"/>
          <w:sz w:val="22"/>
          <w:szCs w:val="22"/>
          <w14:ligatures w14:val="standardContextual"/>
          <w:rFonts w:ascii="Calibri" w:eastAsia="Calibri" w:hAnsi="Calibri" w:cs="Calibri"/>
        </w:rPr>
      </w:pPr>
      <w:r>
        <w:rPr>
          <w:color w:val="000000"/>
          <w:sz w:val="22"/>
          <w:rFonts w:ascii="Calibri" w:hAnsi="Calibri"/>
        </w:rPr>
        <w:t xml:space="preserve">(…)” (geuk jarri dugu azpimarra); horren ordezko paragrafoak honela dio:</w:t>
      </w:r>
      <w:r>
        <w:rPr>
          <w:color w:val="000000"/>
          <w:sz w:val="22"/>
          <w:rFonts w:ascii="Calibri" w:hAnsi="Calibri"/>
        </w:rPr>
        <w:t xml:space="preserve">   </w:t>
      </w:r>
    </w:p>
    <w:p w14:paraId="3A70EE9E" w14:textId="77777777" w:rsidR="005318CE" w:rsidRPr="005318CE" w:rsidRDefault="005318CE" w:rsidP="005318CE">
      <w:pPr>
        <w:spacing w:after="279" w:line="287" w:lineRule="auto"/>
        <w:ind w:left="704" w:right="-11" w:hanging="10"/>
        <w:rPr>
          <w:color w:val="000000"/>
          <w:kern w:val="2"/>
          <w:sz w:val="22"/>
          <w:szCs w:val="22"/>
          <w14:ligatures w14:val="standardContextual"/>
          <w:rFonts w:ascii="Calibri" w:eastAsia="Calibri" w:hAnsi="Calibri" w:cs="Calibri"/>
        </w:rPr>
      </w:pPr>
      <w:r>
        <w:rPr>
          <w:sz w:val="22"/>
          <w:color w:val="000000"/>
          <w:rFonts w:ascii="Calibri" w:hAnsi="Calibri"/>
        </w:rPr>
        <w:t xml:space="preserve">“</w:t>
      </w:r>
      <w:r>
        <w:rPr>
          <w:sz w:val="22"/>
          <w:i/>
          <w:color w:val="4472C4"/>
          <w:u w:val="single" w:color="4472C4"/>
          <w:rFonts w:ascii="Calibri" w:hAnsi="Calibri"/>
        </w:rPr>
        <w:t xml:space="preserve">Sodenak Parquenasari eman dion laguntza</w:t>
      </w:r>
      <w:r>
        <w:rPr>
          <w:sz w:val="22"/>
          <w:i/>
          <w:color w:val="4472C4"/>
          <w:rFonts w:ascii="Calibri" w:hAnsi="Calibri"/>
        </w:rPr>
        <w:t xml:space="preserve"> </w:t>
      </w:r>
      <w:r>
        <w:rPr>
          <w:sz w:val="22"/>
          <w:i/>
          <w:color w:val="4472C4"/>
          <w:u w:val="single" w:color="4472C4"/>
          <w:rFonts w:ascii="Calibri" w:hAnsi="Calibri"/>
        </w:rPr>
        <w:t xml:space="preserve">Nafarroako Gobernuak hainbat legegintzalditan erabili duen politikaren esparruan gauzatu da;</w:t>
      </w:r>
      <w:r>
        <w:rPr>
          <w:sz w:val="22"/>
          <w:i/>
          <w:color w:val="4472C4"/>
          <w:rFonts w:ascii="Calibri" w:hAnsi="Calibri"/>
        </w:rPr>
        <w:t xml:space="preserve"> </w:t>
      </w:r>
      <w:r>
        <w:rPr>
          <w:sz w:val="22"/>
          <w:i/>
          <w:color w:val="4472C4"/>
          <w:u w:val="single" w:color="4472C4"/>
          <w:rFonts w:ascii="Calibri" w:hAnsi="Calibri"/>
        </w:rPr>
        <w:t xml:space="preserve">izan ere, Nafarroako turismo eta aisia arloarentzat estrategikoa den proiektu bat sendotu nahi izan du Gobernuak, betiere</w:t>
      </w:r>
      <w:r>
        <w:rPr>
          <w:sz w:val="22"/>
          <w:i/>
          <w:color w:val="4472C4"/>
          <w:rFonts w:ascii="Calibri" w:hAnsi="Calibri"/>
        </w:rPr>
        <w:t xml:space="preserve"> </w:t>
      </w:r>
      <w:r>
        <w:rPr>
          <w:sz w:val="22"/>
          <w:i/>
          <w:color w:val="4472C4"/>
          <w:u w:val="single" w:color="4472C4"/>
          <w:rFonts w:ascii="Calibri" w:hAnsi="Calibri"/>
        </w:rPr>
        <w:t xml:space="preserve">aintzat hartuta haren eragin sozioekonomikoa</w:t>
      </w:r>
      <w:r>
        <w:rPr>
          <w:sz w:val="22"/>
          <w:color w:val="000000"/>
          <w:rFonts w:ascii="Calibri" w:hAnsi="Calibri"/>
        </w:rPr>
        <w:t xml:space="preserve">”.</w:t>
      </w:r>
      <w:r>
        <w:rPr>
          <w:sz w:val="22"/>
          <w:color w:val="000000"/>
          <w:rFonts w:ascii="Calibri" w:hAnsi="Calibri"/>
        </w:rPr>
        <w:t xml:space="preserve">    </w:t>
      </w:r>
      <w:r>
        <w:rPr>
          <w:sz w:val="22"/>
          <w:color w:val="000000"/>
          <w:b/>
          <w:rFonts w:ascii="Calibri" w:hAnsi="Calibri"/>
        </w:rPr>
        <w:t xml:space="preserve"> </w:t>
      </w:r>
    </w:p>
    <w:p w14:paraId="197F0974" w14:textId="77777777" w:rsidR="005318CE" w:rsidRPr="005318CE" w:rsidRDefault="005318CE" w:rsidP="005318CE">
      <w:pPr>
        <w:keepNext/>
        <w:keepLines/>
        <w:spacing w:after="308" w:line="259" w:lineRule="auto"/>
        <w:ind w:left="-4" w:hanging="10"/>
        <w:jc w:val="left"/>
        <w:outlineLvl w:val="1"/>
        <w:rPr>
          <w:b/>
          <w:color w:val="000000"/>
          <w:kern w:val="2"/>
          <w:sz w:val="22"/>
          <w:szCs w:val="22"/>
          <w14:ligatures w14:val="standardContextual"/>
          <w:rFonts w:ascii="Calibri" w:eastAsia="Calibri" w:hAnsi="Calibri" w:cs="Calibri"/>
        </w:rPr>
      </w:pPr>
      <w:r>
        <w:rPr>
          <w:b/>
          <w:color w:val="000000"/>
          <w:sz w:val="22"/>
          <w:u w:val="single" w:color="000000"/>
          <w:rFonts w:ascii="Calibri" w:hAnsi="Calibri"/>
        </w:rPr>
        <w:t xml:space="preserve">HIRUGARRENA</w:t>
      </w:r>
      <w:r>
        <w:rPr>
          <w:b/>
          <w:color w:val="000000"/>
          <w:sz w:val="22"/>
          <w:rFonts w:ascii="Calibri" w:hAnsi="Calibri"/>
        </w:rPr>
        <w:t xml:space="preserve">.- PARQUENASA SOZIETATE PUBLIKO BILAKATZEA</w:t>
      </w:r>
      <w:r>
        <w:rPr>
          <w:b/>
          <w:color w:val="000000"/>
          <w:sz w:val="22"/>
          <w:rFonts w:ascii="Calibri" w:hAnsi="Calibri"/>
        </w:rPr>
        <w:t xml:space="preserve">  </w:t>
      </w:r>
    </w:p>
    <w:p w14:paraId="399A69C1"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Behin-behineko txostenean han eta hemen aipatzen da Sodenak maileguak kapitalizatzeko aukera, eta gogora ekartzen dira 2005eko abenduaren 30eko finantzaketa kontratuaren ondoriozko mugak eta Sodenak, mailegu-emaile gisa, eta Sozietateak, mailegu-hartzaile gisa, sinatu dituzten hurrenez hurreneko gehigarrien ondoriozkoak.</w:t>
      </w:r>
      <w:r>
        <w:rPr>
          <w:color w:val="000000"/>
          <w:sz w:val="22"/>
          <w:rFonts w:ascii="Calibri" w:hAnsi="Calibri"/>
        </w:rPr>
        <w:t xml:space="preserve">  </w:t>
      </w:r>
    </w:p>
    <w:p w14:paraId="73D7D6F2"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Hori dela-eta, adierazi beharra dago aipatu maileguak kapitalizatzeko eta, kasua hala balitz, Parquenasa sozietate publiko bilakatzeko, 2005eko abenduaren 30eko finantzaketa kontratu horretan ezarritako baldintzak betetzeaz gainera, Nafarroako Gobernuaren baimena beharko litzatekeela, Nafarroaren Garapen Sozietatea (Sodena) sortzeari buruzko urtarrilaren 2ko 1/1984 Foru Legearen eta Nafarroako Ondareari buruzko apirilaren 4ko 14/2007 Foru Legearen arabera. </w:t>
      </w:r>
      <w:r>
        <w:rPr>
          <w:color w:val="000000"/>
          <w:sz w:val="22"/>
          <w:rFonts w:ascii="Calibri" w:hAnsi="Calibri"/>
        </w:rPr>
        <w:t xml:space="preserve"> </w:t>
      </w:r>
    </w:p>
    <w:p w14:paraId="3A5DE6D8"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Hala bada, Sodenaren jokabidea bat etorri da:</w:t>
      </w:r>
      <w:r>
        <w:rPr>
          <w:color w:val="000000"/>
          <w:sz w:val="22"/>
          <w:rFonts w:ascii="Calibri" w:hAnsi="Calibri"/>
        </w:rPr>
        <w:t xml:space="preserve"> </w:t>
      </w:r>
      <w:r>
        <w:rPr>
          <w:color w:val="000000"/>
          <w:sz w:val="22"/>
          <w:rFonts w:ascii="Calibri" w:hAnsi="Calibri"/>
        </w:rPr>
        <w:t xml:space="preserve">(i) 2005eko abenduaren 30eko finantzaketa kontratuarekin, Parquenasaren kapital sozialaren gehiengoa eskuratzea eragozten baitzion; (ii) Nafarroaren Garapen Sozietatea (Sodena) sortzeari buruzko urtarrilaren 2ko 1/1984 Foru Legearekin, Nafarroako Gobernuaren baimena exijitzen baitu, betiere, kapital sozialaren % 45etik gorako partaidetza eskuratzeko; (iii) eta Nafarroako Ondareari buruzko apirilaren 4ko 14/2007 Foru Legearekin, hark ere Nafarroako Gobernuaren baimena eskuratzea exijitzen baitu sozietate publiko bat sortu ahal izateko.</w:t>
      </w:r>
      <w:r>
        <w:rPr>
          <w:color w:val="000000"/>
          <w:sz w:val="22"/>
          <w:rFonts w:ascii="Calibri" w:hAnsi="Calibri"/>
        </w:rPr>
        <w:t xml:space="preserve">  </w:t>
      </w:r>
    </w:p>
    <w:p w14:paraId="3F6DB9B8" w14:textId="77777777" w:rsidR="005318CE" w:rsidRPr="005318CE" w:rsidRDefault="005318CE" w:rsidP="005318CE">
      <w:pPr>
        <w:spacing w:after="280" w:line="288"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Halaber, alegazio honetan azaldutakoa oinarri, gero emanen den behin betiko txostenean honako paragrafo hauek era honetara osa daitezela iradokitzen da:</w:t>
      </w:r>
      <w:r>
        <w:rPr>
          <w:color w:val="000000"/>
          <w:sz w:val="22"/>
          <w:rFonts w:ascii="Calibri" w:hAnsi="Calibri"/>
        </w:rPr>
        <w:t xml:space="preserve">  </w:t>
      </w:r>
    </w:p>
    <w:p w14:paraId="50291645" w14:textId="77777777" w:rsidR="005318CE" w:rsidRPr="005318CE" w:rsidRDefault="005318CE" w:rsidP="005318CE">
      <w:pPr>
        <w:numPr>
          <w:ilvl w:val="0"/>
          <w:numId w:val="50"/>
        </w:numPr>
        <w:spacing w:after="279" w:line="287" w:lineRule="auto"/>
        <w:ind w:right="-11" w:hanging="10"/>
        <w:jc w:val="left"/>
        <w:rPr>
          <w:color w:val="000000"/>
          <w:kern w:val="2"/>
          <w:sz w:val="22"/>
          <w:szCs w:val="22"/>
          <w14:ligatures w14:val="standardContextual"/>
          <w:rFonts w:ascii="Calibri" w:eastAsia="Calibri" w:hAnsi="Calibri" w:cs="Calibri"/>
        </w:rPr>
      </w:pPr>
      <w:r>
        <w:rPr>
          <w:sz w:val="22"/>
          <w:color w:val="000000"/>
          <w:u w:val="single" w:color="000000"/>
          <w:rFonts w:ascii="Calibri" w:hAnsi="Calibri"/>
        </w:rPr>
        <w:t xml:space="preserve">7. orrialdean, azken</w:t>
      </w:r>
      <w:r>
        <w:rPr>
          <w:sz w:val="22"/>
          <w:color w:val="000000"/>
          <w:u w:val="single" w:color="000000"/>
          <w:rFonts w:ascii="Calibri" w:hAnsi="Calibri"/>
        </w:rPr>
        <w:t xml:space="preserve"> paragrafoan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 </w:t>
      </w:r>
      <w:r>
        <w:rPr>
          <w:sz w:val="22"/>
          <w:i/>
          <w:color w:val="4472C4"/>
          <w:u w:val="single" w:color="4472C4"/>
          <w:rFonts w:ascii="Calibri" w:hAnsi="Calibri"/>
        </w:rPr>
        <w:t xml:space="preserve">Azkenik, gogoratu behar da</w:t>
      </w:r>
      <w:r>
        <w:rPr>
          <w:sz w:val="22"/>
          <w:i/>
          <w:color w:val="4472C4"/>
          <w:rFonts w:ascii="Calibri" w:hAnsi="Calibri"/>
        </w:rPr>
        <w:t xml:space="preserve"> </w:t>
      </w:r>
      <w:r>
        <w:rPr>
          <w:sz w:val="22"/>
          <w:i/>
          <w:color w:val="4472C4"/>
          <w:u w:val="single" w:color="4472C4"/>
          <w:rFonts w:ascii="Calibri" w:hAnsi="Calibri"/>
        </w:rPr>
        <w:t xml:space="preserve">Sodenak % 45etik gorako partaidetza hartu ahal izateko beharrezkoa zatekeela</w:t>
      </w:r>
      <w:r>
        <w:rPr>
          <w:sz w:val="22"/>
          <w:i/>
          <w:color w:val="4472C4"/>
          <w:rFonts w:ascii="Calibri" w:hAnsi="Calibri"/>
        </w:rPr>
        <w:t xml:space="preserve"> </w:t>
      </w:r>
      <w:r>
        <w:rPr>
          <w:sz w:val="22"/>
          <w:i/>
          <w:color w:val="4472C4"/>
          <w:u w:val="single" w:color="4472C4"/>
          <w:rFonts w:ascii="Calibri" w:hAnsi="Calibri"/>
        </w:rPr>
        <w:t xml:space="preserve">Nafarroako Gobernuak baimen egokiak ematea, Nafarroaren Garapen Sozietatea (Sodena)</w:t>
      </w:r>
      <w:r>
        <w:rPr>
          <w:sz w:val="22"/>
          <w:i/>
          <w:color w:val="4472C4"/>
          <w:rFonts w:ascii="Calibri" w:hAnsi="Calibri"/>
        </w:rPr>
        <w:t xml:space="preserve"> </w:t>
      </w:r>
      <w:r>
        <w:rPr>
          <w:sz w:val="22"/>
          <w:i/>
          <w:color w:val="4472C4"/>
          <w:u w:val="single" w:color="4472C4"/>
          <w:rFonts w:ascii="Calibri" w:hAnsi="Calibri"/>
        </w:rPr>
        <w:t xml:space="preserve">sortzeari buruzko urtarrilaren 2ko 1/1984 Foru Legearen eta Nafarroako Ondareari buruzko apirilaren 4ko</w:t>
      </w:r>
      <w:r>
        <w:rPr>
          <w:sz w:val="22"/>
          <w:i/>
          <w:color w:val="4472C4"/>
          <w:rFonts w:ascii="Calibri" w:hAnsi="Calibri"/>
        </w:rPr>
        <w:t xml:space="preserve"> </w:t>
      </w:r>
      <w:r>
        <w:rPr>
          <w:sz w:val="22"/>
          <w:i/>
          <w:color w:val="4472C4"/>
          <w:u w:val="single" w:color="4472C4"/>
          <w:rFonts w:ascii="Calibri" w:hAnsi="Calibri"/>
        </w:rPr>
        <w:t xml:space="preserve">14/2007 Foru Legearen arabera”</w:t>
      </w:r>
      <w:r>
        <w:rPr>
          <w:sz w:val="22"/>
          <w:color w:val="000000"/>
          <w:rFonts w:ascii="Calibri" w:hAnsi="Calibri"/>
        </w:rPr>
        <w:t xml:space="preserve">.</w:t>
      </w:r>
      <w:r>
        <w:rPr>
          <w:sz w:val="22"/>
          <w:color w:val="000000"/>
          <w:rFonts w:ascii="Calibri" w:hAnsi="Calibri"/>
        </w:rPr>
        <w:t xml:space="preserve"> </w:t>
      </w:r>
    </w:p>
    <w:p w14:paraId="53483127" w14:textId="77777777" w:rsidR="005318CE" w:rsidRPr="005318CE" w:rsidRDefault="005318CE" w:rsidP="005318CE">
      <w:pPr>
        <w:numPr>
          <w:ilvl w:val="0"/>
          <w:numId w:val="50"/>
        </w:numPr>
        <w:spacing w:after="279" w:line="287" w:lineRule="auto"/>
        <w:ind w:right="-11" w:hanging="10"/>
        <w:jc w:val="left"/>
        <w:rPr>
          <w:color w:val="000000"/>
          <w:kern w:val="2"/>
          <w:sz w:val="22"/>
          <w:szCs w:val="22"/>
          <w14:ligatures w14:val="standardContextual"/>
          <w:rFonts w:ascii="Calibri" w:eastAsia="Calibri" w:hAnsi="Calibri" w:cs="Calibri"/>
        </w:rPr>
      </w:pPr>
      <w:r>
        <w:rPr>
          <w:sz w:val="22"/>
          <w:color w:val="000000"/>
          <w:u w:val="single" w:color="000000"/>
          <w:rFonts w:ascii="Calibri" w:hAnsi="Calibri"/>
        </w:rPr>
        <w:t xml:space="preserve">9. orrialdean (1. paragrafoaren azkenean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w:t>
      </w:r>
      <w:r>
        <w:rPr>
          <w:sz w:val="22"/>
          <w:color w:val="000000"/>
          <w:i/>
          <w:rFonts w:ascii="Calibri" w:hAnsi="Calibri"/>
        </w:rPr>
        <w:t xml:space="preserve">(…)  </w:t>
      </w:r>
      <w:r>
        <w:rPr>
          <w:sz w:val="22"/>
          <w:i/>
          <w:color w:val="4472C4"/>
          <w:rFonts w:ascii="Calibri" w:hAnsi="Calibri"/>
        </w:rPr>
        <w:t xml:space="preserve">(</w:t>
      </w:r>
      <w:r>
        <w:rPr>
          <w:sz w:val="22"/>
          <w:i/>
          <w:color w:val="4472C4"/>
          <w:u w:val="single" w:color="4472C4"/>
          <w:rFonts w:ascii="Calibri" w:hAnsi="Calibri"/>
        </w:rPr>
        <w:t xml:space="preserve">horretarako, betiere, beharrezkoa zatekeen</w:t>
      </w:r>
      <w:r>
        <w:rPr>
          <w:sz w:val="22"/>
          <w:i/>
          <w:color w:val="4472C4"/>
          <w:rFonts w:ascii="Calibri" w:hAnsi="Calibri"/>
        </w:rPr>
        <w:t xml:space="preserve"> </w:t>
      </w:r>
      <w:r>
        <w:rPr>
          <w:sz w:val="22"/>
          <w:i/>
          <w:color w:val="4472C4"/>
          <w:u w:val="single" w:color="4472C4"/>
          <w:rFonts w:ascii="Calibri" w:hAnsi="Calibri"/>
        </w:rPr>
        <w:t xml:space="preserve">Nafarroako Gobernuaren baimen egokia, Nafarroaren Garapen Sozietatea (Sodena) sortzeari buruzko</w:t>
      </w:r>
      <w:r>
        <w:rPr>
          <w:sz w:val="22"/>
          <w:i/>
          <w:color w:val="4472C4"/>
          <w:rFonts w:ascii="Calibri" w:hAnsi="Calibri"/>
        </w:rPr>
        <w:t xml:space="preserve"> </w:t>
      </w:r>
      <w:r>
        <w:rPr>
          <w:sz w:val="22"/>
          <w:i/>
          <w:color w:val="4472C4"/>
          <w:u w:val="single" w:color="4472C4"/>
          <w:rFonts w:ascii="Calibri" w:hAnsi="Calibri"/>
        </w:rPr>
        <w:t xml:space="preserve">urtarrilaren 2ko 1/1984 Foru Legearen arabera eta Nafarroako Ondareari buruzko</w:t>
      </w:r>
      <w:r>
        <w:rPr>
          <w:sz w:val="22"/>
          <w:i/>
          <w:color w:val="4472C4"/>
          <w:rFonts w:ascii="Calibri" w:hAnsi="Calibri"/>
        </w:rPr>
        <w:t xml:space="preserve"> </w:t>
      </w:r>
      <w:r>
        <w:rPr>
          <w:sz w:val="22"/>
          <w:i/>
          <w:color w:val="4472C4"/>
          <w:u w:val="single" w:color="4472C4"/>
          <w:rFonts w:ascii="Calibri" w:hAnsi="Calibri"/>
        </w:rPr>
        <w:t xml:space="preserve">apirilaren 4ko 14/2007 Foru Legearen arabera, eta 2005eko abenduko finantzaketa akordioan</w:t>
      </w:r>
      <w:r>
        <w:rPr>
          <w:sz w:val="22"/>
          <w:i/>
          <w:color w:val="4472C4"/>
          <w:rFonts w:ascii="Calibri" w:hAnsi="Calibri"/>
        </w:rPr>
        <w:t xml:space="preserve"> </w:t>
      </w:r>
      <w:r>
        <w:rPr>
          <w:sz w:val="22"/>
          <w:i/>
          <w:color w:val="4472C4"/>
          <w:u w:val="single" w:color="4472C4"/>
          <w:rFonts w:ascii="Calibri" w:hAnsi="Calibri"/>
        </w:rPr>
        <w:t xml:space="preserve">ezarritako baldintzak bete behar ziratekeen</w:t>
      </w:r>
      <w:r>
        <w:rPr>
          <w:sz w:val="22"/>
          <w:i/>
          <w:color w:val="4472C4"/>
          <w:rFonts w:ascii="Calibri" w:hAnsi="Calibri"/>
        </w:rPr>
        <w:t xml:space="preserve">)</w:t>
      </w:r>
      <w:r>
        <w:rPr>
          <w:sz w:val="22"/>
          <w:i/>
          <w:color w:val="000000"/>
          <w:rFonts w:ascii="Calibri" w:hAnsi="Calibri"/>
        </w:rPr>
        <w:t xml:space="preserve">”.</w:t>
      </w:r>
      <w:r>
        <w:rPr>
          <w:sz w:val="22"/>
          <w:i/>
          <w:color w:val="000000"/>
          <w:rFonts w:ascii="Calibri" w:hAnsi="Calibri"/>
        </w:rPr>
        <w:t xml:space="preserve"> </w:t>
      </w:r>
    </w:p>
    <w:p w14:paraId="13928814" w14:textId="77777777" w:rsidR="005318CE" w:rsidRPr="005318CE" w:rsidRDefault="005318CE" w:rsidP="005318CE">
      <w:pPr>
        <w:numPr>
          <w:ilvl w:val="0"/>
          <w:numId w:val="50"/>
        </w:numPr>
        <w:spacing w:after="279" w:line="287" w:lineRule="auto"/>
        <w:ind w:right="-11" w:hanging="10"/>
        <w:jc w:val="left"/>
        <w:rPr>
          <w:color w:val="000000"/>
          <w:kern w:val="2"/>
          <w:sz w:val="22"/>
          <w:szCs w:val="22"/>
          <w14:ligatures w14:val="standardContextual"/>
          <w:rFonts w:ascii="Calibri" w:eastAsia="Calibri" w:hAnsi="Calibri" w:cs="Calibri"/>
        </w:rPr>
      </w:pPr>
      <w:r>
        <w:rPr>
          <w:sz w:val="22"/>
          <w:color w:val="000000"/>
          <w:rFonts w:ascii="Calibri" w:hAnsi="Calibri"/>
        </w:rPr>
        <w:t xml:space="preserve">Eta </w:t>
      </w:r>
      <w:r>
        <w:rPr>
          <w:sz w:val="22"/>
          <w:color w:val="000000"/>
          <w:u w:val="single" w:color="000000"/>
          <w:rFonts w:ascii="Calibri" w:hAnsi="Calibri"/>
        </w:rPr>
        <w:t xml:space="preserve">9. orrialdean bertan, 4. paragrafoaren azkenean</w:t>
      </w:r>
      <w:r>
        <w:rPr>
          <w:sz w:val="22"/>
          <w:color w:val="000000"/>
          <w:rFonts w:ascii="Calibri" w:hAnsi="Calibri"/>
        </w:rPr>
        <w:t xml:space="preserve">:</w:t>
      </w:r>
      <w:r>
        <w:rPr>
          <w:sz w:val="22"/>
          <w:color w:val="000000"/>
          <w:rFonts w:ascii="Calibri" w:hAnsi="Calibri"/>
        </w:rPr>
        <w:t xml:space="preserve"> </w:t>
      </w:r>
      <w:r>
        <w:rPr>
          <w:sz w:val="22"/>
          <w:color w:val="000000"/>
          <w:rFonts w:ascii="Calibri" w:hAnsi="Calibri"/>
        </w:rPr>
        <w:t xml:space="preserve">“(…) </w:t>
      </w:r>
      <w:r>
        <w:rPr>
          <w:sz w:val="22"/>
          <w:i/>
          <w:color w:val="4472C4"/>
          <w:u w:val="single" w:color="4472C4"/>
          <w:rFonts w:ascii="Calibri" w:hAnsi="Calibri"/>
        </w:rPr>
        <w:t xml:space="preserve">Nolanahi ere, Parquenasa</w:t>
      </w:r>
      <w:r>
        <w:rPr>
          <w:sz w:val="22"/>
          <w:i/>
          <w:color w:val="4472C4"/>
          <w:rFonts w:ascii="Calibri" w:hAnsi="Calibri"/>
        </w:rPr>
        <w:t xml:space="preserve"> </w:t>
      </w:r>
      <w:r>
        <w:rPr>
          <w:sz w:val="22"/>
          <w:i/>
          <w:color w:val="4472C4"/>
          <w:u w:val="single" w:color="4472C4"/>
          <w:rFonts w:ascii="Calibri" w:hAnsi="Calibri"/>
        </w:rPr>
        <w:t xml:space="preserve">sozietate publiko bilakatu ahal izateko,</w:t>
      </w:r>
      <w:r>
        <w:rPr>
          <w:sz w:val="22"/>
          <w:i/>
          <w:color w:val="4472C4"/>
          <w:rFonts w:ascii="Calibri" w:hAnsi="Calibri"/>
        </w:rPr>
        <w:t xml:space="preserve"> </w:t>
      </w:r>
      <w:r>
        <w:rPr>
          <w:sz w:val="22"/>
          <w:i/>
          <w:color w:val="4472C4"/>
          <w:u w:val="single" w:color="4472C4"/>
          <w:rFonts w:ascii="Calibri" w:hAnsi="Calibri"/>
        </w:rPr>
        <w:t xml:space="preserve">beharrezkoak lirateke Nafarroako Gobernuaren baimenak, Nafarroako Ondareari buruzko</w:t>
      </w:r>
      <w:r>
        <w:rPr>
          <w:sz w:val="22"/>
          <w:i/>
          <w:color w:val="4472C4"/>
          <w:rFonts w:ascii="Calibri" w:hAnsi="Calibri"/>
        </w:rPr>
        <w:t xml:space="preserve"> </w:t>
      </w:r>
      <w:r>
        <w:rPr>
          <w:sz w:val="22"/>
          <w:i/>
          <w:color w:val="4472C4"/>
          <w:u w:val="single" w:color="4472C4"/>
          <w:rFonts w:ascii="Calibri" w:hAnsi="Calibri"/>
        </w:rPr>
        <w:t xml:space="preserve">apirilaren 4ko 14/2007 Foru Legea betetzeko, eta, Sodenak </w:t>
      </w:r>
      <w:r>
        <w:rPr>
          <w:sz w:val="22"/>
          <w:i/>
          <w:color w:val="4472C4"/>
          <w:rFonts w:ascii="Calibri" w:hAnsi="Calibri"/>
        </w:rPr>
        <w:t xml:space="preserve"> </w:t>
      </w:r>
      <w:r>
        <w:rPr>
          <w:sz w:val="22"/>
          <w:i/>
          <w:color w:val="4472C4"/>
          <w:u w:val="single" w:color="4472C4"/>
          <w:rFonts w:ascii="Calibri" w:hAnsi="Calibri"/>
        </w:rPr>
        <w:t xml:space="preserve">Parquenasaren kapital sozialean % 45eko partaidetza gaindituko balu soilik, Nafarroaren Garapen Sozietatea (Sodena) sortzeari buruzko</w:t>
      </w:r>
      <w:r>
        <w:rPr>
          <w:sz w:val="22"/>
          <w:i/>
          <w:color w:val="4472C4"/>
          <w:rFonts w:ascii="Calibri" w:hAnsi="Calibri"/>
        </w:rPr>
        <w:t xml:space="preserve"> </w:t>
      </w:r>
      <w:r>
        <w:rPr>
          <w:sz w:val="22"/>
          <w:i/>
          <w:color w:val="4472C4"/>
          <w:u w:val="single" w:color="4472C4"/>
          <w:rFonts w:ascii="Calibri" w:hAnsi="Calibri"/>
        </w:rPr>
        <w:t xml:space="preserve">urtarrilaren 2ko 1/1984 Foru Legea betetzeko</w:t>
      </w:r>
      <w:r>
        <w:rPr>
          <w:sz w:val="22"/>
          <w:color w:val="000000"/>
          <w:rFonts w:ascii="Calibri" w:hAnsi="Calibri"/>
        </w:rPr>
        <w:t xml:space="preserve">”.</w:t>
      </w:r>
      <w:r>
        <w:rPr>
          <w:sz w:val="22"/>
          <w:color w:val="000000"/>
          <w:rFonts w:ascii="Calibri" w:hAnsi="Calibri"/>
        </w:rPr>
        <w:t xml:space="preserve"> </w:t>
      </w:r>
    </w:p>
    <w:p w14:paraId="4764CC37"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Hori guztia dela-eta,</w:t>
      </w:r>
      <w:r>
        <w:rPr>
          <w:color w:val="000000"/>
          <w:sz w:val="22"/>
          <w:rFonts w:ascii="Calibri" w:hAnsi="Calibri"/>
        </w:rPr>
        <w:t xml:space="preserve">  </w:t>
      </w:r>
    </w:p>
    <w:p w14:paraId="00FB2F54"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Nafarroako Kontuen Ganberari </w:t>
      </w:r>
      <w:r>
        <w:rPr>
          <w:color w:val="000000"/>
          <w:sz w:val="22"/>
          <w:b/>
          <w:bCs/>
          <w:rFonts w:ascii="Calibri" w:hAnsi="Calibri"/>
        </w:rPr>
        <w:t xml:space="preserve">ESKATZEN DIOGU</w:t>
      </w:r>
      <w:r>
        <w:rPr>
          <w:color w:val="000000"/>
          <w:sz w:val="22"/>
          <w:rFonts w:ascii="Calibri" w:hAnsi="Calibri"/>
        </w:rPr>
        <w:t xml:space="preserve"> idazki hau aurkeztutzat eman eta onar dezala, eta formulatutzat eman ditzala “Sodenak Parquenasari egindako ekarpen finantzarioak” izeneko behin-behineko fiskalizazio txostenari egindako alegazio hauek, behar diren ondorioak izan ditzaten eta gero emanen den behin betiko txostenean aintzat har daitezen.</w:t>
      </w:r>
      <w:r>
        <w:rPr>
          <w:color w:val="000000"/>
          <w:sz w:val="22"/>
          <w:rFonts w:ascii="Calibri" w:hAnsi="Calibri"/>
        </w:rPr>
        <w:t xml:space="preserve">  </w:t>
      </w:r>
    </w:p>
    <w:p w14:paraId="3F5358B9" w14:textId="77777777" w:rsidR="005318CE" w:rsidRPr="005318CE" w:rsidRDefault="005318CE" w:rsidP="005318CE">
      <w:pPr>
        <w:spacing w:after="282" w:line="287" w:lineRule="auto"/>
        <w:ind w:left="-4" w:hanging="10"/>
        <w:rPr>
          <w:color w:val="000000"/>
          <w:kern w:val="2"/>
          <w:sz w:val="22"/>
          <w:szCs w:val="22"/>
          <w14:ligatures w14:val="standardContextual"/>
          <w:rFonts w:ascii="Calibri" w:eastAsia="Calibri" w:hAnsi="Calibri" w:cs="Calibri"/>
        </w:rPr>
      </w:pPr>
      <w:r>
        <w:rPr>
          <w:color w:val="000000"/>
          <w:sz w:val="22"/>
          <w:rFonts w:ascii="Calibri" w:hAnsi="Calibri"/>
        </w:rPr>
        <w:t xml:space="preserve">Iruñean (Nafarroa), 2023ko urriaren 31n.</w:t>
      </w:r>
      <w:r>
        <w:rPr>
          <w:color w:val="000000"/>
          <w:sz w:val="22"/>
          <w:rFonts w:ascii="Calibri" w:hAnsi="Calibri"/>
        </w:rPr>
        <w:t xml:space="preserve">  </w:t>
      </w:r>
    </w:p>
    <w:p w14:paraId="7B7F7551" w14:textId="77777777" w:rsidR="005318CE" w:rsidRPr="005318CE" w:rsidRDefault="005318CE" w:rsidP="005318CE">
      <w:pPr>
        <w:spacing w:after="177" w:line="259" w:lineRule="auto"/>
        <w:ind w:firstLine="0"/>
        <w:jc w:val="left"/>
        <w:rPr>
          <w:color w:val="000000"/>
          <w:kern w:val="2"/>
          <w:sz w:val="22"/>
          <w:szCs w:val="22"/>
          <w14:ligatures w14:val="standardContextual"/>
          <w:rFonts w:ascii="Calibri" w:eastAsia="Calibri" w:hAnsi="Calibri" w:cs="Calibri"/>
        </w:rPr>
      </w:pPr>
      <w:r>
        <w:rPr>
          <w:color w:val="000000"/>
          <w:sz w:val="21"/>
          <w:rFonts w:ascii="Calibri" w:hAnsi="Calibri"/>
        </w:rPr>
        <w:t xml:space="preserve">Nafarroaren Garapen Sozietateko Inbertsioen zuzendaria:</w:t>
      </w:r>
      <w:r>
        <w:rPr>
          <w:color w:val="000000"/>
          <w:sz w:val="21"/>
          <w:rFonts w:ascii="Calibri" w:hAnsi="Calibri"/>
        </w:rPr>
        <w:t xml:space="preserve"> </w:t>
      </w:r>
      <w:r>
        <w:rPr>
          <w:color w:val="000000"/>
          <w:sz w:val="21"/>
          <w:rFonts w:ascii="Calibri" w:hAnsi="Calibri"/>
        </w:rPr>
        <w:t xml:space="preserve">Eugenia Lecumberri Alli</w:t>
      </w:r>
    </w:p>
    <w:p w14:paraId="63C48DFF" w14:textId="77777777" w:rsidR="005318CE" w:rsidRPr="005318CE" w:rsidRDefault="005318CE" w:rsidP="005318CE">
      <w:pPr>
        <w:spacing w:after="177" w:line="259" w:lineRule="auto"/>
        <w:ind w:firstLine="0"/>
        <w:jc w:val="left"/>
        <w:rPr>
          <w:color w:val="000000"/>
          <w:kern w:val="2"/>
          <w:sz w:val="22"/>
          <w:szCs w:val="22"/>
          <w14:ligatures w14:val="standardContextual"/>
          <w:rFonts w:ascii="Calibri" w:eastAsia="Calibri" w:hAnsi="Calibri" w:cs="Calibri"/>
        </w:rPr>
      </w:pPr>
      <w:r>
        <w:rPr>
          <w:color w:val="000000"/>
          <w:sz w:val="21"/>
          <w:rFonts w:ascii="Calibri" w:hAnsi="Calibri"/>
        </w:rPr>
        <w:t xml:space="preserve">Nafarroako Enpresa Korporazio Publikoko zuzendari nagusia:</w:t>
      </w:r>
      <w:r>
        <w:rPr>
          <w:color w:val="000000"/>
          <w:sz w:val="21"/>
          <w:rFonts w:ascii="Calibri" w:hAnsi="Calibri"/>
        </w:rPr>
        <w:t xml:space="preserve"> </w:t>
      </w:r>
      <w:r>
        <w:rPr>
          <w:color w:val="000000"/>
          <w:sz w:val="21"/>
          <w:rFonts w:ascii="Calibri" w:hAnsi="Calibri"/>
        </w:rPr>
        <w:t xml:space="preserve">Francisco Fernández Nistal</w:t>
      </w:r>
    </w:p>
    <w:p w14:paraId="165C58A9" w14:textId="77777777" w:rsidR="00156B78" w:rsidRDefault="00156B78">
      <w:pPr>
        <w:spacing w:after="0"/>
        <w:ind w:firstLine="0"/>
        <w:jc w:val="left"/>
        <w:rPr>
          <w:i/>
          <w:iCs/>
          <w:color w:val="000000"/>
          <w:spacing w:val="10"/>
          <w:kern w:val="28"/>
          <w:sz w:val="25"/>
          <w:szCs w:val="26"/>
          <w:rFonts w:ascii="Arial" w:hAnsi="Arial"/>
        </w:rPr>
      </w:pPr>
      <w:r>
        <w:br w:type="page"/>
      </w:r>
    </w:p>
    <w:p w14:paraId="6FC1FB0C" w14:textId="77777777" w:rsidR="00156B78" w:rsidRPr="000D06D2" w:rsidRDefault="00156B78" w:rsidP="000D06D2">
      <w:pPr>
        <w:pStyle w:val="atitulo1"/>
      </w:pPr>
      <w:bookmarkStart w:id="45" w:name="_Toc129330333"/>
      <w:bookmarkStart w:id="46" w:name="_Toc130198159"/>
      <w:bookmarkStart w:id="47" w:name="_Toc146195638"/>
      <w:bookmarkStart w:id="48" w:name="_Toc149803657"/>
      <w:r>
        <w:t xml:space="preserve">Behin-behineko txostena dela-eta aurkeztutako alegazioei Kontuen Ganberak emandako erantzuna</w:t>
      </w:r>
      <w:bookmarkEnd w:id="45"/>
      <w:bookmarkEnd w:id="46"/>
      <w:bookmarkEnd w:id="47"/>
      <w:bookmarkEnd w:id="48"/>
    </w:p>
    <w:p w14:paraId="7FC8E947" w14:textId="77777777" w:rsidR="007F230B" w:rsidRPr="005761F0" w:rsidRDefault="007F230B" w:rsidP="007F230B">
      <w:pPr>
        <w:pStyle w:val="texto"/>
        <w:rPr>
          <w:sz w:val="25"/>
          <w:szCs w:val="25"/>
        </w:rPr>
      </w:pPr>
      <w:r>
        <w:rPr>
          <w:sz w:val="25"/>
        </w:rPr>
        <w:t xml:space="preserve">Batera aurkeztu dituzten alegazioengatik eskerrak ematen dizkiegu Nafarroaren Garapen Sozietatea SLren (aurrerantzean, Sodena) eta Nafarroako Enpresa Korporazio Publikoa SLren (aurrerantzean, NEKP) ordezkariei.</w:t>
      </w:r>
      <w:r>
        <w:rPr>
          <w:sz w:val="25"/>
        </w:rPr>
        <w:t xml:space="preserve"> </w:t>
      </w:r>
      <w:r>
        <w:rPr>
          <w:sz w:val="25"/>
        </w:rPr>
        <w:t xml:space="preserve">Alegazio horiek behin-behineko txostenari eransten zaizkio eta hori behin betikotzat hartzen da, alegazioek ez dutelako edukia aldatzen. Hala ere, Ganbera honek alegazioen alderdi hauek nabarmendu nahi ditu:</w:t>
      </w:r>
    </w:p>
    <w:p w14:paraId="59AA349D" w14:textId="77777777" w:rsidR="007F230B" w:rsidRPr="005761F0" w:rsidRDefault="007F230B" w:rsidP="007F230B">
      <w:pPr>
        <w:pStyle w:val="texto"/>
        <w:numPr>
          <w:ilvl w:val="0"/>
          <w:numId w:val="45"/>
        </w:numPr>
        <w:tabs>
          <w:tab w:val="clear" w:pos="2835"/>
          <w:tab w:val="clear" w:pos="3969"/>
          <w:tab w:val="clear" w:pos="5103"/>
          <w:tab w:val="clear" w:pos="6237"/>
          <w:tab w:val="clear" w:pos="7371"/>
          <w:tab w:val="left" w:pos="480"/>
          <w:tab w:val="num" w:pos="600"/>
        </w:tabs>
        <w:rPr>
          <w:sz w:val="25"/>
          <w:szCs w:val="25"/>
        </w:rPr>
      </w:pPr>
      <w:r>
        <w:rPr>
          <w:sz w:val="25"/>
        </w:rPr>
        <w:t xml:space="preserve">Lehenbiziko alegazioari dagokionez</w:t>
      </w:r>
    </w:p>
    <w:p w14:paraId="71B1538F" w14:textId="77777777" w:rsidR="007F230B" w:rsidRPr="005761F0" w:rsidRDefault="007F230B" w:rsidP="007F230B">
      <w:pPr>
        <w:pStyle w:val="Prrafodelista"/>
        <w:numPr>
          <w:ilvl w:val="0"/>
          <w:numId w:val="46"/>
        </w:numPr>
        <w:spacing w:after="160" w:line="259" w:lineRule="auto"/>
        <w:jc w:val="both"/>
        <w:rPr>
          <w:sz w:val="25"/>
          <w:szCs w:val="25"/>
        </w:rPr>
      </w:pPr>
      <w:r>
        <w:rPr>
          <w:sz w:val="25"/>
        </w:rPr>
        <w:t xml:space="preserve">Testuan aipatzen da </w:t>
      </w:r>
      <w:r>
        <w:rPr>
          <w:sz w:val="25"/>
          <w:i/>
        </w:rPr>
        <w:t xml:space="preserve">martxoaren 25eko EHA/733/2010 Agindua, zenbait egoeratan jarduten duten kontabilitate alderdiak onesten dituena</w:t>
      </w:r>
      <w:r>
        <w:rPr>
          <w:sz w:val="25"/>
        </w:rPr>
        <w:t xml:space="preserve">, eta honako hau adierazten dugu horri buruz:</w:t>
      </w:r>
    </w:p>
    <w:p w14:paraId="3ADF7DB3" w14:textId="77777777" w:rsidR="007F230B" w:rsidRPr="005761F0" w:rsidRDefault="007F230B" w:rsidP="007F230B">
      <w:pPr>
        <w:pStyle w:val="texto"/>
        <w:rPr>
          <w:sz w:val="25"/>
          <w:szCs w:val="25"/>
        </w:rPr>
      </w:pPr>
      <w:r>
        <w:rPr>
          <w:sz w:val="25"/>
        </w:rPr>
        <w:t xml:space="preserve">Testuan ez da aginduaren izen osoa jarri. Honako hau da:</w:t>
      </w:r>
      <w:r>
        <w:rPr>
          <w:sz w:val="25"/>
        </w:rPr>
        <w:t xml:space="preserve"> </w:t>
      </w:r>
      <w:r>
        <w:rPr>
          <w:sz w:val="25"/>
          <w:i/>
        </w:rPr>
        <w:t xml:space="preserve">EHA/733/2010 Agindua, martxoaren 25ekoa, zenbait egoeratan jarduten duten </w:t>
      </w:r>
      <w:r>
        <w:rPr>
          <w:sz w:val="25"/>
          <w:i/>
          <w:b/>
        </w:rPr>
        <w:t xml:space="preserve">enpresa publikoen</w:t>
      </w:r>
      <w:r>
        <w:rPr>
          <w:sz w:val="25"/>
          <w:i/>
        </w:rPr>
        <w:t xml:space="preserve"> kontabilitate alderdiak onesten dituena</w:t>
      </w:r>
      <w:r>
        <w:rPr>
          <w:sz w:val="25"/>
        </w:rPr>
        <w:t xml:space="preserve">.</w:t>
      </w:r>
      <w:r>
        <w:rPr>
          <w:sz w:val="25"/>
        </w:rPr>
        <w:t xml:space="preserve"> </w:t>
      </w:r>
      <w:r>
        <w:rPr>
          <w:sz w:val="25"/>
        </w:rPr>
        <w:t xml:space="preserve">Parquenasa merkataritza sozietate pribatua da. Beraz, sozietate edo enpresa publikoaren kalifikazio juridikorik ez duenez (Nafarroako Ogasun Publikoari buruzko apirilaren 4ko 13/2007 Foru Legearen eta Nafarroako Ondareari buruzko apirilaren 4ko 14/2007 Foru Legearen arabera), ez dago aipatu aginduaren aplikazio eremu subjektiboaren barruan.</w:t>
      </w:r>
      <w:r>
        <w:rPr>
          <w:sz w:val="25"/>
        </w:rPr>
        <w:t xml:space="preserve"> </w:t>
      </w:r>
      <w:r>
        <w:rPr>
          <w:sz w:val="25"/>
        </w:rPr>
        <w:t xml:space="preserve">Beraz, Ganbera honen iritziz, agindu hori ez zaio aplikatu behar Parquenasari.</w:t>
      </w:r>
      <w:r>
        <w:rPr>
          <w:sz w:val="25"/>
        </w:rPr>
        <w:t xml:space="preserve">  </w:t>
      </w:r>
    </w:p>
    <w:p w14:paraId="2AE61378" w14:textId="77777777" w:rsidR="007F230B" w:rsidRPr="005761F0" w:rsidRDefault="007F230B" w:rsidP="007F230B">
      <w:pPr>
        <w:pStyle w:val="texto"/>
        <w:rPr>
          <w:sz w:val="25"/>
          <w:szCs w:val="25"/>
        </w:rPr>
      </w:pPr>
      <w:r>
        <w:rPr>
          <w:sz w:val="25"/>
        </w:rPr>
        <w:t xml:space="preserve">Sodenaren urteko kontuen arabera Parquenasari kobratzeko dauden kredituak kostu amortizatuko finantza-aktibo gisa kalifikatuta daude. Hortaz, ekitaldi bakoitzaren itxieran balorazioa egin behar da Kontabilitate Plan Orokorreko 9. balorazio arauari jarraikiz, eta balorazio hori ez da oinarritu behar Parquenasak bere aktibo materialei ematen dien kontabilitate-tratamenduan, are gutxiago ministro-agindu hori aplikatzekoa ez zaiolarik.</w:t>
      </w:r>
      <w:r>
        <w:rPr>
          <w:sz w:val="25"/>
        </w:rPr>
        <w:t xml:space="preserve"> </w:t>
      </w:r>
    </w:p>
    <w:p w14:paraId="5785BB75" w14:textId="77777777" w:rsidR="007F230B" w:rsidRPr="005761F0" w:rsidRDefault="007F230B" w:rsidP="007F230B">
      <w:pPr>
        <w:pStyle w:val="texto"/>
        <w:rPr>
          <w:sz w:val="25"/>
          <w:szCs w:val="25"/>
        </w:rPr>
      </w:pPr>
      <w:r>
        <w:rPr>
          <w:sz w:val="25"/>
        </w:rPr>
        <w:t xml:space="preserve">Kontuan hartuta 9. balorazio araua eta bai Sodenak bai NEKPk berak aitortutako inguruabarrak –hala nola maileguak itzultzea xede duen bideragarritasun planik ez izatea edo Parquenasaren finantza egoera bera–, Sodenaren urteko kontuetan balio-narriadurarengatiko galera islatu beharko zatekeen kontabilitatean.</w:t>
      </w:r>
      <w:r>
        <w:rPr>
          <w:sz w:val="25"/>
        </w:rPr>
        <w:t xml:space="preserve"> </w:t>
      </w:r>
    </w:p>
    <w:p w14:paraId="407561AD" w14:textId="77777777" w:rsidR="007F230B" w:rsidRPr="005761F0" w:rsidRDefault="007F230B" w:rsidP="007F230B">
      <w:pPr>
        <w:pStyle w:val="Prrafodelista"/>
        <w:numPr>
          <w:ilvl w:val="0"/>
          <w:numId w:val="46"/>
        </w:numPr>
        <w:spacing w:after="160" w:line="259" w:lineRule="auto"/>
        <w:jc w:val="both"/>
        <w:rPr>
          <w:sz w:val="25"/>
          <w:szCs w:val="25"/>
        </w:rPr>
      </w:pPr>
      <w:r>
        <w:rPr>
          <w:sz w:val="25"/>
        </w:rPr>
        <w:t xml:space="preserve">Aipatu da Ganberak ez zuela ezer adierazi Sodenaren urteko kontuetan balorazio-zuzenketa jasotzeko komenigarritasunari edo beharrari buruz. Bada, “Nafarroaren Garapen Sozietateak 2002-2013 urte bitartean enpresa partaidetuetan eginiko inbertsio finantzarioei buruzko fiskalizazio txostena” izenekoan hiru gauza garrantzitsu adierazi genituen, Ganbera honen bi txostenen arteko kontraesanik inola ere ez dakartenak:</w:t>
      </w:r>
      <w:r>
        <w:rPr>
          <w:sz w:val="25"/>
        </w:rPr>
        <w:t xml:space="preserve"> </w:t>
      </w:r>
    </w:p>
    <w:p w14:paraId="72311272" w14:textId="77777777" w:rsidR="007F230B" w:rsidRPr="005761F0" w:rsidRDefault="007F230B" w:rsidP="007F230B">
      <w:pPr>
        <w:pStyle w:val="Prrafodelista"/>
        <w:numPr>
          <w:ilvl w:val="0"/>
          <w:numId w:val="47"/>
        </w:numPr>
        <w:spacing w:after="160" w:line="259" w:lineRule="auto"/>
        <w:jc w:val="both"/>
        <w:rPr>
          <w:sz w:val="25"/>
          <w:szCs w:val="25"/>
        </w:rPr>
      </w:pPr>
      <w:r>
        <w:rPr>
          <w:sz w:val="25"/>
        </w:rPr>
        <w:t xml:space="preserve">Denbora faktorea elementu garrantzitsua da maileguen eta gisako finantza tresnen berreskuragarritasunaren balorazioan.</w:t>
      </w:r>
      <w:r>
        <w:rPr>
          <w:sz w:val="25"/>
        </w:rPr>
        <w:t xml:space="preserve"> </w:t>
      </w:r>
      <w:r>
        <w:rPr>
          <w:sz w:val="25"/>
        </w:rPr>
        <w:t xml:space="preserve">Sodena maileguak ematen hasi zenetik 18 urte igarotakoan egin da txosten hau, eta Parquenasak ez du ezertxo ere itzuli. Aurreko txostena, aldiz, zortzi urte igarotakoan egin zen, eta parkea 2004an ireki zen jendearentzat.</w:t>
      </w:r>
      <w:r>
        <w:rPr>
          <w:sz w:val="25"/>
        </w:rPr>
        <w:t xml:space="preserve"> </w:t>
      </w:r>
    </w:p>
    <w:p w14:paraId="5F9D8F21" w14:textId="77777777" w:rsidR="007F230B" w:rsidRPr="005761F0" w:rsidRDefault="007F230B" w:rsidP="007F230B">
      <w:pPr>
        <w:pStyle w:val="Prrafodelista"/>
        <w:numPr>
          <w:ilvl w:val="0"/>
          <w:numId w:val="47"/>
        </w:numPr>
        <w:spacing w:after="160" w:line="259" w:lineRule="auto"/>
        <w:jc w:val="both"/>
        <w:rPr>
          <w:sz w:val="25"/>
          <w:szCs w:val="25"/>
        </w:rPr>
      </w:pPr>
      <w:r>
        <w:rPr>
          <w:sz w:val="25"/>
        </w:rPr>
        <w:t xml:space="preserve">Eskura izan ditugun espedienteen berrikuspenean, Nafarroako Gobernuko Kontu-hartzailetza Nagusia bera da 2020tik ohartarazi eta agerrarazi duena maileguak berreskuratzeko aukerari buruzko bideragarritasun planik ez dagoela eta luze joko lukeela maileguak berreskuratzeak. Hori berritasun dokumental esanguratsua da eta kontuan hartu dugu gure fiskalizazioan, gure txostenean jaso den moduan.</w:t>
      </w:r>
    </w:p>
    <w:p w14:paraId="3A88DE99" w14:textId="77777777" w:rsidR="007F230B" w:rsidRPr="005761F0" w:rsidRDefault="007F230B" w:rsidP="007F230B">
      <w:pPr>
        <w:pStyle w:val="Prrafodelista"/>
        <w:numPr>
          <w:ilvl w:val="0"/>
          <w:numId w:val="47"/>
        </w:numPr>
        <w:spacing w:after="160" w:line="259" w:lineRule="auto"/>
        <w:jc w:val="both"/>
        <w:rPr>
          <w:sz w:val="25"/>
          <w:szCs w:val="25"/>
        </w:rPr>
      </w:pPr>
      <w:r>
        <w:rPr>
          <w:sz w:val="25"/>
        </w:rPr>
        <w:t xml:space="preserve">Azkenik, 2016tik aurrera gutxienez, Sodenak berak adierazi izan du, maileguak emateko baimen-eskaerak Nafarroako Gobernuan izapidetu dituenean, Parquenasarentzat baimendu behar ziren mailegu horiek hutsegintzat jotzen zirela. Hori jada aipatu da txosten honetan.</w:t>
      </w:r>
      <w:r>
        <w:rPr>
          <w:sz w:val="25"/>
        </w:rPr>
        <w:t xml:space="preserve"> </w:t>
      </w:r>
    </w:p>
    <w:p w14:paraId="2FD065DB" w14:textId="77777777" w:rsidR="007F230B" w:rsidRPr="005761F0" w:rsidRDefault="007F230B" w:rsidP="007F230B">
      <w:pPr>
        <w:pStyle w:val="texto"/>
        <w:numPr>
          <w:ilvl w:val="0"/>
          <w:numId w:val="45"/>
        </w:numPr>
        <w:tabs>
          <w:tab w:val="clear" w:pos="2835"/>
          <w:tab w:val="clear" w:pos="3969"/>
          <w:tab w:val="clear" w:pos="5103"/>
          <w:tab w:val="clear" w:pos="6237"/>
          <w:tab w:val="clear" w:pos="7371"/>
          <w:tab w:val="left" w:pos="480"/>
        </w:tabs>
        <w:rPr>
          <w:sz w:val="25"/>
          <w:szCs w:val="25"/>
        </w:rPr>
      </w:pPr>
      <w:r>
        <w:rPr>
          <w:sz w:val="25"/>
        </w:rPr>
        <w:t xml:space="preserve">Bigarren alegazioari dagokionez:</w:t>
      </w:r>
    </w:p>
    <w:p w14:paraId="68E046F7" w14:textId="77777777" w:rsidR="007F230B" w:rsidRPr="005761F0" w:rsidRDefault="007F230B" w:rsidP="007F230B">
      <w:pPr>
        <w:pStyle w:val="Prrafodelista"/>
        <w:numPr>
          <w:ilvl w:val="0"/>
          <w:numId w:val="46"/>
        </w:numPr>
        <w:spacing w:after="160" w:line="259" w:lineRule="auto"/>
        <w:jc w:val="both"/>
        <w:rPr>
          <w:sz w:val="25"/>
          <w:szCs w:val="25"/>
        </w:rPr>
      </w:pPr>
      <w:r>
        <w:rPr>
          <w:sz w:val="25"/>
        </w:rPr>
        <w:t xml:space="preserve">“Kontabilitate-ondorioak” terminoaren ordez “merkataritza-ondorioak” terminoa erabili dugula-eta, adierazi behar dugu, Parquenasan partaidetza-maileguen ondorioei buruz egin dugun analisian, uztailaren 4ko 16/2007 Legeari berari (zeinak 7/1996 Errege Lege-dekretuaren 20. artikuluaren d) apartatua aldatzen baitu eta aztergai dugun kasuaz ari baita) “</w:t>
      </w:r>
      <w:r>
        <w:rPr>
          <w:sz w:val="25"/>
          <w:i/>
          <w:iCs/>
        </w:rPr>
        <w:t xml:space="preserve">Merkataritza legeria </w:t>
      </w:r>
      <w:r>
        <w:rPr>
          <w:sz w:val="25"/>
          <w:i/>
          <w:iCs/>
          <w:u w:val="single"/>
        </w:rPr>
        <w:t xml:space="preserve">kontabilitatearen arloan</w:t>
      </w:r>
      <w:r>
        <w:rPr>
          <w:sz w:val="25"/>
          <w:i/>
          <w:iCs/>
        </w:rPr>
        <w:t xml:space="preserve"> erreformatu eta egokitzekoa</w:t>
      </w:r>
      <w:r>
        <w:rPr>
          <w:sz w:val="25"/>
        </w:rPr>
        <w:t xml:space="preserve">” deitu zaiola. Beraz, gure txostenean erabilitako terminologia zuzena da.</w:t>
      </w:r>
      <w:r>
        <w:rPr>
          <w:sz w:val="25"/>
        </w:rPr>
        <w:t xml:space="preserve"> </w:t>
      </w:r>
    </w:p>
    <w:p w14:paraId="7F0F6BB6" w14:textId="77777777" w:rsidR="007F230B" w:rsidRPr="005761F0" w:rsidRDefault="007F230B" w:rsidP="007F230B">
      <w:pPr>
        <w:pStyle w:val="Prrafodelista"/>
        <w:numPr>
          <w:ilvl w:val="0"/>
          <w:numId w:val="46"/>
        </w:numPr>
        <w:spacing w:after="160" w:line="259" w:lineRule="auto"/>
        <w:jc w:val="both"/>
        <w:rPr>
          <w:sz w:val="25"/>
          <w:szCs w:val="25"/>
        </w:rPr>
      </w:pPr>
      <w:r>
        <w:rPr>
          <w:sz w:val="25"/>
        </w:rPr>
        <w:t xml:space="preserve">Gure txostenak ez du behin ere aipatzen partaidetza-maileguen epearen arauketarik.</w:t>
      </w:r>
      <w:r>
        <w:rPr>
          <w:sz w:val="25"/>
        </w:rPr>
        <w:t xml:space="preserve"> </w:t>
      </w:r>
      <w:r>
        <w:rPr>
          <w:sz w:val="25"/>
        </w:rPr>
        <w:t xml:space="preserve">Soil-soilik Ganbera honek nabarmendu du Parquenasak 18 urte daramatzala egoera horretan eta ezin diola betiko eutsi horrela, ez delako konponbiderako inolako neurririk hartu.</w:t>
      </w:r>
    </w:p>
    <w:p w14:paraId="0DA41A3C" w14:textId="77777777" w:rsidR="007F230B" w:rsidRPr="005761F0" w:rsidRDefault="007F230B" w:rsidP="007F230B">
      <w:pPr>
        <w:pStyle w:val="Prrafodelista"/>
        <w:numPr>
          <w:ilvl w:val="0"/>
          <w:numId w:val="46"/>
        </w:numPr>
        <w:spacing w:after="160" w:line="259" w:lineRule="auto"/>
        <w:jc w:val="both"/>
        <w:rPr>
          <w:sz w:val="25"/>
          <w:szCs w:val="25"/>
        </w:rPr>
      </w:pPr>
      <w:r>
        <w:rPr>
          <w:sz w:val="25"/>
        </w:rPr>
        <w:t xml:space="preserve">Bistan da fiskalizatutako epeak hainbat legegintzaldi hartzen dituela, eta horretatik harago azken oharrak ez du ezer garrantzitsurik eransten gure txosteneko konklusioak aldarazten dituenik.</w:t>
      </w:r>
    </w:p>
    <w:p w14:paraId="6B8F1FAC" w14:textId="77777777" w:rsidR="007F230B" w:rsidRPr="007F230B" w:rsidRDefault="007F230B" w:rsidP="007F230B">
      <w:pPr>
        <w:pStyle w:val="texto"/>
        <w:numPr>
          <w:ilvl w:val="0"/>
          <w:numId w:val="45"/>
        </w:numPr>
        <w:tabs>
          <w:tab w:val="clear" w:pos="2835"/>
          <w:tab w:val="clear" w:pos="3969"/>
          <w:tab w:val="clear" w:pos="5103"/>
          <w:tab w:val="clear" w:pos="6237"/>
          <w:tab w:val="clear" w:pos="7371"/>
          <w:tab w:val="left" w:pos="480"/>
        </w:tabs>
        <w:rPr>
          <w:sz w:val="25"/>
          <w:szCs w:val="25"/>
        </w:rPr>
      </w:pPr>
      <w:r>
        <w:rPr>
          <w:sz w:val="25"/>
        </w:rPr>
        <w:t xml:space="preserve">Hirugarren alegazioari dagokionez, Nafarroako Garapen Sozietatea sortzeari buruzko 1/1984 Foru Legean eta Nafarroako Ondareari buruzko 14/2007 Foru Legean ezarritako zenbait betekizun betetzeari buruzko aipamenak txosteneko hainbat ataletan iruzkindu dira dagoeneko.</w:t>
      </w:r>
    </w:p>
    <w:p w14:paraId="6CBF0C4F" w14:textId="77777777" w:rsidR="00156B78" w:rsidRPr="007F230B" w:rsidRDefault="007F230B" w:rsidP="007F230B">
      <w:pPr>
        <w:pStyle w:val="texto"/>
      </w:pPr>
      <w:r>
        <w:rPr>
          <w:sz w:val="25"/>
          <w:b/>
        </w:rPr>
        <w:t xml:space="preserve">Amaitzeko</w:t>
      </w:r>
      <w:r>
        <w:rPr>
          <w:sz w:val="25"/>
        </w:rPr>
        <w:t xml:space="preserve">, kontabilitate gaietatik harago, Ganbera honek beharrezkotzat jotzen du azpimarratzea ez dela zentzuzkoa merkataritza sozietate pribatu bat, inguruan eragin sozioekonomiko nabarmena duen jarduera bat kudeatzen duena –ez dugu hori zalantzan jarri– oso-osorik funts publikoez mantentzea</w:t>
      </w:r>
      <w:r>
        <w:t xml:space="preserve">.</w:t>
      </w:r>
    </w:p>
    <w:sectPr w:rsidR="00156B78" w:rsidRPr="007F230B" w:rsidSect="002076D6">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DDC1" w14:textId="77777777" w:rsidR="00D86AAC" w:rsidRDefault="00D86AAC">
      <w:r>
        <w:separator/>
      </w:r>
    </w:p>
    <w:p w14:paraId="2FC53996" w14:textId="77777777" w:rsidR="00D86AAC" w:rsidRDefault="00D86AAC"/>
    <w:p w14:paraId="3C3F0EBA" w14:textId="77777777" w:rsidR="00D86AAC" w:rsidRDefault="00D86AAC"/>
    <w:p w14:paraId="5A24CA3D" w14:textId="77777777" w:rsidR="00D86AAC" w:rsidRDefault="00D86AAC"/>
  </w:endnote>
  <w:endnote w:type="continuationSeparator" w:id="0">
    <w:p w14:paraId="5D3860DC" w14:textId="77777777" w:rsidR="00D86AAC" w:rsidRDefault="00D86AAC">
      <w:r>
        <w:continuationSeparator/>
      </w:r>
    </w:p>
    <w:p w14:paraId="56E8B2A9" w14:textId="77777777" w:rsidR="00D86AAC" w:rsidRDefault="00D86AAC"/>
    <w:p w14:paraId="381AD5F6" w14:textId="77777777" w:rsidR="00D86AAC" w:rsidRDefault="00D86AAC"/>
    <w:p w14:paraId="788F0CAA" w14:textId="77777777" w:rsidR="00D86AAC" w:rsidRDefault="00D8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A8D" w14:textId="77777777" w:rsidR="00D86AAC" w:rsidRDefault="00D86A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87BD81" w14:textId="77777777" w:rsidR="00D86AAC" w:rsidRDefault="00D86AA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C92B" w14:textId="77777777" w:rsidR="00D86AAC" w:rsidRPr="00F03814" w:rsidRDefault="00D86AAC"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50E9B0C" wp14:editId="3C5ED2B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75CE5494" w14:textId="77777777" w:rsidR="00D86AAC" w:rsidRPr="00F74E38" w:rsidRDefault="00D86AA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2839" w14:textId="77777777" w:rsidR="00D86AAC" w:rsidRDefault="00D86AA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525F" w14:textId="77777777" w:rsidR="00D86AAC" w:rsidRDefault="00D86AAC" w:rsidP="00DF2666">
    <w:pPr>
      <w:pStyle w:val="BorradorProvisional"/>
      <w:spacing w:before="120" w:line="240" w:lineRule="atLeast"/>
      <w:ind w:left="0"/>
      <w:jc w:val="center"/>
    </w:pPr>
  </w:p>
  <w:p w14:paraId="7EBFDB54" w14:textId="77777777" w:rsidR="00D86AAC" w:rsidRPr="00861CCC" w:rsidRDefault="00D86AAC" w:rsidP="00F87E58">
    <w:pPr>
      <w:pStyle w:val="Piedepgina"/>
      <w:tabs>
        <w:tab w:val="clear" w:pos="4252"/>
        <w:tab w:val="clear" w:pos="8504"/>
        <w:tab w:val="center" w:pos="4440"/>
      </w:tabs>
      <w:spacing w:after="0"/>
      <w:ind w:right="29"/>
      <w:jc w:val="center"/>
      <w:rPr>
        <w:sz w:val="24"/>
        <w:szCs w:val="24"/>
        <w:rFonts w:ascii="Trajan" w:hAnsi="Trajan"/>
      </w:rPr>
    </w:pPr>
    <w:r>
      <w:rPr>
        <w:rStyle w:val="Nmerodepgina"/>
      </w:rPr>
      <w:t xml:space="preserve">- </w:t>
    </w:r>
    <w:r w:rsidRPr="00861CCC">
      <w:rPr>
        <w:rStyle w:val="Nmerodepgina"/>
      </w:rPr>
      <w:fldChar w:fldCharType="begin"/>
    </w:r>
    <w:r w:rsidRPr="00861CCC">
      <w:rPr>
        <w:rStyle w:val="Nmerodepgina"/>
      </w:rPr>
      <w:instrText xml:space="preserve"> PAGE </w:instrText>
    </w:r>
    <w:r w:rsidRPr="00861CCC">
      <w:rPr>
        <w:rStyle w:val="Nmerodepgina"/>
      </w:rPr>
      <w:fldChar w:fldCharType="separate"/>
    </w:r>
    <w:r w:rsidR="00D32AC1">
      <w:rPr>
        <w:rStyle w:val="Nmerodepgina"/>
      </w:rPr>
      <w:t>5</w:t>
    </w:r>
    <w:r w:rsidRPr="00861CCC">
      <w:rPr>
        <w:rStyle w:val="Nmerodepgina"/>
      </w:rPr>
      <w:fldChar w:fldCharType="end"/>
    </w:r>
    <w:r>
      <w:rPr>
        <w:rStyle w:val="Nmerodepgina"/>
      </w:rPr>
      <w:t xml:space="preserve"> -</w:t>
    </w:r>
  </w:p>
  <w:p w14:paraId="214E1709" w14:textId="77777777" w:rsidR="00D86AAC" w:rsidRPr="00F4525A" w:rsidRDefault="00D86AAC" w:rsidP="00F87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1078" w14:textId="77777777" w:rsidR="00D86AAC" w:rsidRDefault="00D86AAC">
      <w:r>
        <w:separator/>
      </w:r>
    </w:p>
  </w:footnote>
  <w:footnote w:type="continuationSeparator" w:id="0">
    <w:p w14:paraId="75D1AC8D" w14:textId="77777777" w:rsidR="00D86AAC" w:rsidRDefault="00D86AAC">
      <w:r>
        <w:continuationSeparator/>
      </w:r>
    </w:p>
    <w:p w14:paraId="07D5915E" w14:textId="77777777" w:rsidR="00D86AAC" w:rsidRDefault="00D86AAC"/>
    <w:p w14:paraId="2736653E" w14:textId="77777777" w:rsidR="00D86AAC" w:rsidRDefault="00D86AAC"/>
    <w:p w14:paraId="6CD6C7CC" w14:textId="77777777" w:rsidR="00D86AAC" w:rsidRDefault="00D86AAC"/>
  </w:footnote>
  <w:footnote w:id="1">
    <w:p w14:paraId="4380C053" w14:textId="77777777" w:rsidR="00D86AAC" w:rsidRPr="0097255E" w:rsidRDefault="00D86AAC" w:rsidP="00F87E58">
      <w:pPr>
        <w:pStyle w:val="Textonotapie"/>
        <w:rPr>
          <w:sz w:val="20"/>
          <w:szCs w:val="20"/>
        </w:rPr>
      </w:pPr>
      <w:r>
        <w:rPr>
          <w:rStyle w:val="Refdenotaalpie"/>
          <w:sz w:val="20"/>
          <w:szCs w:val="20"/>
        </w:rPr>
        <w:footnoteRef/>
      </w:r>
      <w:r>
        <w:rPr>
          <w:sz w:val="20"/>
        </w:rPr>
        <w:t xml:space="preserve"> Gaur egun 12 urteko epea dago, abenduaren 27ko 30/2018 Foru Legearen arabera.</w:t>
      </w:r>
    </w:p>
  </w:footnote>
  <w:footnote w:id="2">
    <w:p w14:paraId="3D5F0499" w14:textId="77777777" w:rsidR="00D86AAC" w:rsidRPr="00C372CC" w:rsidRDefault="00D86AAC">
      <w:pPr>
        <w:pStyle w:val="Textonotapie"/>
      </w:pPr>
      <w:r>
        <w:rPr>
          <w:rStyle w:val="Refdenotaalpie"/>
        </w:rPr>
        <w:footnoteRef/>
      </w:r>
      <w:r>
        <w:t xml:space="preserve"> 2022ko irailaren 30ean, Cofor Navarra SLU sozietatea azkendu egin zen, La Información SA sozietateak xurgatu eta harekin bat egiteko eragiketaren ondorioz.</w:t>
      </w:r>
    </w:p>
  </w:footnote>
  <w:footnote w:id="3">
    <w:p w14:paraId="01403043" w14:textId="77777777" w:rsidR="00D86AAC" w:rsidRPr="004110E8" w:rsidRDefault="00D86AAC" w:rsidP="00F87E58">
      <w:pPr>
        <w:pStyle w:val="Textonotapie"/>
        <w:rPr>
          <w:sz w:val="20"/>
          <w:szCs w:val="20"/>
        </w:rPr>
      </w:pPr>
      <w:r>
        <w:rPr>
          <w:rStyle w:val="Refdenotaalpie"/>
          <w:sz w:val="20"/>
          <w:szCs w:val="20"/>
        </w:rPr>
        <w:footnoteRef/>
      </w:r>
      <w:r>
        <w:rPr>
          <w:sz w:val="20"/>
        </w:rPr>
        <w:t xml:space="preserve"> Banco Vasconiak 10,5 milioiko kreditua eman zion Parquenasari, eta Nafarroako Kutxak 3,5 milioikoa.</w:t>
      </w:r>
      <w:r>
        <w:rPr>
          <w:sz w:val="20"/>
        </w:rPr>
        <w:t xml:space="preserve"> </w:t>
      </w:r>
    </w:p>
  </w:footnote>
  <w:footnote w:id="4">
    <w:p w14:paraId="1688232E" w14:textId="77777777" w:rsidR="00D86AAC" w:rsidRPr="004110E8" w:rsidRDefault="00D86AAC" w:rsidP="00F87E58">
      <w:pPr>
        <w:pStyle w:val="Textonotapie"/>
        <w:rPr>
          <w:sz w:val="20"/>
          <w:szCs w:val="20"/>
        </w:rPr>
      </w:pPr>
      <w:r>
        <w:rPr>
          <w:rStyle w:val="Refdenotaalpie"/>
          <w:sz w:val="20"/>
          <w:szCs w:val="20"/>
        </w:rPr>
        <w:footnoteRef/>
      </w:r>
      <w:r>
        <w:rPr>
          <w:sz w:val="20"/>
        </w:rPr>
        <w:t xml:space="preserve"> Interes, zerga, balio-galera eta amortizazioen aurretiko emaitzak.</w:t>
      </w:r>
    </w:p>
  </w:footnote>
  <w:footnote w:id="5">
    <w:p w14:paraId="7FBA4EF6" w14:textId="77777777" w:rsidR="00D86AAC" w:rsidRPr="00A11E69" w:rsidRDefault="00D86AAC" w:rsidP="00F87E58">
      <w:pPr>
        <w:pStyle w:val="Textonotapie"/>
      </w:pPr>
      <w:r>
        <w:rPr>
          <w:rStyle w:val="Refdenotaalpie"/>
        </w:rPr>
        <w:footnoteRef/>
      </w:r>
      <w:r>
        <w:t xml:space="preserve"> </w:t>
      </w:r>
      <w:r>
        <w:rPr>
          <w:sz w:val="20"/>
        </w:rPr>
        <w:t xml:space="preserve"> Nafarroako Gobernuko Kontu-hartzailetza Nagusiaren 2020-05-12ko, 2021-01-26ko eta 2022-03-08ko txostenak.</w:t>
      </w:r>
    </w:p>
  </w:footnote>
  <w:footnote w:id="6">
    <w:p w14:paraId="29742200" w14:textId="77777777" w:rsidR="00D86AAC" w:rsidRPr="00686962" w:rsidRDefault="00D86AAC" w:rsidP="00F87E58">
      <w:pPr>
        <w:pStyle w:val="Textonotapie"/>
      </w:pPr>
      <w:r>
        <w:rPr>
          <w:rStyle w:val="Refdenotaalpie"/>
        </w:rPr>
        <w:footnoteRef/>
      </w:r>
      <w:r>
        <w:t xml:space="preserve"> </w:t>
      </w:r>
      <w:r>
        <w:rPr>
          <w:sz w:val="20"/>
        </w:rPr>
        <w:t xml:space="preserve">Sodenak emandako informazioa.</w:t>
      </w:r>
    </w:p>
  </w:footnote>
  <w:footnote w:id="7">
    <w:p w14:paraId="67492826" w14:textId="77777777" w:rsidR="00D86AAC" w:rsidRPr="005E1A72" w:rsidRDefault="00D86AAC" w:rsidP="00F87E58">
      <w:pPr>
        <w:pStyle w:val="Textonotapie"/>
        <w:rPr>
          <w:sz w:val="20"/>
          <w:szCs w:val="20"/>
        </w:rPr>
      </w:pPr>
      <w:r>
        <w:rPr>
          <w:rStyle w:val="Refdenotaalpie"/>
          <w:sz w:val="20"/>
          <w:szCs w:val="20"/>
        </w:rPr>
        <w:footnoteRef/>
      </w:r>
      <w:r>
        <w:rPr>
          <w:sz w:val="20"/>
        </w:rPr>
        <w:t xml:space="preserve"> </w:t>
      </w:r>
      <w:r>
        <w:rPr>
          <w:sz w:val="18"/>
        </w:rPr>
        <w:t xml:space="preserve">Banco Vasconiak Parquenasari parkea eraikitzeko emandako mailegua</w:t>
      </w:r>
      <w:r>
        <w:rPr>
          <w:sz w:val="20"/>
        </w:rPr>
        <w:t xml:space="preserve">.</w:t>
      </w:r>
    </w:p>
  </w:footnote>
  <w:footnote w:id="8">
    <w:p w14:paraId="7C9624F3" w14:textId="77777777" w:rsidR="00D86AAC" w:rsidRPr="00045BCE" w:rsidRDefault="00D86AAC" w:rsidP="00F87E58">
      <w:pPr>
        <w:pStyle w:val="Textonotapie"/>
      </w:pPr>
      <w:r>
        <w:rPr>
          <w:rStyle w:val="Refdenotaalpie"/>
          <w:sz w:val="20"/>
          <w:szCs w:val="20"/>
        </w:rPr>
        <w:footnoteRef/>
      </w:r>
      <w:r>
        <w:rPr>
          <w:sz w:val="20"/>
        </w:rPr>
        <w:t xml:space="preserve"> </w:t>
      </w:r>
      <w:r>
        <w:rPr>
          <w:sz w:val="18"/>
        </w:rPr>
        <w:t xml:space="preserve">Nafarroako Kutxak Parquenasari parkea eraikitzeko emandako mailegua</w:t>
      </w:r>
      <w:r>
        <w:rPr>
          <w:sz w:val="20"/>
        </w:rPr>
        <w:t xml:space="preserve">.</w:t>
      </w:r>
    </w:p>
  </w:footnote>
  <w:footnote w:id="9">
    <w:p w14:paraId="271474BE" w14:textId="77777777" w:rsidR="00D86AAC" w:rsidRPr="005E1A72" w:rsidRDefault="00D86AAC" w:rsidP="00F87E58">
      <w:pPr>
        <w:pStyle w:val="Textonotapie"/>
        <w:rPr>
          <w:sz w:val="18"/>
          <w:szCs w:val="18"/>
        </w:rPr>
      </w:pPr>
      <w:r>
        <w:rPr>
          <w:rStyle w:val="Refdenotaalpie"/>
          <w:sz w:val="18"/>
          <w:szCs w:val="18"/>
        </w:rPr>
        <w:footnoteRef/>
      </w:r>
      <w:r>
        <w:rPr>
          <w:sz w:val="18"/>
        </w:rPr>
        <w:t xml:space="preserve"> Jarduera ekonomikoa sustatu eta liberalizatzeko presako neurriei buruzko uztailaren 7ko 7/1996 Errege Lege-dekretuaren 20.d) artikulua –Merkataritzako legeria kontabilitate arloan aldatu eta nazioartean harmonizatzeko Europar Batasunaren araudiaren arabera egokitzeko uztailaren 4ko 16/2007 Legearen bidez aldatu zen gero–.</w:t>
      </w:r>
    </w:p>
  </w:footnote>
  <w:footnote w:id="10">
    <w:p w14:paraId="56CF573E" w14:textId="77777777" w:rsidR="00D86AAC" w:rsidRPr="005E1A72" w:rsidRDefault="00D86AAC" w:rsidP="00F87E58">
      <w:pPr>
        <w:pStyle w:val="Textonotapie"/>
        <w:rPr>
          <w:sz w:val="18"/>
          <w:szCs w:val="18"/>
        </w:rPr>
      </w:pPr>
      <w:r>
        <w:rPr>
          <w:rStyle w:val="Refdenotaalpie"/>
          <w:sz w:val="18"/>
          <w:szCs w:val="18"/>
        </w:rPr>
        <w:footnoteRef/>
      </w:r>
      <w:r>
        <w:rPr>
          <w:sz w:val="18"/>
        </w:rPr>
        <w:t xml:space="preserve"> Kapitaleko Sozietateei buruzko Legearen testu bategina onesten duen uztailaren 2ko 1/2010 Legegintzako Errege Dekretuaren 363. artikulua.</w:t>
      </w:r>
    </w:p>
  </w:footnote>
  <w:footnote w:id="11">
    <w:p w14:paraId="6B52C488" w14:textId="77777777" w:rsidR="00D86AAC" w:rsidRPr="000F0192" w:rsidRDefault="00D86AAC" w:rsidP="00F87E58">
      <w:pPr>
        <w:pStyle w:val="Textonotapie"/>
        <w:rPr>
          <w:sz w:val="20"/>
          <w:szCs w:val="20"/>
        </w:rPr>
      </w:pPr>
      <w:r>
        <w:rPr>
          <w:rStyle w:val="Refdenotaalpie"/>
          <w:sz w:val="20"/>
          <w:szCs w:val="20"/>
        </w:rPr>
        <w:footnoteRef/>
      </w:r>
      <w:r>
        <w:rPr>
          <w:sz w:val="20"/>
        </w:rPr>
        <w:t xml:space="preserve"> Aholkularitza enpresek input-output taulen bidezko metodologian oinarrituta egindako txostenak.</w:t>
      </w:r>
    </w:p>
  </w:footnote>
  <w:footnote w:id="12">
    <w:p w14:paraId="614A7B88" w14:textId="77777777" w:rsidR="00D86AAC" w:rsidRPr="000F0192" w:rsidRDefault="00D86AAC" w:rsidP="00F87E58">
      <w:pPr>
        <w:pStyle w:val="Textonotapie"/>
        <w:rPr>
          <w:sz w:val="20"/>
          <w:szCs w:val="20"/>
        </w:rPr>
      </w:pPr>
      <w:r>
        <w:rPr>
          <w:rStyle w:val="Refdenotaalpie"/>
          <w:sz w:val="20"/>
          <w:szCs w:val="20"/>
        </w:rPr>
        <w:footnoteRef/>
      </w:r>
      <w:r>
        <w:rPr>
          <w:sz w:val="20"/>
        </w:rPr>
        <w:t xml:space="preserve"> Banco Vasconiaren eta Nafarroako Kutxaren maileguak.</w:t>
      </w:r>
    </w:p>
  </w:footnote>
  <w:footnote w:id="13">
    <w:p w14:paraId="0172006E" w14:textId="77777777" w:rsidR="00D86AAC" w:rsidRPr="000F0192" w:rsidRDefault="00D86AAC" w:rsidP="00F87E58">
      <w:pPr>
        <w:pStyle w:val="Textonotapie"/>
        <w:rPr>
          <w:sz w:val="20"/>
          <w:szCs w:val="20"/>
        </w:rPr>
      </w:pPr>
      <w:r>
        <w:rPr>
          <w:rStyle w:val="Refdenotaalpie"/>
          <w:sz w:val="20"/>
          <w:szCs w:val="20"/>
        </w:rPr>
        <w:footnoteRef/>
      </w:r>
      <w:r>
        <w:rPr>
          <w:sz w:val="20"/>
        </w:rPr>
        <w:t xml:space="preserve"> Sodenak onetsitako plana.</w:t>
      </w:r>
    </w:p>
  </w:footnote>
  <w:footnote w:id="14">
    <w:p w14:paraId="0D871E48" w14:textId="77777777" w:rsidR="00D86AAC" w:rsidRPr="00C6643F" w:rsidRDefault="00D86AAC" w:rsidP="00F87E58">
      <w:pPr>
        <w:pStyle w:val="Textonotapie"/>
        <w:rPr>
          <w:sz w:val="20"/>
          <w:szCs w:val="20"/>
        </w:rPr>
      </w:pPr>
      <w:r>
        <w:rPr>
          <w:rStyle w:val="Refdenotaalpie"/>
        </w:rPr>
        <w:footnoteRef/>
      </w:r>
      <w:r>
        <w:t xml:space="preserve"> </w:t>
      </w:r>
      <w:r>
        <w:rPr>
          <w:sz w:val="20"/>
        </w:rPr>
        <w:t xml:space="preserve">216/2019 Foru Dekretua, irailaren 11koa, Nafarroako Foru Komunitateko Administrazioaren enpresa-entitate publikoek, fundazio publikoek eta sozietate publikoek abalak eta maileguak emateko beharrezkoa den Nafarroako Gobernuaren baimena lortzeko prozedura arautzen duena.</w:t>
      </w:r>
    </w:p>
  </w:footnote>
  <w:footnote w:id="15">
    <w:p w14:paraId="13A16AFB" w14:textId="77777777" w:rsidR="00D86AAC" w:rsidRPr="000F0192" w:rsidRDefault="00D86AAC" w:rsidP="00F87E58">
      <w:pPr>
        <w:pStyle w:val="texto"/>
        <w:spacing w:after="0"/>
        <w:ind w:firstLine="0"/>
        <w:rPr>
          <w:sz w:val="20"/>
          <w:szCs w:val="20"/>
        </w:rPr>
      </w:pPr>
      <w:r>
        <w:rPr>
          <w:rStyle w:val="Refdenotaalpie"/>
          <w:sz w:val="20"/>
          <w:szCs w:val="20"/>
        </w:rPr>
        <w:footnoteRef/>
      </w:r>
      <w:r>
        <w:rPr>
          <w:sz w:val="20"/>
        </w:rPr>
        <w:t xml:space="preserve"> Parlamentuak berariazko baimena eman ezean, inongo pertsona fisiko edo juridiko ezin izanen da izan Nafarroako Foru Komunitateak formalizatutako azken zorpetze eragiketako interes tasaren % 50 baino interes tasa txikiagoa duen mailegu baten onuradun.</w:t>
      </w:r>
    </w:p>
  </w:footnote>
  <w:footnote w:id="16">
    <w:p w14:paraId="3291CE5A" w14:textId="77777777" w:rsidR="00D86AAC" w:rsidRPr="009C44C1" w:rsidRDefault="00D86AAC" w:rsidP="00F87E58">
      <w:pPr>
        <w:pStyle w:val="Textonotapie"/>
      </w:pPr>
      <w:r>
        <w:rPr>
          <w:rStyle w:val="Refdenotaalpie"/>
          <w:sz w:val="20"/>
          <w:szCs w:val="20"/>
        </w:rPr>
        <w:footnoteRef/>
      </w:r>
      <w:r>
        <w:rPr>
          <w:sz w:val="20"/>
        </w:rPr>
        <w:t xml:space="preserve"> Sodenaren urteko kontuak auditoretzako enpresa pribatu batzuek auditatzen dituzte</w:t>
      </w:r>
      <w:r>
        <w:t xml:space="preserve">.</w:t>
      </w:r>
      <w:r>
        <w:t xml:space="preserve"> </w:t>
      </w:r>
    </w:p>
  </w:footnote>
  <w:footnote w:id="17">
    <w:p w14:paraId="1EA62681" w14:textId="77777777" w:rsidR="00D86AAC" w:rsidRPr="00C17061" w:rsidRDefault="00D86AAC" w:rsidP="00F87E58">
      <w:pPr>
        <w:pStyle w:val="Textonotapie"/>
        <w:rPr>
          <w:sz w:val="20"/>
          <w:szCs w:val="20"/>
        </w:rPr>
      </w:pPr>
      <w:r>
        <w:rPr>
          <w:rStyle w:val="Refdenotaalpie"/>
          <w:sz w:val="20"/>
          <w:szCs w:val="20"/>
        </w:rPr>
        <w:footnoteRef/>
      </w:r>
      <w:r>
        <w:rPr>
          <w:sz w:val="20"/>
        </w:rPr>
        <w:t xml:space="preserve"> Fiskalizazio txostena, Sodena sozietate publikoak Parquenasa sozietateari 2020an gehienez 5,9 milioiko mailegua eman diezaion baimena ematen duen Gobernu Erabaki proposamenari buruzkoa</w:t>
      </w:r>
      <w:r>
        <w:rPr>
          <w:sz w:val="20"/>
          <w:color w:val="000000"/>
        </w:rPr>
        <w:t xml:space="preserve">.</w:t>
      </w:r>
    </w:p>
  </w:footnote>
  <w:footnote w:id="18">
    <w:p w14:paraId="671FEFDA" w14:textId="77777777" w:rsidR="00D86AAC" w:rsidRPr="000F0192" w:rsidRDefault="00D86AAC" w:rsidP="00F87E58">
      <w:pPr>
        <w:pStyle w:val="Textonotapie"/>
        <w:rPr>
          <w:sz w:val="20"/>
          <w:szCs w:val="20"/>
        </w:rPr>
      </w:pPr>
      <w:r>
        <w:rPr>
          <w:rStyle w:val="Refdenotaalpie"/>
          <w:sz w:val="20"/>
          <w:szCs w:val="20"/>
        </w:rPr>
        <w:footnoteRef/>
      </w:r>
      <w:r>
        <w:rPr>
          <w:sz w:val="20"/>
        </w:rPr>
        <w:t xml:space="preserve"> </w:t>
      </w:r>
      <w:r>
        <w:rPr>
          <w:sz w:val="20"/>
          <w:color w:val="000000"/>
        </w:rPr>
        <w:t xml:space="preserve">Fiskalizazio txostena, “SODENA” sozietate publikoak 2021eko ekitaldian, orotara, gehienez 6.300.000 euroko maileguak eman ditzan eta Parque de la Naturaleza de Navarra SAri gehienez 1.700.000 euroko mailegua eman diezaion baimena ematen duen Gobernu Erabakiari buruzkoa.</w:t>
      </w:r>
      <w:r>
        <w:rPr>
          <w:sz w:val="20"/>
          <w:color w:val="000000"/>
        </w:rPr>
        <w:t xml:space="preserve"> </w:t>
      </w:r>
    </w:p>
  </w:footnote>
  <w:footnote w:id="19">
    <w:p w14:paraId="4F415D3E" w14:textId="77777777" w:rsidR="00D86AAC" w:rsidRPr="005E1A72" w:rsidRDefault="00D86AAC" w:rsidP="00F87E58">
      <w:pPr>
        <w:pStyle w:val="Textonotapie"/>
        <w:rPr>
          <w:sz w:val="20"/>
          <w:szCs w:val="20"/>
        </w:rPr>
      </w:pPr>
      <w:r>
        <w:rPr>
          <w:rStyle w:val="Refdenotaalpie"/>
          <w:sz w:val="20"/>
          <w:szCs w:val="20"/>
        </w:rPr>
        <w:footnoteRef/>
      </w:r>
      <w:r>
        <w:rPr>
          <w:sz w:val="20"/>
        </w:rPr>
        <w:t xml:space="preserve"> Lehenengo kapital-murrizketa 2005eko ekainean egin zen.</w:t>
      </w:r>
    </w:p>
  </w:footnote>
  <w:footnote w:id="20">
    <w:p w14:paraId="19A2E9FE" w14:textId="77777777" w:rsidR="00D86AAC" w:rsidRPr="005E1A72" w:rsidRDefault="00D86AAC" w:rsidP="00F87E58">
      <w:pPr>
        <w:pStyle w:val="Textonotapie"/>
        <w:rPr>
          <w:sz w:val="20"/>
          <w:szCs w:val="20"/>
        </w:rPr>
      </w:pPr>
      <w:r>
        <w:rPr>
          <w:rStyle w:val="Refdenotaalpie"/>
          <w:sz w:val="20"/>
          <w:szCs w:val="20"/>
        </w:rPr>
        <w:footnoteRef/>
      </w:r>
      <w:r>
        <w:rPr>
          <w:sz w:val="20"/>
        </w:rPr>
        <w:t xml:space="preserve"> 1159/2010 Errege Dekretua, irailaren 17koa, urteko kontu bateratuak egiteko arauak onesten dituena.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C53" w14:textId="77777777" w:rsidR="00D86AAC" w:rsidRDefault="00D86AAC" w:rsidP="00F87E58">
    <w:pPr>
      <w:pStyle w:val="Encabezado"/>
      <w:pBdr>
        <w:bottom w:val="single" w:sz="4" w:space="2" w:color="auto"/>
      </w:pBdr>
      <w:spacing w:after="40"/>
      <w:ind w:firstLine="0"/>
      <w:jc w:val="left"/>
    </w:pPr>
    <w:r>
      <w:rPr>
        <w:b/>
      </w:rPr>
      <w:drawing>
        <wp:inline distT="0" distB="0" distL="0" distR="0" wp14:anchorId="0D5DB8EF" wp14:editId="5F8C510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FA8DD68" w14:textId="77777777" w:rsidR="00D86AAC" w:rsidRPr="0059650E" w:rsidRDefault="00D86AAC" w:rsidP="00F87E58">
    <w:pPr>
      <w:pStyle w:val="Encabezado"/>
      <w:pBdr>
        <w:bottom w:val="single" w:sz="4" w:space="2" w:color="auto"/>
      </w:pBdr>
      <w:ind w:firstLine="0"/>
    </w:pPr>
    <w:r>
      <w:t xml:space="preserve">SODENAK PARQUENASARI EGINDAKO EKARPEN FINANTZARIOEI BURUZKO TXOSTENA (2001-2023)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796" w14:textId="77777777" w:rsidR="00D86AAC" w:rsidRDefault="00D86AAC" w:rsidP="006A2D41">
    <w:pPr>
      <w:pStyle w:val="Encabezado"/>
      <w:ind w:firstLine="0"/>
      <w:jc w:val="left"/>
    </w:pPr>
    <w:r>
      <w:drawing>
        <wp:inline distT="0" distB="0" distL="0" distR="0" wp14:anchorId="1CC732B1" wp14:editId="20F0733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E3A3" w14:textId="77777777" w:rsidR="00D86AAC" w:rsidRDefault="00D86AAC"/>
  <w:p w14:paraId="38759AC3" w14:textId="77777777" w:rsidR="00D86AAC" w:rsidRDefault="00D86AAC"/>
  <w:p w14:paraId="12BF0DAC" w14:textId="77777777" w:rsidR="00D86AAC" w:rsidRDefault="00D86A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CFA4" w14:textId="77777777" w:rsidR="00D86AAC" w:rsidRDefault="00D86AAC"/>
  <w:p w14:paraId="28ACBA58" w14:textId="77777777" w:rsidR="00D86AAC" w:rsidRDefault="00D86AAC"/>
  <w:p w14:paraId="05758DE0" w14:textId="77777777" w:rsidR="00D86AAC" w:rsidRDefault="00D86A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5C4"/>
    <w:multiLevelType w:val="hybridMultilevel"/>
    <w:tmpl w:val="8A6E00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3894F6E"/>
    <w:multiLevelType w:val="hybridMultilevel"/>
    <w:tmpl w:val="C6E00072"/>
    <w:lvl w:ilvl="0" w:tplc="55F4EE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50B1FBF"/>
    <w:multiLevelType w:val="hybridMultilevel"/>
    <w:tmpl w:val="59C2BD3E"/>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1F32C9"/>
    <w:multiLevelType w:val="hybridMultilevel"/>
    <w:tmpl w:val="F9527E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000F48"/>
    <w:multiLevelType w:val="hybridMultilevel"/>
    <w:tmpl w:val="E58481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19078F"/>
    <w:multiLevelType w:val="hybridMultilevel"/>
    <w:tmpl w:val="834431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5B44A7"/>
    <w:multiLevelType w:val="hybridMultilevel"/>
    <w:tmpl w:val="07686228"/>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7" w15:restartNumberingAfterBreak="0">
    <w:nsid w:val="0C960C6B"/>
    <w:multiLevelType w:val="hybridMultilevel"/>
    <w:tmpl w:val="1630A99C"/>
    <w:lvl w:ilvl="0" w:tplc="5518D298">
      <w:start w:val="693"/>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F3D37A4"/>
    <w:multiLevelType w:val="hybridMultilevel"/>
    <w:tmpl w:val="76FC1512"/>
    <w:lvl w:ilvl="0" w:tplc="F90A7608">
      <w:start w:val="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0F44518A"/>
    <w:multiLevelType w:val="hybridMultilevel"/>
    <w:tmpl w:val="A3DCDC28"/>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FC51ACB"/>
    <w:multiLevelType w:val="hybridMultilevel"/>
    <w:tmpl w:val="DB4C892C"/>
    <w:lvl w:ilvl="0" w:tplc="717ADA1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10843896"/>
    <w:multiLevelType w:val="hybridMultilevel"/>
    <w:tmpl w:val="094CEDC0"/>
    <w:lvl w:ilvl="0" w:tplc="9360773E">
      <w:start w:val="1"/>
      <w:numFmt w:val="lowerLetter"/>
      <w:lvlText w:val="%1)"/>
      <w:lvlJc w:val="left"/>
      <w:pPr>
        <w:ind w:left="100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3" w15:restartNumberingAfterBreak="0">
    <w:nsid w:val="16CC3D36"/>
    <w:multiLevelType w:val="hybridMultilevel"/>
    <w:tmpl w:val="2140E97C"/>
    <w:lvl w:ilvl="0" w:tplc="40B2738E">
      <w:numFmt w:val="bullet"/>
      <w:lvlText w:val="-"/>
      <w:lvlJc w:val="left"/>
      <w:pPr>
        <w:ind w:left="840" w:hanging="360"/>
      </w:pPr>
      <w:rPr>
        <w:rFonts w:ascii="Calibri" w:eastAsiaTheme="minorHAnsi" w:hAnsi="Calibri" w:cs="Calibri"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4" w15:restartNumberingAfterBreak="0">
    <w:nsid w:val="18286E14"/>
    <w:multiLevelType w:val="hybridMultilevel"/>
    <w:tmpl w:val="A8F687A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1E9167DD"/>
    <w:multiLevelType w:val="hybridMultilevel"/>
    <w:tmpl w:val="B7A815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6A65964"/>
    <w:multiLevelType w:val="hybridMultilevel"/>
    <w:tmpl w:val="1BEEC3F6"/>
    <w:lvl w:ilvl="0" w:tplc="F90A7608">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CE6DB7"/>
    <w:multiLevelType w:val="multilevel"/>
    <w:tmpl w:val="C92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C622E"/>
    <w:multiLevelType w:val="hybridMultilevel"/>
    <w:tmpl w:val="B9625DFC"/>
    <w:lvl w:ilvl="0" w:tplc="075A5E10">
      <w:start w:val="1"/>
      <w:numFmt w:val="bullet"/>
      <w:lvlText w:val="-"/>
      <w:lvlJc w:val="left"/>
      <w:pPr>
        <w:ind w:left="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8C378">
      <w:start w:val="1"/>
      <w:numFmt w:val="bullet"/>
      <w:lvlText w:val="o"/>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2F186">
      <w:start w:val="1"/>
      <w:numFmt w:val="bullet"/>
      <w:lvlText w:val="▪"/>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8307C">
      <w:start w:val="1"/>
      <w:numFmt w:val="bullet"/>
      <w:lvlText w:val="•"/>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CECA0">
      <w:start w:val="1"/>
      <w:numFmt w:val="bullet"/>
      <w:lvlText w:val="o"/>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18317C">
      <w:start w:val="1"/>
      <w:numFmt w:val="bullet"/>
      <w:lvlText w:val="▪"/>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88148E">
      <w:start w:val="1"/>
      <w:numFmt w:val="bullet"/>
      <w:lvlText w:val="•"/>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DE7464">
      <w:start w:val="1"/>
      <w:numFmt w:val="bullet"/>
      <w:lvlText w:val="o"/>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CC6380">
      <w:start w:val="1"/>
      <w:numFmt w:val="bullet"/>
      <w:lvlText w:val="▪"/>
      <w:lvlJc w:val="left"/>
      <w:pPr>
        <w:ind w:left="6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7D190E"/>
    <w:multiLevelType w:val="hybridMultilevel"/>
    <w:tmpl w:val="CAC0C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6D5EEE"/>
    <w:multiLevelType w:val="hybridMultilevel"/>
    <w:tmpl w:val="856AAB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3637FB2"/>
    <w:multiLevelType w:val="hybridMultilevel"/>
    <w:tmpl w:val="B9FC6D6A"/>
    <w:lvl w:ilvl="0" w:tplc="B860EAA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4577E06"/>
    <w:multiLevelType w:val="hybridMultilevel"/>
    <w:tmpl w:val="E8743D9E"/>
    <w:lvl w:ilvl="0" w:tplc="51605036">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8683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DC70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BE7B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C449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62705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4626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6ADB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EE3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81C0B14"/>
    <w:multiLevelType w:val="hybridMultilevel"/>
    <w:tmpl w:val="7A766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936EA1"/>
    <w:multiLevelType w:val="hybridMultilevel"/>
    <w:tmpl w:val="DCCE5B9A"/>
    <w:lvl w:ilvl="0" w:tplc="F90A7608">
      <w:start w:val="2"/>
      <w:numFmt w:val="bullet"/>
      <w:lvlText w:val="-"/>
      <w:lvlJc w:val="left"/>
      <w:pPr>
        <w:ind w:left="640" w:hanging="360"/>
      </w:pPr>
      <w:rPr>
        <w:rFonts w:ascii="Times New Roman" w:eastAsia="Times New Roman" w:hAnsi="Times New Roman" w:cs="Times New Roman" w:hint="default"/>
      </w:rPr>
    </w:lvl>
    <w:lvl w:ilvl="1" w:tplc="0C0A0003">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6" w15:restartNumberingAfterBreak="0">
    <w:nsid w:val="4D481055"/>
    <w:multiLevelType w:val="hybridMultilevel"/>
    <w:tmpl w:val="6F685324"/>
    <w:lvl w:ilvl="0" w:tplc="F90A7608">
      <w:start w:val="2"/>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4EB77532"/>
    <w:multiLevelType w:val="hybridMultilevel"/>
    <w:tmpl w:val="AAFC37A4"/>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515A39CC"/>
    <w:multiLevelType w:val="hybridMultilevel"/>
    <w:tmpl w:val="02C6E618"/>
    <w:lvl w:ilvl="0" w:tplc="40B2738E">
      <w:numFmt w:val="bullet"/>
      <w:lvlText w:val="-"/>
      <w:lvlJc w:val="left"/>
      <w:pPr>
        <w:ind w:left="1360" w:hanging="360"/>
      </w:pPr>
      <w:rPr>
        <w:rFonts w:ascii="Calibri" w:eastAsiaTheme="minorHAnsi" w:hAnsi="Calibri" w:cs="Calibri"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29" w15:restartNumberingAfterBreak="0">
    <w:nsid w:val="53D73090"/>
    <w:multiLevelType w:val="hybridMultilevel"/>
    <w:tmpl w:val="4D121E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41906D0"/>
    <w:multiLevelType w:val="hybridMultilevel"/>
    <w:tmpl w:val="F4087E82"/>
    <w:lvl w:ilvl="0" w:tplc="0C0A0001">
      <w:start w:val="1"/>
      <w:numFmt w:val="bullet"/>
      <w:lvlText w:val=""/>
      <w:lvlJc w:val="left"/>
      <w:pPr>
        <w:ind w:left="6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31" w15:restartNumberingAfterBreak="0">
    <w:nsid w:val="56A65EEF"/>
    <w:multiLevelType w:val="hybridMultilevel"/>
    <w:tmpl w:val="A29CB86E"/>
    <w:lvl w:ilvl="0" w:tplc="E3586544">
      <w:start w:val="1"/>
      <w:numFmt w:val="bullet"/>
      <w:lvlText w:val="-"/>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0E5AC">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403EC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AAFE2">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E7292">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6C428">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DCB1F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4A3F9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09BF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3D7C53"/>
    <w:multiLevelType w:val="hybridMultilevel"/>
    <w:tmpl w:val="C8A02826"/>
    <w:lvl w:ilvl="0" w:tplc="9970C3F4">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9BC5CD6"/>
    <w:multiLevelType w:val="hybridMultilevel"/>
    <w:tmpl w:val="774065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F65CFC"/>
    <w:multiLevelType w:val="hybridMultilevel"/>
    <w:tmpl w:val="0C9E8F6E"/>
    <w:lvl w:ilvl="0" w:tplc="F90A7608">
      <w:start w:val="2"/>
      <w:numFmt w:val="bullet"/>
      <w:lvlText w:val="-"/>
      <w:lvlJc w:val="left"/>
      <w:pPr>
        <w:ind w:left="1009" w:hanging="360"/>
      </w:pPr>
      <w:rPr>
        <w:rFonts w:ascii="Times New Roman" w:eastAsia="Times New Roman" w:hAnsi="Times New Roman" w:cs="Times New Roman"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35" w15:restartNumberingAfterBreak="0">
    <w:nsid w:val="5BBE5ABB"/>
    <w:multiLevelType w:val="hybridMultilevel"/>
    <w:tmpl w:val="FC38B1E0"/>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36" w15:restartNumberingAfterBreak="0">
    <w:nsid w:val="5C666DE5"/>
    <w:multiLevelType w:val="hybridMultilevel"/>
    <w:tmpl w:val="6764E6E2"/>
    <w:lvl w:ilvl="0" w:tplc="0C0A0017">
      <w:start w:val="1"/>
      <w:numFmt w:val="lowerLetter"/>
      <w:lvlText w:val="%1)"/>
      <w:lvlJc w:val="left"/>
      <w:pPr>
        <w:ind w:left="1000" w:hanging="360"/>
      </w:pPr>
    </w:lvl>
    <w:lvl w:ilvl="1" w:tplc="0C0A0019">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37" w15:restartNumberingAfterBreak="0">
    <w:nsid w:val="61570B73"/>
    <w:multiLevelType w:val="hybridMultilevel"/>
    <w:tmpl w:val="45403CBC"/>
    <w:lvl w:ilvl="0" w:tplc="80E65498">
      <w:start w:val="1"/>
      <w:numFmt w:val="bullet"/>
      <w:lvlText w:val=""/>
      <w:lvlJc w:val="left"/>
      <w:pPr>
        <w:ind w:left="502" w:hanging="360"/>
      </w:pPr>
      <w:rPr>
        <w:rFonts w:ascii="Symbol" w:hAnsi="Symbol" w:hint="default"/>
        <w:sz w:val="26"/>
        <w:szCs w:val="26"/>
      </w:rPr>
    </w:lvl>
    <w:lvl w:ilvl="1" w:tplc="0C0A0003">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38"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6FC953AA"/>
    <w:multiLevelType w:val="hybridMultilevel"/>
    <w:tmpl w:val="140698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2D059B"/>
    <w:multiLevelType w:val="hybridMultilevel"/>
    <w:tmpl w:val="DB54CA5E"/>
    <w:lvl w:ilvl="0" w:tplc="C24A300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56332C"/>
    <w:multiLevelType w:val="hybridMultilevel"/>
    <w:tmpl w:val="BDD88B0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4" w15:restartNumberingAfterBreak="0">
    <w:nsid w:val="7EF00CC5"/>
    <w:multiLevelType w:val="hybridMultilevel"/>
    <w:tmpl w:val="1CFA24BC"/>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45" w15:restartNumberingAfterBreak="0">
    <w:nsid w:val="7F187FDD"/>
    <w:multiLevelType w:val="hybridMultilevel"/>
    <w:tmpl w:val="F27E6E30"/>
    <w:lvl w:ilvl="0" w:tplc="F00A43B6">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46" w15:restartNumberingAfterBreak="0">
    <w:nsid w:val="7FC74043"/>
    <w:multiLevelType w:val="hybridMultilevel"/>
    <w:tmpl w:val="6232835E"/>
    <w:lvl w:ilvl="0" w:tplc="6606941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628469605">
    <w:abstractNumId w:val="43"/>
  </w:num>
  <w:num w:numId="2" w16cid:durableId="1979921176">
    <w:abstractNumId w:val="38"/>
  </w:num>
  <w:num w:numId="3" w16cid:durableId="200214027">
    <w:abstractNumId w:val="12"/>
  </w:num>
  <w:num w:numId="4" w16cid:durableId="224147069">
    <w:abstractNumId w:val="23"/>
  </w:num>
  <w:num w:numId="5" w16cid:durableId="1924415308">
    <w:abstractNumId w:val="39"/>
  </w:num>
  <w:num w:numId="6" w16cid:durableId="1181701005">
    <w:abstractNumId w:val="12"/>
  </w:num>
  <w:num w:numId="7" w16cid:durableId="713775621">
    <w:abstractNumId w:val="12"/>
  </w:num>
  <w:num w:numId="8" w16cid:durableId="64689095">
    <w:abstractNumId w:val="12"/>
  </w:num>
  <w:num w:numId="9" w16cid:durableId="557588491">
    <w:abstractNumId w:val="37"/>
  </w:num>
  <w:num w:numId="10" w16cid:durableId="1250847916">
    <w:abstractNumId w:val="0"/>
  </w:num>
  <w:num w:numId="11" w16cid:durableId="1519661790">
    <w:abstractNumId w:val="35"/>
  </w:num>
  <w:num w:numId="12" w16cid:durableId="1592201803">
    <w:abstractNumId w:val="36"/>
  </w:num>
  <w:num w:numId="13" w16cid:durableId="1771120168">
    <w:abstractNumId w:val="45"/>
  </w:num>
  <w:num w:numId="14" w16cid:durableId="610285425">
    <w:abstractNumId w:val="44"/>
  </w:num>
  <w:num w:numId="15" w16cid:durableId="471824800">
    <w:abstractNumId w:val="30"/>
  </w:num>
  <w:num w:numId="16" w16cid:durableId="1272014965">
    <w:abstractNumId w:val="28"/>
  </w:num>
  <w:num w:numId="17" w16cid:durableId="1079860805">
    <w:abstractNumId w:val="6"/>
  </w:num>
  <w:num w:numId="18" w16cid:durableId="47607307">
    <w:abstractNumId w:val="33"/>
  </w:num>
  <w:num w:numId="19" w16cid:durableId="908029889">
    <w:abstractNumId w:val="29"/>
  </w:num>
  <w:num w:numId="20" w16cid:durableId="732433370">
    <w:abstractNumId w:val="25"/>
  </w:num>
  <w:num w:numId="21" w16cid:durableId="1826238643">
    <w:abstractNumId w:val="34"/>
  </w:num>
  <w:num w:numId="22" w16cid:durableId="142551371">
    <w:abstractNumId w:val="7"/>
  </w:num>
  <w:num w:numId="23" w16cid:durableId="246117576">
    <w:abstractNumId w:val="19"/>
  </w:num>
  <w:num w:numId="24" w16cid:durableId="1045640755">
    <w:abstractNumId w:val="24"/>
  </w:num>
  <w:num w:numId="25" w16cid:durableId="1966739447">
    <w:abstractNumId w:val="11"/>
  </w:num>
  <w:num w:numId="26" w16cid:durableId="1394962260">
    <w:abstractNumId w:val="13"/>
  </w:num>
  <w:num w:numId="27" w16cid:durableId="2088335938">
    <w:abstractNumId w:val="15"/>
  </w:num>
  <w:num w:numId="28" w16cid:durableId="1771969991">
    <w:abstractNumId w:val="40"/>
  </w:num>
  <w:num w:numId="29" w16cid:durableId="1055547867">
    <w:abstractNumId w:val="3"/>
  </w:num>
  <w:num w:numId="30" w16cid:durableId="2046325424">
    <w:abstractNumId w:val="1"/>
  </w:num>
  <w:num w:numId="31" w16cid:durableId="1175800913">
    <w:abstractNumId w:val="10"/>
  </w:num>
  <w:num w:numId="32" w16cid:durableId="520242304">
    <w:abstractNumId w:val="16"/>
  </w:num>
  <w:num w:numId="33" w16cid:durableId="845554911">
    <w:abstractNumId w:val="2"/>
  </w:num>
  <w:num w:numId="34" w16cid:durableId="1319766284">
    <w:abstractNumId w:val="27"/>
  </w:num>
  <w:num w:numId="35" w16cid:durableId="268902666">
    <w:abstractNumId w:val="42"/>
  </w:num>
  <w:num w:numId="36" w16cid:durableId="307632151">
    <w:abstractNumId w:val="9"/>
  </w:num>
  <w:num w:numId="37" w16cid:durableId="872225934">
    <w:abstractNumId w:val="46"/>
  </w:num>
  <w:num w:numId="38" w16cid:durableId="1926448670">
    <w:abstractNumId w:val="14"/>
  </w:num>
  <w:num w:numId="39" w16cid:durableId="1012996584">
    <w:abstractNumId w:val="8"/>
  </w:num>
  <w:num w:numId="40" w16cid:durableId="1696688347">
    <w:abstractNumId w:val="17"/>
  </w:num>
  <w:num w:numId="41" w16cid:durableId="708339069">
    <w:abstractNumId w:val="26"/>
  </w:num>
  <w:num w:numId="42" w16cid:durableId="330838077">
    <w:abstractNumId w:val="5"/>
  </w:num>
  <w:num w:numId="43" w16cid:durableId="243806203">
    <w:abstractNumId w:val="21"/>
  </w:num>
  <w:num w:numId="44" w16cid:durableId="328293206">
    <w:abstractNumId w:val="41"/>
  </w:num>
  <w:num w:numId="45" w16cid:durableId="888342550">
    <w:abstractNumId w:val="20"/>
  </w:num>
  <w:num w:numId="46" w16cid:durableId="212666011">
    <w:abstractNumId w:val="32"/>
  </w:num>
  <w:num w:numId="47" w16cid:durableId="1589581617">
    <w:abstractNumId w:val="4"/>
  </w:num>
  <w:num w:numId="48" w16cid:durableId="2123962552">
    <w:abstractNumId w:val="22"/>
  </w:num>
  <w:num w:numId="49" w16cid:durableId="1295024090">
    <w:abstractNumId w:val="31"/>
  </w:num>
  <w:num w:numId="50" w16cid:durableId="30307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58"/>
    <w:rsid w:val="000019D8"/>
    <w:rsid w:val="00006736"/>
    <w:rsid w:val="00006A97"/>
    <w:rsid w:val="0001123B"/>
    <w:rsid w:val="00012A7F"/>
    <w:rsid w:val="00017A3A"/>
    <w:rsid w:val="00027F0D"/>
    <w:rsid w:val="00036E42"/>
    <w:rsid w:val="0004373B"/>
    <w:rsid w:val="000448FA"/>
    <w:rsid w:val="00053A42"/>
    <w:rsid w:val="0005517D"/>
    <w:rsid w:val="0006133D"/>
    <w:rsid w:val="00063585"/>
    <w:rsid w:val="00071CD0"/>
    <w:rsid w:val="00075677"/>
    <w:rsid w:val="00075692"/>
    <w:rsid w:val="00085A19"/>
    <w:rsid w:val="00087B8D"/>
    <w:rsid w:val="00093D67"/>
    <w:rsid w:val="00093E60"/>
    <w:rsid w:val="000A18B7"/>
    <w:rsid w:val="000A2C1E"/>
    <w:rsid w:val="000A4697"/>
    <w:rsid w:val="000B2728"/>
    <w:rsid w:val="000B3943"/>
    <w:rsid w:val="000B4477"/>
    <w:rsid w:val="000C0704"/>
    <w:rsid w:val="000C2B07"/>
    <w:rsid w:val="000C39CC"/>
    <w:rsid w:val="000C7566"/>
    <w:rsid w:val="000D06D2"/>
    <w:rsid w:val="000D188E"/>
    <w:rsid w:val="000D5335"/>
    <w:rsid w:val="000E7B86"/>
    <w:rsid w:val="000F2B66"/>
    <w:rsid w:val="000F3D83"/>
    <w:rsid w:val="00100F12"/>
    <w:rsid w:val="00103589"/>
    <w:rsid w:val="001045C9"/>
    <w:rsid w:val="00107CC1"/>
    <w:rsid w:val="00110694"/>
    <w:rsid w:val="00111A92"/>
    <w:rsid w:val="00112FA0"/>
    <w:rsid w:val="001145C3"/>
    <w:rsid w:val="001161D2"/>
    <w:rsid w:val="00131DF1"/>
    <w:rsid w:val="00132C38"/>
    <w:rsid w:val="00133984"/>
    <w:rsid w:val="00135BB7"/>
    <w:rsid w:val="001365C4"/>
    <w:rsid w:val="0014147D"/>
    <w:rsid w:val="00141D29"/>
    <w:rsid w:val="0014506A"/>
    <w:rsid w:val="0014728F"/>
    <w:rsid w:val="001521A2"/>
    <w:rsid w:val="00152358"/>
    <w:rsid w:val="00155BFF"/>
    <w:rsid w:val="00156B78"/>
    <w:rsid w:val="00160F66"/>
    <w:rsid w:val="001633AF"/>
    <w:rsid w:val="00166A6C"/>
    <w:rsid w:val="001728D0"/>
    <w:rsid w:val="00173EDD"/>
    <w:rsid w:val="0017402B"/>
    <w:rsid w:val="00181D37"/>
    <w:rsid w:val="001835B7"/>
    <w:rsid w:val="0018426B"/>
    <w:rsid w:val="00185A37"/>
    <w:rsid w:val="00194309"/>
    <w:rsid w:val="0019660E"/>
    <w:rsid w:val="001A6C6C"/>
    <w:rsid w:val="001B39E2"/>
    <w:rsid w:val="001C2B26"/>
    <w:rsid w:val="001C3A32"/>
    <w:rsid w:val="001D4F09"/>
    <w:rsid w:val="001F1482"/>
    <w:rsid w:val="001F20D7"/>
    <w:rsid w:val="001F7744"/>
    <w:rsid w:val="002014EB"/>
    <w:rsid w:val="00202B1A"/>
    <w:rsid w:val="00204979"/>
    <w:rsid w:val="002076D6"/>
    <w:rsid w:val="00211D69"/>
    <w:rsid w:val="002179DB"/>
    <w:rsid w:val="0022446B"/>
    <w:rsid w:val="00227E48"/>
    <w:rsid w:val="00230577"/>
    <w:rsid w:val="0023159D"/>
    <w:rsid w:val="0023209D"/>
    <w:rsid w:val="00232D34"/>
    <w:rsid w:val="002333F8"/>
    <w:rsid w:val="00233D79"/>
    <w:rsid w:val="00234D3C"/>
    <w:rsid w:val="00237657"/>
    <w:rsid w:val="00242BA7"/>
    <w:rsid w:val="002437B5"/>
    <w:rsid w:val="00244EF1"/>
    <w:rsid w:val="00246F21"/>
    <w:rsid w:val="002523A8"/>
    <w:rsid w:val="00253E78"/>
    <w:rsid w:val="00262C3C"/>
    <w:rsid w:val="00264C88"/>
    <w:rsid w:val="0026532C"/>
    <w:rsid w:val="0026575D"/>
    <w:rsid w:val="002705B0"/>
    <w:rsid w:val="002717A6"/>
    <w:rsid w:val="00272015"/>
    <w:rsid w:val="00273C10"/>
    <w:rsid w:val="00274B4C"/>
    <w:rsid w:val="00276264"/>
    <w:rsid w:val="00281DCA"/>
    <w:rsid w:val="00296AB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34AD"/>
    <w:rsid w:val="002F53B4"/>
    <w:rsid w:val="002F76D6"/>
    <w:rsid w:val="00303506"/>
    <w:rsid w:val="00307057"/>
    <w:rsid w:val="00312819"/>
    <w:rsid w:val="00312E9C"/>
    <w:rsid w:val="00313875"/>
    <w:rsid w:val="00314A9B"/>
    <w:rsid w:val="003203BF"/>
    <w:rsid w:val="00321369"/>
    <w:rsid w:val="00321437"/>
    <w:rsid w:val="00321B53"/>
    <w:rsid w:val="00330787"/>
    <w:rsid w:val="00337493"/>
    <w:rsid w:val="0034285F"/>
    <w:rsid w:val="003464A4"/>
    <w:rsid w:val="00351684"/>
    <w:rsid w:val="00354458"/>
    <w:rsid w:val="00363653"/>
    <w:rsid w:val="0036509D"/>
    <w:rsid w:val="00365721"/>
    <w:rsid w:val="0037228C"/>
    <w:rsid w:val="003738FD"/>
    <w:rsid w:val="003810BE"/>
    <w:rsid w:val="00386F6C"/>
    <w:rsid w:val="00387709"/>
    <w:rsid w:val="00387794"/>
    <w:rsid w:val="00397162"/>
    <w:rsid w:val="003A17DF"/>
    <w:rsid w:val="003A335E"/>
    <w:rsid w:val="003A3DD2"/>
    <w:rsid w:val="003B2AB7"/>
    <w:rsid w:val="003B3573"/>
    <w:rsid w:val="003B5813"/>
    <w:rsid w:val="003C03EA"/>
    <w:rsid w:val="003C196B"/>
    <w:rsid w:val="003C6E1D"/>
    <w:rsid w:val="003D058C"/>
    <w:rsid w:val="003D76B1"/>
    <w:rsid w:val="003E17A6"/>
    <w:rsid w:val="003E4AA5"/>
    <w:rsid w:val="003F1CEC"/>
    <w:rsid w:val="003F43BF"/>
    <w:rsid w:val="003F6BE4"/>
    <w:rsid w:val="0040304D"/>
    <w:rsid w:val="00403CF8"/>
    <w:rsid w:val="00407459"/>
    <w:rsid w:val="00414BA3"/>
    <w:rsid w:val="00414D01"/>
    <w:rsid w:val="004170FE"/>
    <w:rsid w:val="004209E6"/>
    <w:rsid w:val="0042324B"/>
    <w:rsid w:val="004234E8"/>
    <w:rsid w:val="00426805"/>
    <w:rsid w:val="00430150"/>
    <w:rsid w:val="004302F9"/>
    <w:rsid w:val="0043229B"/>
    <w:rsid w:val="00434470"/>
    <w:rsid w:val="00435287"/>
    <w:rsid w:val="00440A22"/>
    <w:rsid w:val="0045550E"/>
    <w:rsid w:val="00456456"/>
    <w:rsid w:val="00462367"/>
    <w:rsid w:val="0046490C"/>
    <w:rsid w:val="004663EF"/>
    <w:rsid w:val="00470287"/>
    <w:rsid w:val="00470733"/>
    <w:rsid w:val="00474317"/>
    <w:rsid w:val="00477C53"/>
    <w:rsid w:val="00481856"/>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E7FEB"/>
    <w:rsid w:val="004F7C93"/>
    <w:rsid w:val="0050163F"/>
    <w:rsid w:val="00506105"/>
    <w:rsid w:val="0051160E"/>
    <w:rsid w:val="00513162"/>
    <w:rsid w:val="00525809"/>
    <w:rsid w:val="005318CE"/>
    <w:rsid w:val="00532EA7"/>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E4FA5"/>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67669"/>
    <w:rsid w:val="006736A9"/>
    <w:rsid w:val="00673BC7"/>
    <w:rsid w:val="00674975"/>
    <w:rsid w:val="00675D39"/>
    <w:rsid w:val="0068560B"/>
    <w:rsid w:val="006A1277"/>
    <w:rsid w:val="006A2602"/>
    <w:rsid w:val="006A2ACC"/>
    <w:rsid w:val="006A2D41"/>
    <w:rsid w:val="006A67E1"/>
    <w:rsid w:val="006C36FB"/>
    <w:rsid w:val="006C7D62"/>
    <w:rsid w:val="006D0B23"/>
    <w:rsid w:val="006D2ED6"/>
    <w:rsid w:val="006D5685"/>
    <w:rsid w:val="006E1987"/>
    <w:rsid w:val="006E23B2"/>
    <w:rsid w:val="006E5207"/>
    <w:rsid w:val="006F5C70"/>
    <w:rsid w:val="006F6A20"/>
    <w:rsid w:val="006F6FD3"/>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0F9E"/>
    <w:rsid w:val="007B148D"/>
    <w:rsid w:val="007B18C8"/>
    <w:rsid w:val="007B28DE"/>
    <w:rsid w:val="007B7A5F"/>
    <w:rsid w:val="007C36BE"/>
    <w:rsid w:val="007D2420"/>
    <w:rsid w:val="007D53ED"/>
    <w:rsid w:val="007D6001"/>
    <w:rsid w:val="007D7F94"/>
    <w:rsid w:val="007E1B76"/>
    <w:rsid w:val="007E219A"/>
    <w:rsid w:val="007E37BF"/>
    <w:rsid w:val="007E6593"/>
    <w:rsid w:val="007F1101"/>
    <w:rsid w:val="007F230B"/>
    <w:rsid w:val="007F2CB1"/>
    <w:rsid w:val="007F54AC"/>
    <w:rsid w:val="00803D20"/>
    <w:rsid w:val="008112A0"/>
    <w:rsid w:val="0081696D"/>
    <w:rsid w:val="00816E01"/>
    <w:rsid w:val="008173D0"/>
    <w:rsid w:val="00820F02"/>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86F83"/>
    <w:rsid w:val="00891D73"/>
    <w:rsid w:val="00892A44"/>
    <w:rsid w:val="008A2DE8"/>
    <w:rsid w:val="008A312D"/>
    <w:rsid w:val="008A3E09"/>
    <w:rsid w:val="008A3E57"/>
    <w:rsid w:val="008A77A7"/>
    <w:rsid w:val="008B3F34"/>
    <w:rsid w:val="008C3C03"/>
    <w:rsid w:val="008C56B9"/>
    <w:rsid w:val="008C5BF4"/>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03E1"/>
    <w:rsid w:val="0093329F"/>
    <w:rsid w:val="00937043"/>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15F2"/>
    <w:rsid w:val="009B18F4"/>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6E71"/>
    <w:rsid w:val="00A3026E"/>
    <w:rsid w:val="00A4576A"/>
    <w:rsid w:val="00A45AD0"/>
    <w:rsid w:val="00A45EE9"/>
    <w:rsid w:val="00A53C14"/>
    <w:rsid w:val="00A61410"/>
    <w:rsid w:val="00A6198A"/>
    <w:rsid w:val="00A65108"/>
    <w:rsid w:val="00A7067F"/>
    <w:rsid w:val="00A707A7"/>
    <w:rsid w:val="00A718FD"/>
    <w:rsid w:val="00A72341"/>
    <w:rsid w:val="00A776E2"/>
    <w:rsid w:val="00A776ED"/>
    <w:rsid w:val="00A80E50"/>
    <w:rsid w:val="00A8137F"/>
    <w:rsid w:val="00A83663"/>
    <w:rsid w:val="00A83B0F"/>
    <w:rsid w:val="00A84216"/>
    <w:rsid w:val="00A90BFA"/>
    <w:rsid w:val="00A92BF3"/>
    <w:rsid w:val="00A943C8"/>
    <w:rsid w:val="00A950A4"/>
    <w:rsid w:val="00A9520D"/>
    <w:rsid w:val="00A9747D"/>
    <w:rsid w:val="00AA00A6"/>
    <w:rsid w:val="00AA16A6"/>
    <w:rsid w:val="00AA6BA8"/>
    <w:rsid w:val="00AA7F5A"/>
    <w:rsid w:val="00AB2340"/>
    <w:rsid w:val="00AB5FE4"/>
    <w:rsid w:val="00AB659D"/>
    <w:rsid w:val="00AC229F"/>
    <w:rsid w:val="00AC4C57"/>
    <w:rsid w:val="00AD43AE"/>
    <w:rsid w:val="00AD5A79"/>
    <w:rsid w:val="00AD7671"/>
    <w:rsid w:val="00AE5218"/>
    <w:rsid w:val="00AE53E8"/>
    <w:rsid w:val="00AE5B18"/>
    <w:rsid w:val="00AE6FE4"/>
    <w:rsid w:val="00AF2059"/>
    <w:rsid w:val="00AF3D84"/>
    <w:rsid w:val="00AF4161"/>
    <w:rsid w:val="00AF580B"/>
    <w:rsid w:val="00B007C8"/>
    <w:rsid w:val="00B14410"/>
    <w:rsid w:val="00B15E61"/>
    <w:rsid w:val="00B24F35"/>
    <w:rsid w:val="00B32C88"/>
    <w:rsid w:val="00B34747"/>
    <w:rsid w:val="00B40CE4"/>
    <w:rsid w:val="00B42E49"/>
    <w:rsid w:val="00B50903"/>
    <w:rsid w:val="00B60BA4"/>
    <w:rsid w:val="00B62FFE"/>
    <w:rsid w:val="00B65013"/>
    <w:rsid w:val="00B7123A"/>
    <w:rsid w:val="00B7435C"/>
    <w:rsid w:val="00B76F38"/>
    <w:rsid w:val="00B8085D"/>
    <w:rsid w:val="00B81EFF"/>
    <w:rsid w:val="00B836BB"/>
    <w:rsid w:val="00B84122"/>
    <w:rsid w:val="00B862B0"/>
    <w:rsid w:val="00B946F5"/>
    <w:rsid w:val="00BA2B7C"/>
    <w:rsid w:val="00BB142A"/>
    <w:rsid w:val="00BB34B9"/>
    <w:rsid w:val="00BB35C2"/>
    <w:rsid w:val="00BB553B"/>
    <w:rsid w:val="00BC28D7"/>
    <w:rsid w:val="00BC376C"/>
    <w:rsid w:val="00BC6321"/>
    <w:rsid w:val="00BC76DC"/>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17061"/>
    <w:rsid w:val="00C220F9"/>
    <w:rsid w:val="00C2541C"/>
    <w:rsid w:val="00C26862"/>
    <w:rsid w:val="00C2698D"/>
    <w:rsid w:val="00C30458"/>
    <w:rsid w:val="00C31DA6"/>
    <w:rsid w:val="00C33260"/>
    <w:rsid w:val="00C372CC"/>
    <w:rsid w:val="00C4598F"/>
    <w:rsid w:val="00C50360"/>
    <w:rsid w:val="00C54E12"/>
    <w:rsid w:val="00C55468"/>
    <w:rsid w:val="00C622C3"/>
    <w:rsid w:val="00C63BD5"/>
    <w:rsid w:val="00C70954"/>
    <w:rsid w:val="00C74906"/>
    <w:rsid w:val="00C81B40"/>
    <w:rsid w:val="00C81FEA"/>
    <w:rsid w:val="00C83969"/>
    <w:rsid w:val="00C86C95"/>
    <w:rsid w:val="00CA05EB"/>
    <w:rsid w:val="00CA3515"/>
    <w:rsid w:val="00CA3A05"/>
    <w:rsid w:val="00CB0A59"/>
    <w:rsid w:val="00CB14E9"/>
    <w:rsid w:val="00CB23D6"/>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2AC1"/>
    <w:rsid w:val="00D404B5"/>
    <w:rsid w:val="00D447CB"/>
    <w:rsid w:val="00D47D16"/>
    <w:rsid w:val="00D505F4"/>
    <w:rsid w:val="00D51CE1"/>
    <w:rsid w:val="00D53A20"/>
    <w:rsid w:val="00D562F2"/>
    <w:rsid w:val="00D61B93"/>
    <w:rsid w:val="00D67E4A"/>
    <w:rsid w:val="00D763FD"/>
    <w:rsid w:val="00D843C7"/>
    <w:rsid w:val="00D86AAC"/>
    <w:rsid w:val="00D90AD1"/>
    <w:rsid w:val="00D941F7"/>
    <w:rsid w:val="00DA4DDF"/>
    <w:rsid w:val="00DB0804"/>
    <w:rsid w:val="00DB2FC4"/>
    <w:rsid w:val="00DC382A"/>
    <w:rsid w:val="00DE1923"/>
    <w:rsid w:val="00DE2B33"/>
    <w:rsid w:val="00DE638B"/>
    <w:rsid w:val="00DE72EE"/>
    <w:rsid w:val="00DF2666"/>
    <w:rsid w:val="00DF37E5"/>
    <w:rsid w:val="00E034FE"/>
    <w:rsid w:val="00E041E5"/>
    <w:rsid w:val="00E04888"/>
    <w:rsid w:val="00E0763B"/>
    <w:rsid w:val="00E10302"/>
    <w:rsid w:val="00E118C0"/>
    <w:rsid w:val="00E1441F"/>
    <w:rsid w:val="00E17EC5"/>
    <w:rsid w:val="00E26BFD"/>
    <w:rsid w:val="00E27E90"/>
    <w:rsid w:val="00E33D02"/>
    <w:rsid w:val="00E34F2C"/>
    <w:rsid w:val="00E35D79"/>
    <w:rsid w:val="00E36872"/>
    <w:rsid w:val="00E37848"/>
    <w:rsid w:val="00E4641E"/>
    <w:rsid w:val="00E5006D"/>
    <w:rsid w:val="00E519AE"/>
    <w:rsid w:val="00E57AF7"/>
    <w:rsid w:val="00E6241B"/>
    <w:rsid w:val="00E64FCC"/>
    <w:rsid w:val="00E703B6"/>
    <w:rsid w:val="00E72200"/>
    <w:rsid w:val="00E72B1B"/>
    <w:rsid w:val="00E75D47"/>
    <w:rsid w:val="00E766F5"/>
    <w:rsid w:val="00E77A75"/>
    <w:rsid w:val="00E82948"/>
    <w:rsid w:val="00E83417"/>
    <w:rsid w:val="00E90218"/>
    <w:rsid w:val="00E913BB"/>
    <w:rsid w:val="00E95F2E"/>
    <w:rsid w:val="00EA1508"/>
    <w:rsid w:val="00EA1541"/>
    <w:rsid w:val="00EA32E4"/>
    <w:rsid w:val="00EA7E36"/>
    <w:rsid w:val="00EB0898"/>
    <w:rsid w:val="00EB627B"/>
    <w:rsid w:val="00EB6D94"/>
    <w:rsid w:val="00EC3AAD"/>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11A2"/>
    <w:rsid w:val="00F03814"/>
    <w:rsid w:val="00F07A09"/>
    <w:rsid w:val="00F1390C"/>
    <w:rsid w:val="00F14A77"/>
    <w:rsid w:val="00F14D98"/>
    <w:rsid w:val="00F20C5E"/>
    <w:rsid w:val="00F318D9"/>
    <w:rsid w:val="00F36A1D"/>
    <w:rsid w:val="00F44278"/>
    <w:rsid w:val="00F458FF"/>
    <w:rsid w:val="00F51B65"/>
    <w:rsid w:val="00F52AAB"/>
    <w:rsid w:val="00F52EB6"/>
    <w:rsid w:val="00F55260"/>
    <w:rsid w:val="00F6316B"/>
    <w:rsid w:val="00F65AE0"/>
    <w:rsid w:val="00F74E38"/>
    <w:rsid w:val="00F76D6F"/>
    <w:rsid w:val="00F778B0"/>
    <w:rsid w:val="00F83BC2"/>
    <w:rsid w:val="00F87E58"/>
    <w:rsid w:val="00F92EC1"/>
    <w:rsid w:val="00F94C47"/>
    <w:rsid w:val="00FA0421"/>
    <w:rsid w:val="00FA3389"/>
    <w:rsid w:val="00FA3476"/>
    <w:rsid w:val="00FA495F"/>
    <w:rsid w:val="00FA7622"/>
    <w:rsid w:val="00FB0C10"/>
    <w:rsid w:val="00FB3C36"/>
    <w:rsid w:val="00FB4280"/>
    <w:rsid w:val="00FB7CCE"/>
    <w:rsid w:val="00FC01C8"/>
    <w:rsid w:val="00FC135F"/>
    <w:rsid w:val="00FC5027"/>
    <w:rsid w:val="00FC50C7"/>
    <w:rsid w:val="00FC511D"/>
    <w:rsid w:val="00FC68BC"/>
    <w:rsid w:val="00FD11D4"/>
    <w:rsid w:val="00FD225D"/>
    <w:rsid w:val="00FD2384"/>
    <w:rsid w:val="00FE35B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8C7168B"/>
  <w15:docId w15:val="{13CA54F8-1D08-46BD-980A-6F11FC46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F87E58"/>
    <w:pPr>
      <w:keepNext/>
      <w:keepLines/>
      <w:spacing w:before="40" w:after="0"/>
      <w:ind w:firstLine="0"/>
      <w:jc w:val="left"/>
      <w:outlineLvl w:val="3"/>
    </w:pPr>
    <w:rPr>
      <w:rFonts w:ascii="Cambria" w:hAnsi="Cambria"/>
      <w:i/>
      <w:iCs/>
      <w:color w:val="365F91"/>
      <w:sz w:val="24"/>
      <w:szCs w:val="24"/>
      <w:lang w:val="eu-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u-ES"/>
    </w:rPr>
  </w:style>
  <w:style w:type="paragraph" w:styleId="Ttulo7">
    <w:name w:val="heading 7"/>
    <w:basedOn w:val="Normal"/>
    <w:next w:val="Normal"/>
    <w:link w:val="Ttulo7Car"/>
    <w:qFormat/>
    <w:rsid w:val="00F87E58"/>
    <w:pPr>
      <w:keepNext/>
      <w:spacing w:after="0"/>
      <w:ind w:firstLine="0"/>
      <w:jc w:val="center"/>
      <w:outlineLvl w:val="6"/>
    </w:pPr>
    <w:rPr>
      <w:sz w:val="52"/>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semiHidden/>
    <w:rsid w:val="00F87E58"/>
    <w:rPr>
      <w:rFonts w:ascii="Cambria" w:hAnsi="Cambria"/>
      <w:i/>
      <w:iCs/>
      <w:color w:val="365F91"/>
      <w:sz w:val="24"/>
      <w:szCs w:val="24"/>
    </w:rPr>
  </w:style>
  <w:style w:type="character" w:customStyle="1" w:styleId="Ttulo7Car">
    <w:name w:val="Título 7 Car"/>
    <w:basedOn w:val="Fuentedeprrafopredeter"/>
    <w:link w:val="Ttulo7"/>
    <w:rsid w:val="00F87E58"/>
    <w:rPr>
      <w:sz w:val="52"/>
      <w:szCs w:val="24"/>
    </w:rPr>
  </w:style>
  <w:style w:type="character" w:customStyle="1" w:styleId="Ttulo1Car">
    <w:name w:val="Título 1 Car"/>
    <w:link w:val="Ttulo1"/>
    <w:locked/>
    <w:rsid w:val="00F87E58"/>
    <w:rPr>
      <w:rFonts w:ascii="Arial" w:hAnsi="Arial" w:cs="Arial"/>
      <w:b/>
      <w:bCs/>
      <w:kern w:val="32"/>
      <w:sz w:val="32"/>
      <w:szCs w:val="32"/>
      <w:lang w:val="eu-ES" w:eastAsia="en-US"/>
    </w:rPr>
  </w:style>
  <w:style w:type="character" w:customStyle="1" w:styleId="Ttulo2Car">
    <w:name w:val="Título 2 Car"/>
    <w:link w:val="Ttulo2"/>
    <w:locked/>
    <w:rsid w:val="00F87E58"/>
    <w:rPr>
      <w:rFonts w:ascii="Arial" w:hAnsi="Arial" w:cs="Arial"/>
      <w:b/>
      <w:bCs/>
      <w:i/>
      <w:iCs/>
      <w:sz w:val="28"/>
      <w:szCs w:val="28"/>
      <w:lang w:val="eu-ES" w:eastAsia="en-US"/>
    </w:rPr>
  </w:style>
  <w:style w:type="character" w:customStyle="1" w:styleId="Ttulo3Car">
    <w:name w:val="Título 3 Car"/>
    <w:link w:val="Ttulo3"/>
    <w:locked/>
    <w:rsid w:val="00F87E58"/>
    <w:rPr>
      <w:rFonts w:ascii="Arial" w:hAnsi="Arial" w:cs="Arial"/>
      <w:b/>
      <w:bCs/>
      <w:szCs w:val="26"/>
      <w:lang w:val="eu-ES" w:eastAsia="en-US"/>
    </w:rPr>
  </w:style>
  <w:style w:type="character" w:customStyle="1" w:styleId="Ttulo5Car">
    <w:name w:val="Título 5 Car"/>
    <w:link w:val="Ttulo5"/>
    <w:locked/>
    <w:rsid w:val="00F87E58"/>
    <w:rPr>
      <w:b/>
      <w:sz w:val="28"/>
      <w:lang w:eastAsia="en-US"/>
    </w:rPr>
  </w:style>
  <w:style w:type="character" w:customStyle="1" w:styleId="atitulo1Car">
    <w:name w:val="atitulo1 Car"/>
    <w:link w:val="atitulo1"/>
    <w:uiPriority w:val="99"/>
    <w:qFormat/>
    <w:rsid w:val="00F87E58"/>
    <w:rPr>
      <w:rFonts w:ascii="Arial" w:hAnsi="Arial"/>
      <w:b/>
      <w:color w:val="000000"/>
      <w:kern w:val="28"/>
      <w:sz w:val="25"/>
      <w:szCs w:val="26"/>
      <w:lang w:val="eu-ES" w:eastAsia="en-US"/>
    </w:rPr>
  </w:style>
  <w:style w:type="character" w:customStyle="1" w:styleId="atitulo2Car">
    <w:name w:val="atitulo2 Car"/>
    <w:link w:val="atitulo2"/>
    <w:uiPriority w:val="99"/>
    <w:locked/>
    <w:rsid w:val="00F87E58"/>
    <w:rPr>
      <w:rFonts w:ascii="Arial" w:hAnsi="Arial"/>
      <w:bCs/>
      <w:iCs/>
      <w:color w:val="000000"/>
      <w:spacing w:val="10"/>
      <w:kern w:val="28"/>
      <w:sz w:val="25"/>
      <w:szCs w:val="26"/>
      <w:lang w:val="eu-ES" w:eastAsia="en-US"/>
    </w:rPr>
  </w:style>
  <w:style w:type="character" w:customStyle="1" w:styleId="atitulo3Car">
    <w:name w:val="atitulo3 Car"/>
    <w:link w:val="atitulo3"/>
    <w:rsid w:val="00F87E58"/>
    <w:rPr>
      <w:rFonts w:ascii="Arial" w:hAnsi="Arial"/>
      <w:i/>
      <w:iCs/>
      <w:color w:val="000000"/>
      <w:spacing w:val="10"/>
      <w:kern w:val="28"/>
      <w:sz w:val="25"/>
      <w:szCs w:val="26"/>
      <w:lang w:val="eu-ES" w:eastAsia="en-US"/>
    </w:rPr>
  </w:style>
  <w:style w:type="character" w:customStyle="1" w:styleId="TextodegloboCar">
    <w:name w:val="Texto de globo Car"/>
    <w:link w:val="Textodeglobo"/>
    <w:semiHidden/>
    <w:locked/>
    <w:rsid w:val="00F87E58"/>
    <w:rPr>
      <w:rFonts w:ascii="Tahoma" w:hAnsi="Tahoma" w:cs="Tahoma"/>
      <w:sz w:val="16"/>
      <w:szCs w:val="16"/>
      <w:lang w:val="eu-ES" w:eastAsia="en-US"/>
    </w:rPr>
  </w:style>
  <w:style w:type="character" w:customStyle="1" w:styleId="EncabezadoCar">
    <w:name w:val="Encabezado Car"/>
    <w:link w:val="Encabezado"/>
    <w:locked/>
    <w:rsid w:val="00F87E58"/>
    <w:rPr>
      <w:bCs/>
      <w:caps/>
      <w:sz w:val="14"/>
      <w:szCs w:val="12"/>
      <w:lang w:val="eu-ES" w:eastAsia="en-US"/>
    </w:rPr>
  </w:style>
  <w:style w:type="character" w:customStyle="1" w:styleId="PiedepginaCar">
    <w:name w:val="Pie de página Car"/>
    <w:link w:val="Piedepgina"/>
    <w:uiPriority w:val="99"/>
    <w:locked/>
    <w:rsid w:val="00F87E58"/>
    <w:rPr>
      <w:spacing w:val="6"/>
      <w:lang w:val="eu-ES" w:eastAsia="en-US"/>
    </w:rPr>
  </w:style>
  <w:style w:type="paragraph" w:customStyle="1" w:styleId="cuatitul">
    <w:name w:val="cuatitul"/>
    <w:basedOn w:val="Normal"/>
    <w:rsid w:val="00F87E58"/>
    <w:pPr>
      <w:spacing w:after="60"/>
      <w:ind w:firstLine="0"/>
      <w:jc w:val="center"/>
    </w:pPr>
    <w:rPr>
      <w:rFonts w:ascii="GillSans" w:eastAsia="Calibri" w:hAnsi="GillSans"/>
      <w:sz w:val="22"/>
      <w:szCs w:val="24"/>
      <w:lang w:val="eu-ES" w:eastAsia="es-ES"/>
    </w:rPr>
  </w:style>
  <w:style w:type="paragraph" w:customStyle="1" w:styleId="TablaCC">
    <w:name w:val="TablaCC"/>
    <w:basedOn w:val="Normal"/>
    <w:rsid w:val="00F87E58"/>
    <w:pPr>
      <w:spacing w:before="200" w:after="0"/>
      <w:ind w:firstLine="0"/>
      <w:jc w:val="left"/>
    </w:pPr>
    <w:rPr>
      <w:rFonts w:ascii="Arial" w:eastAsia="Calibri" w:hAnsi="Arial"/>
      <w:b/>
      <w:sz w:val="24"/>
      <w:szCs w:val="24"/>
      <w:lang w:val="eu-ES" w:eastAsia="es-ES"/>
    </w:rPr>
  </w:style>
  <w:style w:type="paragraph" w:customStyle="1" w:styleId="xl25">
    <w:name w:val="xl25"/>
    <w:basedOn w:val="Normal"/>
    <w:rsid w:val="00F87E58"/>
    <w:pPr>
      <w:pBdr>
        <w:left w:val="double" w:sz="6" w:space="0" w:color="auto"/>
      </w:pBdr>
      <w:spacing w:before="100" w:beforeAutospacing="1" w:after="100" w:afterAutospacing="1"/>
      <w:ind w:firstLine="0"/>
      <w:jc w:val="left"/>
      <w:textAlignment w:val="top"/>
    </w:pPr>
    <w:rPr>
      <w:rFonts w:eastAsia="Arial Unicode MS"/>
      <w:sz w:val="24"/>
      <w:szCs w:val="24"/>
      <w:lang w:val="eu-ES" w:eastAsia="es-ES"/>
    </w:rPr>
  </w:style>
  <w:style w:type="paragraph" w:styleId="Textoindependiente">
    <w:name w:val="Body Text"/>
    <w:basedOn w:val="Normal"/>
    <w:link w:val="TextoindependienteCar"/>
    <w:rsid w:val="00F87E58"/>
    <w:pPr>
      <w:spacing w:after="0"/>
      <w:ind w:firstLine="0"/>
      <w:jc w:val="left"/>
    </w:pPr>
    <w:rPr>
      <w:rFonts w:ascii="Arial" w:eastAsia="Calibri" w:hAnsi="Arial"/>
      <w:sz w:val="24"/>
      <w:szCs w:val="24"/>
      <w:lang w:val="eu-ES" w:eastAsia="es-ES"/>
    </w:rPr>
  </w:style>
  <w:style w:type="character" w:customStyle="1" w:styleId="TextoindependienteCar">
    <w:name w:val="Texto independiente Car"/>
    <w:basedOn w:val="Fuentedeprrafopredeter"/>
    <w:link w:val="Textoindependiente"/>
    <w:rsid w:val="00F87E58"/>
    <w:rPr>
      <w:rFonts w:ascii="Arial" w:eastAsia="Calibri" w:hAnsi="Arial"/>
      <w:sz w:val="24"/>
      <w:szCs w:val="24"/>
    </w:rPr>
  </w:style>
  <w:style w:type="paragraph" w:styleId="NormalWeb">
    <w:name w:val="Normal (Web)"/>
    <w:basedOn w:val="Normal"/>
    <w:uiPriority w:val="99"/>
    <w:rsid w:val="00F87E58"/>
    <w:pPr>
      <w:spacing w:before="100" w:beforeAutospacing="1" w:after="100" w:afterAutospacing="1"/>
      <w:ind w:firstLine="0"/>
      <w:jc w:val="left"/>
    </w:pPr>
    <w:rPr>
      <w:rFonts w:eastAsia="Calibri"/>
      <w:sz w:val="24"/>
      <w:szCs w:val="24"/>
      <w:lang w:val="eu-ES" w:eastAsia="es-ES"/>
    </w:rPr>
  </w:style>
  <w:style w:type="character" w:customStyle="1" w:styleId="AyuntamientoCar">
    <w:name w:val="Ayuntamiento Car"/>
    <w:link w:val="Ayuntamiento"/>
    <w:locked/>
    <w:rsid w:val="00F87E58"/>
    <w:rPr>
      <w:rFonts w:ascii="Arial" w:hAnsi="Arial"/>
      <w:sz w:val="24"/>
      <w:lang w:val="eu-ES"/>
    </w:rPr>
  </w:style>
  <w:style w:type="paragraph" w:customStyle="1" w:styleId="Ayuntamiento">
    <w:name w:val="Ayuntamiento"/>
    <w:basedOn w:val="Normal"/>
    <w:link w:val="AyuntamientoCar"/>
    <w:rsid w:val="00F87E58"/>
    <w:pPr>
      <w:spacing w:after="0"/>
      <w:ind w:firstLine="0"/>
      <w:jc w:val="left"/>
    </w:pPr>
    <w:rPr>
      <w:rFonts w:ascii="Arial" w:hAnsi="Arial"/>
      <w:sz w:val="24"/>
      <w:lang w:val="eu-ES" w:eastAsia="es-ES"/>
    </w:rPr>
  </w:style>
  <w:style w:type="character" w:customStyle="1" w:styleId="JavierCar">
    <w:name w:val="Javier Car"/>
    <w:link w:val="Javier"/>
    <w:locked/>
    <w:rsid w:val="00F87E58"/>
    <w:rPr>
      <w:rFonts w:ascii="Arial" w:hAnsi="Arial"/>
      <w:sz w:val="24"/>
      <w:lang w:val="eu-ES"/>
    </w:rPr>
  </w:style>
  <w:style w:type="paragraph" w:customStyle="1" w:styleId="Javier">
    <w:name w:val="Javier"/>
    <w:basedOn w:val="Normal"/>
    <w:link w:val="JavierCar"/>
    <w:rsid w:val="00F87E58"/>
    <w:pPr>
      <w:spacing w:after="0"/>
      <w:ind w:firstLine="0"/>
      <w:jc w:val="left"/>
    </w:pPr>
    <w:rPr>
      <w:rFonts w:ascii="Arial" w:hAnsi="Arial"/>
      <w:sz w:val="24"/>
      <w:lang w:val="eu-ES" w:eastAsia="es-ES"/>
    </w:rPr>
  </w:style>
  <w:style w:type="character" w:styleId="Textoennegrita">
    <w:name w:val="Strong"/>
    <w:qFormat/>
    <w:rsid w:val="00F87E58"/>
    <w:rPr>
      <w:b/>
    </w:rPr>
  </w:style>
  <w:style w:type="paragraph" w:customStyle="1" w:styleId="foral-f-parrafo-c">
    <w:name w:val="foral-f-parrafo-c"/>
    <w:basedOn w:val="Normal"/>
    <w:rsid w:val="00F87E58"/>
    <w:pPr>
      <w:spacing w:after="240"/>
      <w:ind w:firstLine="0"/>
      <w:jc w:val="left"/>
    </w:pPr>
    <w:rPr>
      <w:rFonts w:eastAsia="Calibri"/>
      <w:sz w:val="24"/>
      <w:szCs w:val="24"/>
      <w:lang w:val="eu-ES" w:eastAsia="es-ES"/>
    </w:rPr>
  </w:style>
  <w:style w:type="paragraph" w:customStyle="1" w:styleId="Estndar">
    <w:name w:val="Estándar"/>
    <w:rsid w:val="00F87E58"/>
    <w:pPr>
      <w:snapToGrid w:val="0"/>
    </w:pPr>
    <w:rPr>
      <w:rFonts w:ascii="CG Omega" w:hAnsi="CG Omega"/>
      <w:color w:val="000000"/>
      <w:sz w:val="22"/>
    </w:rPr>
  </w:style>
  <w:style w:type="paragraph" w:styleId="Textoindependiente2">
    <w:name w:val="Body Text 2"/>
    <w:basedOn w:val="Normal"/>
    <w:link w:val="Textoindependiente2Car"/>
    <w:rsid w:val="00F87E58"/>
    <w:pPr>
      <w:spacing w:after="120" w:line="480" w:lineRule="auto"/>
      <w:ind w:firstLine="0"/>
      <w:jc w:val="left"/>
    </w:pPr>
    <w:rPr>
      <w:rFonts w:eastAsia="Calibri"/>
      <w:sz w:val="24"/>
      <w:szCs w:val="24"/>
      <w:lang w:val="eu-ES" w:eastAsia="es-ES"/>
    </w:rPr>
  </w:style>
  <w:style w:type="character" w:customStyle="1" w:styleId="Textoindependiente2Car">
    <w:name w:val="Texto independiente 2 Car"/>
    <w:basedOn w:val="Fuentedeprrafopredeter"/>
    <w:link w:val="Textoindependiente2"/>
    <w:rsid w:val="00F87E58"/>
    <w:rPr>
      <w:rFonts w:eastAsia="Calibri"/>
      <w:sz w:val="24"/>
      <w:szCs w:val="24"/>
    </w:rPr>
  </w:style>
  <w:style w:type="paragraph" w:styleId="Textoindependiente3">
    <w:name w:val="Body Text 3"/>
    <w:basedOn w:val="Normal"/>
    <w:link w:val="Textoindependiente3Car"/>
    <w:rsid w:val="00F87E58"/>
    <w:pPr>
      <w:spacing w:after="0"/>
      <w:ind w:firstLine="0"/>
      <w:jc w:val="center"/>
    </w:pPr>
    <w:rPr>
      <w:rFonts w:ascii="ITCCentury Book" w:hAnsi="ITCCentury Book"/>
      <w:b/>
      <w:sz w:val="96"/>
      <w:szCs w:val="24"/>
      <w:lang w:val="eu-ES" w:eastAsia="es-ES"/>
    </w:rPr>
  </w:style>
  <w:style w:type="character" w:customStyle="1" w:styleId="Textoindependiente3Car">
    <w:name w:val="Texto independiente 3 Car"/>
    <w:basedOn w:val="Fuentedeprrafopredeter"/>
    <w:link w:val="Textoindependiente3"/>
    <w:rsid w:val="00F87E58"/>
    <w:rPr>
      <w:rFonts w:ascii="ITCCentury Book" w:hAnsi="ITCCentury Book"/>
      <w:b/>
      <w:sz w:val="96"/>
      <w:szCs w:val="24"/>
    </w:rPr>
  </w:style>
  <w:style w:type="paragraph" w:customStyle="1" w:styleId="c22">
    <w:name w:val="c22"/>
    <w:basedOn w:val="Normal"/>
    <w:rsid w:val="00F87E58"/>
    <w:pPr>
      <w:spacing w:before="100" w:beforeAutospacing="1" w:after="100" w:afterAutospacing="1"/>
      <w:ind w:firstLine="0"/>
      <w:jc w:val="left"/>
    </w:pPr>
    <w:rPr>
      <w:sz w:val="24"/>
      <w:szCs w:val="24"/>
      <w:lang w:val="eu-ES" w:eastAsia="es-ES"/>
    </w:rPr>
  </w:style>
  <w:style w:type="paragraph" w:customStyle="1" w:styleId="np">
    <w:name w:val="np"/>
    <w:basedOn w:val="Normal"/>
    <w:rsid w:val="00F87E58"/>
    <w:pPr>
      <w:spacing w:before="100" w:beforeAutospacing="1" w:after="100" w:afterAutospacing="1"/>
      <w:ind w:firstLine="0"/>
      <w:jc w:val="left"/>
    </w:pPr>
    <w:rPr>
      <w:sz w:val="24"/>
      <w:szCs w:val="24"/>
      <w:lang w:val="eu-ES" w:eastAsia="es-ES"/>
    </w:rPr>
  </w:style>
  <w:style w:type="paragraph" w:customStyle="1" w:styleId="Default">
    <w:name w:val="Default"/>
    <w:rsid w:val="00F87E58"/>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F87E58"/>
    <w:pPr>
      <w:overflowPunct w:val="0"/>
      <w:adjustRightInd w:val="0"/>
      <w:spacing w:before="240" w:after="0"/>
      <w:ind w:firstLine="0"/>
      <w:jc w:val="left"/>
    </w:pPr>
    <w:rPr>
      <w:sz w:val="22"/>
      <w:szCs w:val="24"/>
      <w:lang w:val="eu-ES" w:eastAsia="es-ES"/>
    </w:rPr>
  </w:style>
  <w:style w:type="paragraph" w:styleId="Textonotapie">
    <w:name w:val="footnote text"/>
    <w:basedOn w:val="Normal"/>
    <w:link w:val="TextonotapieCar"/>
    <w:rsid w:val="00F87E58"/>
    <w:pPr>
      <w:spacing w:after="0"/>
      <w:ind w:firstLine="0"/>
      <w:jc w:val="left"/>
    </w:pPr>
    <w:rPr>
      <w:rFonts w:eastAsia="Calibri"/>
      <w:sz w:val="24"/>
      <w:szCs w:val="24"/>
      <w:lang w:val="eu-ES" w:eastAsia="es-ES"/>
    </w:rPr>
  </w:style>
  <w:style w:type="character" w:customStyle="1" w:styleId="TextonotapieCar">
    <w:name w:val="Texto nota pie Car"/>
    <w:basedOn w:val="Fuentedeprrafopredeter"/>
    <w:link w:val="Textonotapie"/>
    <w:rsid w:val="00F87E58"/>
    <w:rPr>
      <w:rFonts w:eastAsia="Calibri"/>
      <w:sz w:val="24"/>
      <w:szCs w:val="24"/>
    </w:rPr>
  </w:style>
  <w:style w:type="character" w:styleId="Refdenotaalpie">
    <w:name w:val="footnote reference"/>
    <w:rsid w:val="00F87E58"/>
    <w:rPr>
      <w:vertAlign w:val="superscript"/>
    </w:rPr>
  </w:style>
  <w:style w:type="paragraph" w:styleId="Prrafodelista">
    <w:name w:val="List Paragraph"/>
    <w:basedOn w:val="Normal"/>
    <w:uiPriority w:val="34"/>
    <w:qFormat/>
    <w:rsid w:val="00F87E58"/>
    <w:pPr>
      <w:spacing w:after="0"/>
      <w:ind w:left="720" w:firstLine="0"/>
      <w:contextualSpacing/>
      <w:jc w:val="left"/>
    </w:pPr>
    <w:rPr>
      <w:rFonts w:eastAsia="Calibri"/>
      <w:sz w:val="24"/>
      <w:szCs w:val="24"/>
      <w:lang w:val="eu-ES" w:eastAsia="es-ES"/>
    </w:rPr>
  </w:style>
  <w:style w:type="character" w:styleId="Hipervnculovisitado">
    <w:name w:val="FollowedHyperlink"/>
    <w:rsid w:val="00F87E58"/>
    <w:rPr>
      <w:color w:val="800080"/>
      <w:u w:val="single"/>
    </w:rPr>
  </w:style>
  <w:style w:type="table" w:styleId="Tablaconlista5">
    <w:name w:val="Table List 5"/>
    <w:basedOn w:val="Tablanormal"/>
    <w:rsid w:val="00F87E58"/>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rsid w:val="00F87E58"/>
  </w:style>
  <w:style w:type="character" w:styleId="nfasis">
    <w:name w:val="Emphasis"/>
    <w:uiPriority w:val="20"/>
    <w:qFormat/>
    <w:rsid w:val="00F87E58"/>
    <w:rPr>
      <w:i/>
      <w:iCs/>
    </w:rPr>
  </w:style>
  <w:style w:type="character" w:customStyle="1" w:styleId="normaltextrun">
    <w:name w:val="normaltextrun"/>
    <w:rsid w:val="00F87E58"/>
  </w:style>
  <w:style w:type="character" w:customStyle="1" w:styleId="eop">
    <w:name w:val="eop"/>
    <w:rsid w:val="00F8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visitantes!$C$36</c:f>
              <c:strCache>
                <c:ptCount val="1"/>
                <c:pt idx="0">
                  <c:v>Nº visitantes</c:v>
                </c:pt>
              </c:strCache>
            </c:strRef>
          </c:tx>
          <c:spPr>
            <a:ln w="28563" cap="rnd">
              <a:solidFill>
                <a:schemeClr val="accent1"/>
              </a:solidFill>
              <a:round/>
            </a:ln>
            <a:effectLst/>
          </c:spPr>
          <c:marker>
            <c:symbol val="none"/>
          </c:marker>
          <c:cat>
            <c:numRef>
              <c:f>visitantes!$D$35:$W$35</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visitantes!$D$36:$W$36</c:f>
              <c:numCache>
                <c:formatCode>#.##0</c:formatCode>
                <c:ptCount val="20"/>
                <c:pt idx="0" formatCode="General">
                  <c:v>0</c:v>
                </c:pt>
                <c:pt idx="1">
                  <c:v>68086</c:v>
                </c:pt>
                <c:pt idx="2">
                  <c:v>41600</c:v>
                </c:pt>
                <c:pt idx="3">
                  <c:v>112426</c:v>
                </c:pt>
                <c:pt idx="4">
                  <c:v>165848</c:v>
                </c:pt>
                <c:pt idx="5">
                  <c:v>175135</c:v>
                </c:pt>
                <c:pt idx="6">
                  <c:v>184576</c:v>
                </c:pt>
                <c:pt idx="7">
                  <c:v>179029</c:v>
                </c:pt>
                <c:pt idx="8">
                  <c:v>194478</c:v>
                </c:pt>
                <c:pt idx="9">
                  <c:v>157777</c:v>
                </c:pt>
                <c:pt idx="10">
                  <c:v>156040</c:v>
                </c:pt>
                <c:pt idx="11">
                  <c:v>187035</c:v>
                </c:pt>
                <c:pt idx="12">
                  <c:v>181500</c:v>
                </c:pt>
                <c:pt idx="13">
                  <c:v>179235</c:v>
                </c:pt>
                <c:pt idx="14">
                  <c:v>183719</c:v>
                </c:pt>
                <c:pt idx="15">
                  <c:v>196566</c:v>
                </c:pt>
                <c:pt idx="16">
                  <c:v>174008</c:v>
                </c:pt>
                <c:pt idx="17">
                  <c:v>66731</c:v>
                </c:pt>
                <c:pt idx="18">
                  <c:v>194806</c:v>
                </c:pt>
                <c:pt idx="19">
                  <c:v>142022</c:v>
                </c:pt>
              </c:numCache>
            </c:numRef>
          </c:val>
          <c:smooth val="0"/>
          <c:extLst>
            <c:ext xmlns:c16="http://schemas.microsoft.com/office/drawing/2014/chart" uri="{C3380CC4-5D6E-409C-BE32-E72D297353CC}">
              <c16:uniqueId val="{00000000-D370-44B9-82B8-C11ABB80208B}"/>
            </c:ext>
          </c:extLst>
        </c:ser>
        <c:dLbls>
          <c:showLegendKey val="0"/>
          <c:showVal val="0"/>
          <c:showCatName val="0"/>
          <c:showSerName val="0"/>
          <c:showPercent val="0"/>
          <c:showBubbleSize val="0"/>
        </c:dLbls>
        <c:smooth val="0"/>
        <c:axId val="202253944"/>
        <c:axId val="1"/>
      </c:lineChart>
      <c:catAx>
        <c:axId val="202253944"/>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2253944"/>
        <c:crosses val="autoZero"/>
        <c:crossBetween val="between"/>
      </c:valAx>
      <c:spPr>
        <a:noFill/>
        <a:ln w="2538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s-ES"/>
              <a:t>Resultados</a:t>
            </a:r>
            <a:r>
              <a:rPr lang="es-ES" baseline="0"/>
              <a:t> y Ebitda</a:t>
            </a:r>
            <a:endParaRPr lang="es-ES"/>
          </a:p>
        </c:rich>
      </c:tx>
      <c:overlay val="0"/>
      <c:spPr>
        <a:noFill/>
        <a:ln>
          <a:noFill/>
        </a:ln>
        <a:effectLst/>
      </c:spPr>
    </c:title>
    <c:autoTitleDeleted val="0"/>
    <c:plotArea>
      <c:layout/>
      <c:lineChart>
        <c:grouping val="standard"/>
        <c:varyColors val="0"/>
        <c:ser>
          <c:idx val="0"/>
          <c:order val="0"/>
          <c:tx>
            <c:strRef>
              <c:f>Hoja3!$F$12</c:f>
              <c:strCache>
                <c:ptCount val="1"/>
                <c:pt idx="0">
                  <c:v>Resultado ejercicio</c:v>
                </c:pt>
              </c:strCache>
            </c:strRef>
          </c:tx>
          <c:spPr>
            <a:ln w="28530" cap="rnd">
              <a:solidFill>
                <a:schemeClr val="accent1"/>
              </a:solidFill>
              <a:round/>
            </a:ln>
            <a:effectLst/>
          </c:spPr>
          <c:marker>
            <c:symbol val="none"/>
          </c:marker>
          <c:cat>
            <c:numRef>
              <c:f>Hoja3!$G$11:$Z$11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Hoja3!$G$12:$Z$12</c:f>
              <c:numCache>
                <c:formatCode>General</c:formatCode>
                <c:ptCount val="20"/>
                <c:pt idx="0">
                  <c:v>-0.44</c:v>
                </c:pt>
                <c:pt idx="1">
                  <c:v>-2.58</c:v>
                </c:pt>
                <c:pt idx="2">
                  <c:v>-4</c:v>
                </c:pt>
                <c:pt idx="3">
                  <c:v>-4.46</c:v>
                </c:pt>
                <c:pt idx="4">
                  <c:v>-4.38</c:v>
                </c:pt>
                <c:pt idx="5">
                  <c:v>-4.17</c:v>
                </c:pt>
                <c:pt idx="6">
                  <c:v>-4.1399999999999997</c:v>
                </c:pt>
                <c:pt idx="7">
                  <c:v>-4.3</c:v>
                </c:pt>
                <c:pt idx="8">
                  <c:v>-4.04</c:v>
                </c:pt>
                <c:pt idx="9">
                  <c:v>-4.05</c:v>
                </c:pt>
                <c:pt idx="10">
                  <c:v>-3.8</c:v>
                </c:pt>
                <c:pt idx="11">
                  <c:v>-2.86</c:v>
                </c:pt>
                <c:pt idx="12">
                  <c:v>-2.93</c:v>
                </c:pt>
                <c:pt idx="13">
                  <c:v>-2.5</c:v>
                </c:pt>
                <c:pt idx="14">
                  <c:v>-2.54</c:v>
                </c:pt>
                <c:pt idx="15">
                  <c:v>-2.44</c:v>
                </c:pt>
                <c:pt idx="16">
                  <c:v>-2.69</c:v>
                </c:pt>
                <c:pt idx="17">
                  <c:v>-3.34</c:v>
                </c:pt>
                <c:pt idx="18">
                  <c:v>-2</c:v>
                </c:pt>
                <c:pt idx="19">
                  <c:v>-2.21</c:v>
                </c:pt>
              </c:numCache>
            </c:numRef>
          </c:val>
          <c:smooth val="0"/>
          <c:extLst>
            <c:ext xmlns:c16="http://schemas.microsoft.com/office/drawing/2014/chart" uri="{C3380CC4-5D6E-409C-BE32-E72D297353CC}">
              <c16:uniqueId val="{00000000-1F6A-4F94-B34C-1EAB8AFA3FA5}"/>
            </c:ext>
          </c:extLst>
        </c:ser>
        <c:ser>
          <c:idx val="1"/>
          <c:order val="1"/>
          <c:tx>
            <c:strRef>
              <c:f>Hoja3!$F$13</c:f>
              <c:strCache>
                <c:ptCount val="1"/>
                <c:pt idx="0">
                  <c:v>Ebitda*</c:v>
                </c:pt>
              </c:strCache>
            </c:strRef>
          </c:tx>
          <c:spPr>
            <a:ln w="28530" cap="rnd">
              <a:solidFill>
                <a:schemeClr val="accent2"/>
              </a:solidFill>
              <a:round/>
            </a:ln>
            <a:effectLst/>
          </c:spPr>
          <c:marker>
            <c:symbol val="none"/>
          </c:marker>
          <c:cat>
            <c:numRef>
              <c:f>Hoja3!$G$11:$Z$11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Hoja3!$G$13:$Z$13</c:f>
              <c:numCache>
                <c:formatCode>General</c:formatCode>
                <c:ptCount val="20"/>
                <c:pt idx="0">
                  <c:v>-0.28000000000000003</c:v>
                </c:pt>
                <c:pt idx="1">
                  <c:v>-1.42</c:v>
                </c:pt>
                <c:pt idx="2">
                  <c:v>-2.16</c:v>
                </c:pt>
                <c:pt idx="3">
                  <c:v>-2.08</c:v>
                </c:pt>
                <c:pt idx="4">
                  <c:v>-1.73</c:v>
                </c:pt>
                <c:pt idx="5">
                  <c:v>-1.67</c:v>
                </c:pt>
                <c:pt idx="6">
                  <c:v>-1.64</c:v>
                </c:pt>
                <c:pt idx="7">
                  <c:v>-1.78</c:v>
                </c:pt>
                <c:pt idx="8">
                  <c:v>-1.56</c:v>
                </c:pt>
                <c:pt idx="9">
                  <c:v>-1.81</c:v>
                </c:pt>
                <c:pt idx="10">
                  <c:v>-1.88</c:v>
                </c:pt>
                <c:pt idx="11">
                  <c:v>-1.21</c:v>
                </c:pt>
                <c:pt idx="12">
                  <c:v>-1.28</c:v>
                </c:pt>
                <c:pt idx="13">
                  <c:v>-1.1599999999999999</c:v>
                </c:pt>
                <c:pt idx="14">
                  <c:v>-1.33</c:v>
                </c:pt>
                <c:pt idx="15">
                  <c:v>-1.23</c:v>
                </c:pt>
                <c:pt idx="16">
                  <c:v>-1.62</c:v>
                </c:pt>
                <c:pt idx="17">
                  <c:v>-2.2999999999999998</c:v>
                </c:pt>
                <c:pt idx="18">
                  <c:v>-0.98</c:v>
                </c:pt>
                <c:pt idx="19">
                  <c:v>-1.25</c:v>
                </c:pt>
              </c:numCache>
            </c:numRef>
          </c:val>
          <c:smooth val="0"/>
          <c:extLst>
            <c:ext xmlns:c16="http://schemas.microsoft.com/office/drawing/2014/chart" uri="{C3380CC4-5D6E-409C-BE32-E72D297353CC}">
              <c16:uniqueId val="{00000001-1F6A-4F94-B34C-1EAB8AFA3FA5}"/>
            </c:ext>
          </c:extLst>
        </c:ser>
        <c:dLbls>
          <c:showLegendKey val="0"/>
          <c:showVal val="0"/>
          <c:showCatName val="0"/>
          <c:showSerName val="0"/>
          <c:showPercent val="0"/>
          <c:showBubbleSize val="0"/>
        </c:dLbls>
        <c:smooth val="0"/>
        <c:axId val="202254272"/>
        <c:axId val="1"/>
      </c:lineChart>
      <c:catAx>
        <c:axId val="202254272"/>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202254272"/>
        <c:crosses val="autoZero"/>
        <c:crossBetween val="between"/>
      </c:valAx>
      <c:spPr>
        <a:noFill/>
        <a:ln w="25360">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 Sodena 2001-22  (2)'!$B$47</c:f>
              <c:strCache>
                <c:ptCount val="1"/>
                <c:pt idx="0">
                  <c:v>Rtdo Ejercicio</c:v>
                </c:pt>
              </c:strCache>
            </c:strRef>
          </c:tx>
          <c:spPr>
            <a:ln w="28556" cap="rnd">
              <a:solidFill>
                <a:schemeClr val="accent1"/>
              </a:solidFill>
              <a:round/>
            </a:ln>
            <a:effectLst/>
          </c:spPr>
          <c:marker>
            <c:symbol val="none"/>
          </c:marker>
          <c:cat>
            <c:numRef>
              <c:f>'Resumen Sodena 2001-22  (2)'!$C$46:$X$46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(2)'!$C$47:$X$47</c:f>
              <c:numCache>
                <c:formatCode>#.##000;\(#.##000\)</c:formatCode>
                <c:ptCount val="22"/>
                <c:pt idx="0">
                  <c:v>1.47E-3</c:v>
                </c:pt>
                <c:pt idx="1">
                  <c:v>-3.6540000000000003E-2</c:v>
                </c:pt>
                <c:pt idx="2">
                  <c:v>-0.436444</c:v>
                </c:pt>
                <c:pt idx="3">
                  <c:v>-2.5758139999999998</c:v>
                </c:pt>
                <c:pt idx="4">
                  <c:v>-3.9980560000000001</c:v>
                </c:pt>
                <c:pt idx="5">
                  <c:v>-4.4599669999999998</c:v>
                </c:pt>
                <c:pt idx="6">
                  <c:v>-4.3772669999999998</c:v>
                </c:pt>
                <c:pt idx="7">
                  <c:v>-4.1689850000000002</c:v>
                </c:pt>
                <c:pt idx="8">
                  <c:v>-4.1362069999999997</c:v>
                </c:pt>
                <c:pt idx="9">
                  <c:v>-4.3002760000000002</c:v>
                </c:pt>
                <c:pt idx="10">
                  <c:v>-4.0448310000000003</c:v>
                </c:pt>
                <c:pt idx="11">
                  <c:v>-4.0503130000000001</c:v>
                </c:pt>
                <c:pt idx="12">
                  <c:v>-3.7972489999999999</c:v>
                </c:pt>
                <c:pt idx="13">
                  <c:v>-2.8564660000000002</c:v>
                </c:pt>
                <c:pt idx="14">
                  <c:v>-2.9287070000000002</c:v>
                </c:pt>
                <c:pt idx="15">
                  <c:v>-2.50291</c:v>
                </c:pt>
                <c:pt idx="16">
                  <c:v>-2.5410560000000002</c:v>
                </c:pt>
                <c:pt idx="17">
                  <c:v>-2.4368820000000002</c:v>
                </c:pt>
                <c:pt idx="18">
                  <c:v>-2.694944</c:v>
                </c:pt>
                <c:pt idx="19">
                  <c:v>-3.3445670000000001</c:v>
                </c:pt>
                <c:pt idx="20">
                  <c:v>-1.9954559999999999</c:v>
                </c:pt>
                <c:pt idx="21">
                  <c:v>-2.2101980000000001</c:v>
                </c:pt>
              </c:numCache>
            </c:numRef>
          </c:val>
          <c:smooth val="0"/>
          <c:extLst>
            <c:ext xmlns:c16="http://schemas.microsoft.com/office/drawing/2014/chart" uri="{C3380CC4-5D6E-409C-BE32-E72D297353CC}">
              <c16:uniqueId val="{00000000-F71F-440C-98BF-9614E6D9D992}"/>
            </c:ext>
          </c:extLst>
        </c:ser>
        <c:ser>
          <c:idx val="1"/>
          <c:order val="1"/>
          <c:tx>
            <c:strRef>
              <c:f>'Resumen Sodena 2001-22  (2)'!$B$48</c:f>
              <c:strCache>
                <c:ptCount val="1"/>
                <c:pt idx="0">
                  <c:v>Deterioro Anual Préstamos</c:v>
                </c:pt>
              </c:strCache>
            </c:strRef>
          </c:tx>
          <c:spPr>
            <a:ln w="28556" cap="rnd">
              <a:solidFill>
                <a:schemeClr val="accent2"/>
              </a:solidFill>
              <a:round/>
            </a:ln>
            <a:effectLst/>
          </c:spPr>
          <c:marker>
            <c:symbol val="none"/>
          </c:marker>
          <c:cat>
            <c:numRef>
              <c:f>'Resumen Sodena 2001-22  (2)'!$C$46:$X$46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(2)'!$C$48:$X$48</c:f>
              <c:numCache>
                <c:formatCode>#.##000;\(#.##000\)</c:formatCode>
                <c:ptCount val="22"/>
                <c:pt idx="0">
                  <c:v>0</c:v>
                </c:pt>
                <c:pt idx="1">
                  <c:v>0</c:v>
                </c:pt>
                <c:pt idx="2">
                  <c:v>0</c:v>
                </c:pt>
                <c:pt idx="3">
                  <c:v>0</c:v>
                </c:pt>
                <c:pt idx="4">
                  <c:v>-4.0401490000000004</c:v>
                </c:pt>
                <c:pt idx="5">
                  <c:v>-2.3798010000000001</c:v>
                </c:pt>
                <c:pt idx="6">
                  <c:v>-4.0124649999999997</c:v>
                </c:pt>
                <c:pt idx="7">
                  <c:v>-3.826559</c:v>
                </c:pt>
                <c:pt idx="8">
                  <c:v>-2.7529089999999998</c:v>
                </c:pt>
                <c:pt idx="9">
                  <c:v>-2.8164470000000001</c:v>
                </c:pt>
                <c:pt idx="10">
                  <c:v>-4.3537650000000001</c:v>
                </c:pt>
                <c:pt idx="11">
                  <c:v>-4.0307399999999998</c:v>
                </c:pt>
                <c:pt idx="12">
                  <c:v>-4</c:v>
                </c:pt>
                <c:pt idx="13">
                  <c:v>-2.6830949999999998</c:v>
                </c:pt>
                <c:pt idx="14">
                  <c:v>-2.9110900000000002</c:v>
                </c:pt>
                <c:pt idx="15">
                  <c:v>-2.7096979999999999</c:v>
                </c:pt>
                <c:pt idx="16">
                  <c:v>-2.4905759999999999</c:v>
                </c:pt>
                <c:pt idx="17">
                  <c:v>-2.3630779999999998</c:v>
                </c:pt>
                <c:pt idx="18">
                  <c:v>-2.85</c:v>
                </c:pt>
                <c:pt idx="19">
                  <c:v>-3.3450009999999999</c:v>
                </c:pt>
                <c:pt idx="20">
                  <c:v>-1.9948710000000001</c:v>
                </c:pt>
                <c:pt idx="21">
                  <c:v>-2.2200000000000002</c:v>
                </c:pt>
              </c:numCache>
            </c:numRef>
          </c:val>
          <c:smooth val="0"/>
          <c:extLst>
            <c:ext xmlns:c16="http://schemas.microsoft.com/office/drawing/2014/chart" uri="{C3380CC4-5D6E-409C-BE32-E72D297353CC}">
              <c16:uniqueId val="{00000001-F71F-440C-98BF-9614E6D9D992}"/>
            </c:ext>
          </c:extLst>
        </c:ser>
        <c:dLbls>
          <c:showLegendKey val="0"/>
          <c:showVal val="0"/>
          <c:showCatName val="0"/>
          <c:showSerName val="0"/>
          <c:showPercent val="0"/>
          <c:showBubbleSize val="0"/>
        </c:dLbls>
        <c:smooth val="0"/>
        <c:axId val="202258208"/>
        <c:axId val="1"/>
      </c:lineChart>
      <c:catAx>
        <c:axId val="202258208"/>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202258208"/>
        <c:crosses val="autoZero"/>
        <c:crossBetween val="between"/>
      </c:valAx>
      <c:spPr>
        <a:noFill/>
        <a:ln w="2538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 Sodena 2001-22  (2)'!$B$72</c:f>
              <c:strCache>
                <c:ptCount val="1"/>
                <c:pt idx="0">
                  <c:v>Deterioro anual prestamos</c:v>
                </c:pt>
              </c:strCache>
            </c:strRef>
          </c:tx>
          <c:spPr>
            <a:ln w="28558" cap="rnd">
              <a:solidFill>
                <a:schemeClr val="accent1"/>
              </a:solidFill>
              <a:round/>
            </a:ln>
            <a:effectLst/>
          </c:spPr>
          <c:marker>
            <c:symbol val="none"/>
          </c:marker>
          <c:cat>
            <c:numRef>
              <c:f>'Resumen Sodena 2001-22  (2)'!$C$71:$X$71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(2)'!$C$72:$X$72</c:f>
              <c:numCache>
                <c:formatCode>General</c:formatCode>
                <c:ptCount val="22"/>
                <c:pt idx="0">
                  <c:v>0</c:v>
                </c:pt>
                <c:pt idx="1">
                  <c:v>0</c:v>
                </c:pt>
                <c:pt idx="2">
                  <c:v>0</c:v>
                </c:pt>
                <c:pt idx="3">
                  <c:v>0</c:v>
                </c:pt>
                <c:pt idx="4">
                  <c:v>-4.04</c:v>
                </c:pt>
                <c:pt idx="5">
                  <c:v>-2.38</c:v>
                </c:pt>
                <c:pt idx="6">
                  <c:v>-4.01</c:v>
                </c:pt>
                <c:pt idx="7">
                  <c:v>-3.83</c:v>
                </c:pt>
                <c:pt idx="8">
                  <c:v>-2.75</c:v>
                </c:pt>
                <c:pt idx="9">
                  <c:v>-2.82</c:v>
                </c:pt>
                <c:pt idx="10">
                  <c:v>-4.3499999999999996</c:v>
                </c:pt>
                <c:pt idx="11">
                  <c:v>-4.03</c:v>
                </c:pt>
                <c:pt idx="12">
                  <c:v>-4</c:v>
                </c:pt>
                <c:pt idx="13">
                  <c:v>-2.68</c:v>
                </c:pt>
                <c:pt idx="14">
                  <c:v>-2.91</c:v>
                </c:pt>
                <c:pt idx="15">
                  <c:v>-2.71</c:v>
                </c:pt>
                <c:pt idx="16">
                  <c:v>-2.4900000000000002</c:v>
                </c:pt>
                <c:pt idx="17">
                  <c:v>-2.36</c:v>
                </c:pt>
                <c:pt idx="18">
                  <c:v>-2.85</c:v>
                </c:pt>
                <c:pt idx="19">
                  <c:v>-3.35</c:v>
                </c:pt>
                <c:pt idx="20">
                  <c:v>-1.99</c:v>
                </c:pt>
                <c:pt idx="21">
                  <c:v>-2.2200000000000002</c:v>
                </c:pt>
              </c:numCache>
            </c:numRef>
          </c:val>
          <c:smooth val="0"/>
          <c:extLst>
            <c:ext xmlns:c16="http://schemas.microsoft.com/office/drawing/2014/chart" uri="{C3380CC4-5D6E-409C-BE32-E72D297353CC}">
              <c16:uniqueId val="{00000000-5A71-4AC8-AEFB-FF08D9951A4F}"/>
            </c:ext>
          </c:extLst>
        </c:ser>
        <c:ser>
          <c:idx val="1"/>
          <c:order val="1"/>
          <c:tx>
            <c:strRef>
              <c:f>'Resumen Sodena 2001-22  (2)'!$B$73</c:f>
              <c:strCache>
                <c:ptCount val="1"/>
                <c:pt idx="0">
                  <c:v>Importe anual préstamo participativo</c:v>
                </c:pt>
              </c:strCache>
            </c:strRef>
          </c:tx>
          <c:spPr>
            <a:ln w="28558" cap="rnd">
              <a:solidFill>
                <a:schemeClr val="accent2"/>
              </a:solidFill>
              <a:round/>
            </a:ln>
            <a:effectLst/>
          </c:spPr>
          <c:marker>
            <c:symbol val="none"/>
          </c:marker>
          <c:cat>
            <c:numRef>
              <c:f>'Resumen Sodena 2001-22  (2)'!$C$71:$X$71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(2)'!$C$73:$X$73</c:f>
              <c:numCache>
                <c:formatCode>General</c:formatCode>
                <c:ptCount val="22"/>
                <c:pt idx="0">
                  <c:v>0</c:v>
                </c:pt>
                <c:pt idx="1">
                  <c:v>0</c:v>
                </c:pt>
                <c:pt idx="2">
                  <c:v>0</c:v>
                </c:pt>
                <c:pt idx="3">
                  <c:v>0</c:v>
                </c:pt>
                <c:pt idx="4">
                  <c:v>0</c:v>
                </c:pt>
                <c:pt idx="5">
                  <c:v>4.3</c:v>
                </c:pt>
                <c:pt idx="6">
                  <c:v>4.4000000000000004</c:v>
                </c:pt>
                <c:pt idx="7">
                  <c:v>4.2</c:v>
                </c:pt>
                <c:pt idx="8">
                  <c:v>3.85</c:v>
                </c:pt>
                <c:pt idx="9">
                  <c:v>4.3</c:v>
                </c:pt>
                <c:pt idx="10">
                  <c:v>4.33</c:v>
                </c:pt>
                <c:pt idx="11">
                  <c:v>4.05</c:v>
                </c:pt>
                <c:pt idx="12">
                  <c:v>3.75</c:v>
                </c:pt>
                <c:pt idx="13">
                  <c:v>3</c:v>
                </c:pt>
                <c:pt idx="14">
                  <c:v>2.9</c:v>
                </c:pt>
                <c:pt idx="15">
                  <c:v>2.5</c:v>
                </c:pt>
                <c:pt idx="16">
                  <c:v>2.5</c:v>
                </c:pt>
                <c:pt idx="17">
                  <c:v>2.4500000000000002</c:v>
                </c:pt>
                <c:pt idx="18">
                  <c:v>2.7</c:v>
                </c:pt>
                <c:pt idx="19">
                  <c:v>3.35</c:v>
                </c:pt>
                <c:pt idx="20">
                  <c:v>2</c:v>
                </c:pt>
                <c:pt idx="21">
                  <c:v>2.2200000000000002</c:v>
                </c:pt>
              </c:numCache>
            </c:numRef>
          </c:val>
          <c:smooth val="0"/>
          <c:extLst>
            <c:ext xmlns:c16="http://schemas.microsoft.com/office/drawing/2014/chart" uri="{C3380CC4-5D6E-409C-BE32-E72D297353CC}">
              <c16:uniqueId val="{00000001-5A71-4AC8-AEFB-FF08D9951A4F}"/>
            </c:ext>
          </c:extLst>
        </c:ser>
        <c:dLbls>
          <c:showLegendKey val="0"/>
          <c:showVal val="0"/>
          <c:showCatName val="0"/>
          <c:showSerName val="0"/>
          <c:showPercent val="0"/>
          <c:showBubbleSize val="0"/>
        </c:dLbls>
        <c:smooth val="0"/>
        <c:axId val="173659392"/>
        <c:axId val="1"/>
      </c:lineChart>
      <c:catAx>
        <c:axId val="173659392"/>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73659392"/>
        <c:crosses val="autoZero"/>
        <c:crossBetween val="between"/>
      </c:valAx>
      <c:spPr>
        <a:noFill/>
        <a:ln w="25385">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BC24-1FCE-4E91-A7F0-22D5C10C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46</Pages>
  <Words>14549</Words>
  <Characters>80103</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16</cp:revision>
  <cp:lastPrinted>2023-11-07T08:17:00Z</cp:lastPrinted>
  <dcterms:created xsi:type="dcterms:W3CDTF">2023-10-23T11:56:00Z</dcterms:created>
  <dcterms:modified xsi:type="dcterms:W3CDTF">2023-11-10T11:27:00Z</dcterms:modified>
</cp:coreProperties>
</file>