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F136" w14:textId="77777777" w:rsidR="001C3A32" w:rsidRPr="00204979" w:rsidRDefault="00FA495F" w:rsidP="00075677">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7848123B" wp14:editId="7FF0520C">
                <wp:simplePos x="0" y="0"/>
                <wp:positionH relativeFrom="column">
                  <wp:posOffset>-156247</wp:posOffset>
                </wp:positionH>
                <wp:positionV relativeFrom="paragraph">
                  <wp:posOffset>-771525</wp:posOffset>
                </wp:positionV>
                <wp:extent cx="1105535" cy="874059"/>
                <wp:effectExtent l="0" t="0" r="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874059"/>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700F6D0" w14:textId="77777777" w:rsidR="00D86AAC" w:rsidRPr="003A7956" w:rsidRDefault="00D86AAC" w:rsidP="004C3423">
                            <w:pPr>
                              <w:spacing w:after="0"/>
                              <w:ind w:firstLine="0"/>
                              <w:jc w:val="center"/>
                              <w:rPr>
                                <w:sz w:val="18"/>
                                <w:szCs w:val="18"/>
                                <w:lang w:val="es-ES"/>
                              </w:rPr>
                            </w:pPr>
                            <w:r w:rsidRPr="003A7956">
                              <w:rPr>
                                <w:sz w:val="18"/>
                                <w:szCs w:val="18"/>
                                <w:lang w:val="es-ES"/>
                              </w:rPr>
                              <w:t>CAMARA DE</w:t>
                            </w:r>
                          </w:p>
                          <w:p w14:paraId="0B096D4C" w14:textId="77777777" w:rsidR="00D86AAC" w:rsidRPr="003A7956" w:rsidRDefault="00D86AAC" w:rsidP="004C3423">
                            <w:pPr>
                              <w:spacing w:after="0"/>
                              <w:ind w:firstLine="0"/>
                              <w:jc w:val="center"/>
                              <w:rPr>
                                <w:sz w:val="18"/>
                                <w:szCs w:val="18"/>
                                <w:lang w:val="es-ES"/>
                              </w:rPr>
                            </w:pPr>
                            <w:r w:rsidRPr="003A7956">
                              <w:rPr>
                                <w:sz w:val="18"/>
                                <w:szCs w:val="18"/>
                                <w:lang w:val="es-ES"/>
                              </w:rPr>
                              <w:t>COMPTOS</w:t>
                            </w:r>
                          </w:p>
                          <w:p w14:paraId="03B2A706" w14:textId="77777777" w:rsidR="00D86AAC" w:rsidRPr="003A7956" w:rsidRDefault="00D86AAC" w:rsidP="004C3423">
                            <w:pPr>
                              <w:spacing w:after="0"/>
                              <w:ind w:firstLine="0"/>
                              <w:jc w:val="center"/>
                              <w:rPr>
                                <w:sz w:val="18"/>
                                <w:szCs w:val="18"/>
                                <w:lang w:val="es-ES"/>
                              </w:rPr>
                            </w:pPr>
                            <w:r w:rsidRPr="003A7956">
                              <w:rPr>
                                <w:sz w:val="18"/>
                                <w:szCs w:val="18"/>
                                <w:lang w:val="es-ES"/>
                              </w:rPr>
                              <w:t>DE NAVARRA</w:t>
                            </w:r>
                          </w:p>
                          <w:p w14:paraId="77BE3D4F" w14:textId="77777777" w:rsidR="00D86AAC" w:rsidRPr="003A7956" w:rsidRDefault="00D86AAC" w:rsidP="004C3423">
                            <w:pPr>
                              <w:spacing w:after="0"/>
                              <w:ind w:firstLine="0"/>
                              <w:jc w:val="center"/>
                              <w:rPr>
                                <w:color w:val="808080"/>
                                <w:sz w:val="18"/>
                                <w:szCs w:val="18"/>
                                <w:lang w:val="es-ES"/>
                              </w:rPr>
                            </w:pPr>
                            <w:r w:rsidRPr="003A7956">
                              <w:rPr>
                                <w:color w:val="808080"/>
                                <w:sz w:val="18"/>
                                <w:szCs w:val="18"/>
                                <w:lang w:val="es-ES"/>
                              </w:rPr>
                              <w:t>NAFARROAKO</w:t>
                            </w:r>
                          </w:p>
                          <w:p w14:paraId="5842FF60" w14:textId="77777777" w:rsidR="00D86AAC" w:rsidRPr="003A7956" w:rsidRDefault="00D86AAC" w:rsidP="004C3423">
                            <w:pPr>
                              <w:spacing w:after="0"/>
                              <w:ind w:firstLine="0"/>
                              <w:jc w:val="center"/>
                              <w:rPr>
                                <w:color w:val="808080"/>
                                <w:sz w:val="18"/>
                                <w:szCs w:val="18"/>
                                <w:lang w:val="es-ES"/>
                              </w:rPr>
                            </w:pPr>
                            <w:r w:rsidRPr="003A7956">
                              <w:rPr>
                                <w:color w:val="808080"/>
                                <w:sz w:val="18"/>
                                <w:szCs w:val="18"/>
                                <w:lang w:val="es-ES"/>
                              </w:rPr>
                              <w:t>KONTUEN</w:t>
                            </w:r>
                          </w:p>
                          <w:p w14:paraId="1D4BF37F" w14:textId="77777777" w:rsidR="00D86AAC" w:rsidRPr="003A7956" w:rsidRDefault="00D86AAC" w:rsidP="004C3423">
                            <w:pPr>
                              <w:spacing w:after="0"/>
                              <w:ind w:firstLine="0"/>
                              <w:jc w:val="center"/>
                              <w:rPr>
                                <w:color w:val="808080"/>
                                <w:sz w:val="18"/>
                                <w:szCs w:val="18"/>
                                <w:lang w:val="es-ES"/>
                              </w:rPr>
                            </w:pPr>
                            <w:r w:rsidRPr="003A7956">
                              <w:rPr>
                                <w:color w:val="808080"/>
                                <w:sz w:val="18"/>
                                <w:szCs w:val="18"/>
                                <w:lang w:val="es-ES"/>
                              </w:rPr>
                              <w:t>GANBERA</w:t>
                            </w:r>
                          </w:p>
                          <w:p w14:paraId="05C91F04" w14:textId="77777777" w:rsidR="00D86AAC" w:rsidRPr="002C7026" w:rsidRDefault="00D86AA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8123B" id="_x0000_t202" coordsize="21600,21600" o:spt="202" path="m,l,21600r21600,l21600,xe">
                <v:stroke joinstyle="miter"/>
                <v:path gradientshapeok="t" o:connecttype="rect"/>
              </v:shapetype>
              <v:shape id="Text Box 7" o:spid="_x0000_s1026" type="#_x0000_t202" style="position:absolute;left:0;text-align:left;margin-left:-12.3pt;margin-top:-60.75pt;width:87.05pt;height:6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" stroked="f" strokecolor="white">
                <v:textbox>
                  <w:txbxContent>
                    <w:p w14:paraId="4700F6D0" w14:textId="77777777" w:rsidR="00D86AAC" w:rsidRPr="003A7956" w:rsidRDefault="00D86AAC" w:rsidP="004C3423">
                      <w:pPr>
                        <w:spacing w:after="0"/>
                        <w:ind w:firstLine="0"/>
                        <w:jc w:val="center"/>
                        <w:rPr>
                          <w:sz w:val="18"/>
                          <w:szCs w:val="18"/>
                          <w:lang w:val="es-ES"/>
                        </w:rPr>
                      </w:pPr>
                      <w:r w:rsidRPr="003A7956">
                        <w:rPr>
                          <w:sz w:val="18"/>
                          <w:szCs w:val="18"/>
                          <w:lang w:val="es-ES"/>
                        </w:rPr>
                        <w:t>CAMARA DE</w:t>
                      </w:r>
                    </w:p>
                    <w:p w14:paraId="0B096D4C" w14:textId="77777777" w:rsidR="00D86AAC" w:rsidRPr="003A7956" w:rsidRDefault="00D86AAC" w:rsidP="004C3423">
                      <w:pPr>
                        <w:spacing w:after="0"/>
                        <w:ind w:firstLine="0"/>
                        <w:jc w:val="center"/>
                        <w:rPr>
                          <w:sz w:val="18"/>
                          <w:szCs w:val="18"/>
                          <w:lang w:val="es-ES"/>
                        </w:rPr>
                      </w:pPr>
                      <w:r w:rsidRPr="003A7956">
                        <w:rPr>
                          <w:sz w:val="18"/>
                          <w:szCs w:val="18"/>
                          <w:lang w:val="es-ES"/>
                        </w:rPr>
                        <w:t>COMPTOS</w:t>
                      </w:r>
                    </w:p>
                    <w:p w14:paraId="03B2A706" w14:textId="77777777" w:rsidR="00D86AAC" w:rsidRPr="003A7956" w:rsidRDefault="00D86AAC" w:rsidP="004C3423">
                      <w:pPr>
                        <w:spacing w:after="0"/>
                        <w:ind w:firstLine="0"/>
                        <w:jc w:val="center"/>
                        <w:rPr>
                          <w:sz w:val="18"/>
                          <w:szCs w:val="18"/>
                          <w:lang w:val="es-ES"/>
                        </w:rPr>
                      </w:pPr>
                      <w:r w:rsidRPr="003A7956">
                        <w:rPr>
                          <w:sz w:val="18"/>
                          <w:szCs w:val="18"/>
                          <w:lang w:val="es-ES"/>
                        </w:rPr>
                        <w:t>DE NAVARRA</w:t>
                      </w:r>
                    </w:p>
                    <w:p w14:paraId="77BE3D4F" w14:textId="77777777" w:rsidR="00D86AAC" w:rsidRPr="003A7956" w:rsidRDefault="00D86AAC" w:rsidP="004C3423">
                      <w:pPr>
                        <w:spacing w:after="0"/>
                        <w:ind w:firstLine="0"/>
                        <w:jc w:val="center"/>
                        <w:rPr>
                          <w:color w:val="808080"/>
                          <w:sz w:val="18"/>
                          <w:szCs w:val="18"/>
                          <w:lang w:val="es-ES"/>
                        </w:rPr>
                      </w:pPr>
                      <w:r w:rsidRPr="003A7956">
                        <w:rPr>
                          <w:color w:val="808080"/>
                          <w:sz w:val="18"/>
                          <w:szCs w:val="18"/>
                          <w:lang w:val="es-ES"/>
                        </w:rPr>
                        <w:t>NAFARROAKO</w:t>
                      </w:r>
                    </w:p>
                    <w:p w14:paraId="5842FF60" w14:textId="77777777" w:rsidR="00D86AAC" w:rsidRPr="003A7956" w:rsidRDefault="00D86AAC" w:rsidP="004C3423">
                      <w:pPr>
                        <w:spacing w:after="0"/>
                        <w:ind w:firstLine="0"/>
                        <w:jc w:val="center"/>
                        <w:rPr>
                          <w:color w:val="808080"/>
                          <w:sz w:val="18"/>
                          <w:szCs w:val="18"/>
                          <w:lang w:val="es-ES"/>
                        </w:rPr>
                      </w:pPr>
                      <w:r w:rsidRPr="003A7956">
                        <w:rPr>
                          <w:color w:val="808080"/>
                          <w:sz w:val="18"/>
                          <w:szCs w:val="18"/>
                          <w:lang w:val="es-ES"/>
                        </w:rPr>
                        <w:t>KONTUEN</w:t>
                      </w:r>
                    </w:p>
                    <w:p w14:paraId="1D4BF37F" w14:textId="77777777" w:rsidR="00D86AAC" w:rsidRPr="003A7956" w:rsidRDefault="00D86AAC" w:rsidP="004C3423">
                      <w:pPr>
                        <w:spacing w:after="0"/>
                        <w:ind w:firstLine="0"/>
                        <w:jc w:val="center"/>
                        <w:rPr>
                          <w:color w:val="808080"/>
                          <w:sz w:val="18"/>
                          <w:szCs w:val="18"/>
                          <w:lang w:val="es-ES"/>
                        </w:rPr>
                      </w:pPr>
                      <w:r w:rsidRPr="003A7956">
                        <w:rPr>
                          <w:color w:val="808080"/>
                          <w:sz w:val="18"/>
                          <w:szCs w:val="18"/>
                          <w:lang w:val="es-ES"/>
                        </w:rPr>
                        <w:t>GANBERA</w:t>
                      </w:r>
                    </w:p>
                    <w:p w14:paraId="05C91F04" w14:textId="77777777" w:rsidR="00D86AAC" w:rsidRPr="002C7026" w:rsidRDefault="00D86AAC" w:rsidP="002C7026">
                      <w:pPr>
                        <w:spacing w:after="0"/>
                        <w:ind w:firstLine="0"/>
                        <w:jc w:val="center"/>
                        <w:rPr>
                          <w:rFonts w:ascii="Trajan" w:hAnsi="Trajan"/>
                          <w:color w:val="808080"/>
                          <w:sz w:val="18"/>
                          <w:szCs w:val="18"/>
                          <w:lang w:val="es-ES"/>
                        </w:rPr>
                      </w:pPr>
                    </w:p>
                  </w:txbxContent>
                </v:textbox>
              </v:shape>
            </w:pict>
          </mc:Fallback>
        </mc:AlternateContent>
      </w:r>
    </w:p>
    <w:p w14:paraId="0A7D8FAD" w14:textId="77777777" w:rsidR="00F87E58" w:rsidRDefault="00F87E58" w:rsidP="00F87E58">
      <w:pPr>
        <w:pStyle w:val="EstiloPortada"/>
      </w:pPr>
    </w:p>
    <w:p w14:paraId="0DFD8A7C" w14:textId="77777777" w:rsidR="001C3A32" w:rsidRPr="00204979" w:rsidRDefault="00F87E58" w:rsidP="00110694">
      <w:pPr>
        <w:pStyle w:val="EstiloPortada"/>
        <w:ind w:left="3119"/>
      </w:pPr>
      <w:r>
        <w:t xml:space="preserve">Aportaciones financieras </w:t>
      </w:r>
      <w:r w:rsidR="00110694">
        <w:t>de Sodena a Parquenasa</w:t>
      </w:r>
      <w:r w:rsidR="00D32AC1">
        <w:t xml:space="preserve"> (2001-2023)</w:t>
      </w:r>
    </w:p>
    <w:p w14:paraId="52B67815" w14:textId="77777777" w:rsidR="002F2530" w:rsidRPr="00204979" w:rsidRDefault="002F2530" w:rsidP="00891D73">
      <w:pPr>
        <w:pStyle w:val="texto"/>
      </w:pPr>
    </w:p>
    <w:p w14:paraId="3D29B0F2" w14:textId="77777777" w:rsidR="002F2530" w:rsidRPr="00204979" w:rsidRDefault="002F2530" w:rsidP="00891D73">
      <w:pPr>
        <w:pStyle w:val="texto"/>
      </w:pPr>
    </w:p>
    <w:p w14:paraId="0375FC4C" w14:textId="77777777" w:rsidR="001C3A32" w:rsidRPr="00204979" w:rsidRDefault="001C3A32" w:rsidP="00891D73">
      <w:pPr>
        <w:pStyle w:val="texto"/>
      </w:pPr>
    </w:p>
    <w:p w14:paraId="605CB4EB" w14:textId="77777777" w:rsidR="001C3A32" w:rsidRPr="00204979" w:rsidRDefault="001C3A32" w:rsidP="00891D73">
      <w:pPr>
        <w:pStyle w:val="texto"/>
      </w:pPr>
    </w:p>
    <w:p w14:paraId="5F9575E2" w14:textId="77777777" w:rsidR="001C3A32" w:rsidRPr="00204979" w:rsidRDefault="001C3A32" w:rsidP="00891D73">
      <w:pPr>
        <w:pStyle w:val="texto"/>
      </w:pPr>
    </w:p>
    <w:p w14:paraId="03D84921" w14:textId="77777777" w:rsidR="001C3A32" w:rsidRPr="00204979" w:rsidRDefault="001C3A32" w:rsidP="00891D73">
      <w:pPr>
        <w:pStyle w:val="texto"/>
      </w:pPr>
    </w:p>
    <w:p w14:paraId="1B7A2B4A" w14:textId="77777777" w:rsidR="001C3A32" w:rsidRPr="00204979" w:rsidRDefault="001C3A32" w:rsidP="00891D73">
      <w:pPr>
        <w:pStyle w:val="texto"/>
      </w:pPr>
    </w:p>
    <w:p w14:paraId="38DB877B" w14:textId="77777777" w:rsidR="001C3A32" w:rsidRPr="00204979" w:rsidRDefault="001C3A32" w:rsidP="00891D73">
      <w:pPr>
        <w:pStyle w:val="texto"/>
      </w:pPr>
    </w:p>
    <w:p w14:paraId="58E94C1B" w14:textId="77777777" w:rsidR="001C3A32" w:rsidRPr="00204979" w:rsidRDefault="001C3A32" w:rsidP="00891D73">
      <w:pPr>
        <w:pStyle w:val="texto"/>
      </w:pPr>
    </w:p>
    <w:p w14:paraId="09197A29" w14:textId="77777777" w:rsidR="001C3A32" w:rsidRPr="00204979" w:rsidRDefault="001C3A32" w:rsidP="00891D73">
      <w:pPr>
        <w:pStyle w:val="texto"/>
      </w:pPr>
    </w:p>
    <w:p w14:paraId="31701BE9" w14:textId="77777777" w:rsidR="001C3A32" w:rsidRPr="00204979" w:rsidRDefault="001C3A32" w:rsidP="00891D73">
      <w:pPr>
        <w:pStyle w:val="texto"/>
      </w:pPr>
    </w:p>
    <w:p w14:paraId="34EB8925" w14:textId="77777777" w:rsidR="001C3A32" w:rsidRPr="00204979" w:rsidRDefault="001C3A32" w:rsidP="00891D73">
      <w:pPr>
        <w:pStyle w:val="texto"/>
      </w:pPr>
    </w:p>
    <w:p w14:paraId="4AF91F91" w14:textId="77777777" w:rsidR="001C3A32" w:rsidRPr="00204979" w:rsidRDefault="001C3A32" w:rsidP="00891D73">
      <w:pPr>
        <w:pStyle w:val="texto"/>
      </w:pPr>
    </w:p>
    <w:p w14:paraId="523CD052" w14:textId="77777777" w:rsidR="001C3A32" w:rsidRPr="00204979" w:rsidRDefault="001C3A32" w:rsidP="00891D73">
      <w:pPr>
        <w:pStyle w:val="texto"/>
      </w:pPr>
    </w:p>
    <w:p w14:paraId="0210C10B" w14:textId="77777777" w:rsidR="001C3A32" w:rsidRPr="00204979" w:rsidRDefault="001C3A32" w:rsidP="00891D73">
      <w:pPr>
        <w:pStyle w:val="texto"/>
      </w:pPr>
    </w:p>
    <w:p w14:paraId="57CA8202" w14:textId="77777777" w:rsidR="001C3A32" w:rsidRPr="00204979" w:rsidRDefault="001C3A32" w:rsidP="00891D73">
      <w:pPr>
        <w:pStyle w:val="texto"/>
      </w:pPr>
    </w:p>
    <w:p w14:paraId="0EEA7DB8" w14:textId="77777777" w:rsidR="001C3A32" w:rsidRPr="00204979" w:rsidRDefault="001C3A32" w:rsidP="00891D73">
      <w:pPr>
        <w:pStyle w:val="texto"/>
      </w:pPr>
    </w:p>
    <w:p w14:paraId="54E5B10B" w14:textId="77777777" w:rsidR="001C3A32" w:rsidRPr="00204979" w:rsidRDefault="001C3A32" w:rsidP="00891D73">
      <w:pPr>
        <w:pStyle w:val="texto"/>
      </w:pPr>
    </w:p>
    <w:p w14:paraId="0AC5CB7D" w14:textId="77777777" w:rsidR="001C3A32" w:rsidRPr="00204979" w:rsidRDefault="001C3A32" w:rsidP="00891D73">
      <w:pPr>
        <w:pStyle w:val="texto"/>
      </w:pPr>
    </w:p>
    <w:p w14:paraId="611C41BD" w14:textId="77777777" w:rsidR="00716463" w:rsidRPr="001D4F09" w:rsidRDefault="00156B78" w:rsidP="009936FC">
      <w:pPr>
        <w:pStyle w:val="Fechaportada"/>
      </w:pPr>
      <w:r>
        <w:t>Noviembre</w:t>
      </w:r>
      <w:r w:rsidR="00F87E58">
        <w:t xml:space="preserve"> de 2023</w:t>
      </w:r>
    </w:p>
    <w:p w14:paraId="1412ECDE"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3515C822" w14:textId="77777777" w:rsidR="001C3A32" w:rsidRDefault="00891D73" w:rsidP="00891D73">
      <w:pPr>
        <w:pStyle w:val="ndice"/>
      </w:pPr>
      <w:r w:rsidRPr="00891D73">
        <w:lastRenderedPageBreak/>
        <w:t>Índice</w:t>
      </w:r>
    </w:p>
    <w:p w14:paraId="1FAB7EC5" w14:textId="77777777" w:rsidR="000D06D2"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49803643" w:history="1">
        <w:r w:rsidR="000D06D2" w:rsidRPr="00B81725">
          <w:rPr>
            <w:rStyle w:val="Hipervnculo"/>
            <w:noProof/>
          </w:rPr>
          <w:t>I. Introducción</w:t>
        </w:r>
        <w:r w:rsidR="000D06D2">
          <w:rPr>
            <w:noProof/>
            <w:webHidden/>
          </w:rPr>
          <w:tab/>
        </w:r>
        <w:r w:rsidR="000D06D2">
          <w:rPr>
            <w:noProof/>
            <w:webHidden/>
          </w:rPr>
          <w:fldChar w:fldCharType="begin"/>
        </w:r>
        <w:r w:rsidR="000D06D2">
          <w:rPr>
            <w:noProof/>
            <w:webHidden/>
          </w:rPr>
          <w:instrText xml:space="preserve"> PAGEREF _Toc149803643 \h </w:instrText>
        </w:r>
        <w:r w:rsidR="000D06D2">
          <w:rPr>
            <w:noProof/>
            <w:webHidden/>
          </w:rPr>
        </w:r>
        <w:r w:rsidR="000D06D2">
          <w:rPr>
            <w:noProof/>
            <w:webHidden/>
          </w:rPr>
          <w:fldChar w:fldCharType="separate"/>
        </w:r>
        <w:r w:rsidR="00D32AC1">
          <w:rPr>
            <w:noProof/>
            <w:webHidden/>
          </w:rPr>
          <w:t>3</w:t>
        </w:r>
        <w:r w:rsidR="000D06D2">
          <w:rPr>
            <w:noProof/>
            <w:webHidden/>
          </w:rPr>
          <w:fldChar w:fldCharType="end"/>
        </w:r>
      </w:hyperlink>
    </w:p>
    <w:p w14:paraId="112B0ACF" w14:textId="77777777" w:rsidR="000D06D2" w:rsidRDefault="00414BA3">
      <w:pPr>
        <w:pStyle w:val="TDC1"/>
        <w:rPr>
          <w:rFonts w:asciiTheme="minorHAnsi" w:eastAsiaTheme="minorEastAsia" w:hAnsiTheme="minorHAnsi" w:cstheme="minorBidi"/>
          <w:smallCaps w:val="0"/>
          <w:noProof/>
          <w:szCs w:val="22"/>
          <w:lang w:val="es-ES" w:eastAsia="es-ES"/>
        </w:rPr>
      </w:pPr>
      <w:hyperlink w:anchor="_Toc149803644" w:history="1">
        <w:r w:rsidR="000D06D2" w:rsidRPr="00B81725">
          <w:rPr>
            <w:rStyle w:val="Hipervnculo"/>
            <w:noProof/>
          </w:rPr>
          <w:t>II. Objetivos y alcance</w:t>
        </w:r>
        <w:r w:rsidR="000D06D2">
          <w:rPr>
            <w:noProof/>
            <w:webHidden/>
          </w:rPr>
          <w:tab/>
        </w:r>
        <w:r w:rsidR="000D06D2">
          <w:rPr>
            <w:noProof/>
            <w:webHidden/>
          </w:rPr>
          <w:fldChar w:fldCharType="begin"/>
        </w:r>
        <w:r w:rsidR="000D06D2">
          <w:rPr>
            <w:noProof/>
            <w:webHidden/>
          </w:rPr>
          <w:instrText xml:space="preserve"> PAGEREF _Toc149803644 \h </w:instrText>
        </w:r>
        <w:r w:rsidR="000D06D2">
          <w:rPr>
            <w:noProof/>
            <w:webHidden/>
          </w:rPr>
        </w:r>
        <w:r w:rsidR="000D06D2">
          <w:rPr>
            <w:noProof/>
            <w:webHidden/>
          </w:rPr>
          <w:fldChar w:fldCharType="separate"/>
        </w:r>
        <w:r w:rsidR="00D32AC1">
          <w:rPr>
            <w:noProof/>
            <w:webHidden/>
          </w:rPr>
          <w:t>4</w:t>
        </w:r>
        <w:r w:rsidR="000D06D2">
          <w:rPr>
            <w:noProof/>
            <w:webHidden/>
          </w:rPr>
          <w:fldChar w:fldCharType="end"/>
        </w:r>
      </w:hyperlink>
    </w:p>
    <w:p w14:paraId="3B4A665D" w14:textId="77777777" w:rsidR="000D06D2" w:rsidRDefault="00414BA3">
      <w:pPr>
        <w:pStyle w:val="TDC1"/>
        <w:rPr>
          <w:rFonts w:asciiTheme="minorHAnsi" w:eastAsiaTheme="minorEastAsia" w:hAnsiTheme="minorHAnsi" w:cstheme="minorBidi"/>
          <w:smallCaps w:val="0"/>
          <w:noProof/>
          <w:szCs w:val="22"/>
          <w:lang w:val="es-ES" w:eastAsia="es-ES"/>
        </w:rPr>
      </w:pPr>
      <w:hyperlink w:anchor="_Toc149803645" w:history="1">
        <w:r w:rsidR="000D06D2" w:rsidRPr="00B81725">
          <w:rPr>
            <w:rStyle w:val="Hipervnculo"/>
            <w:noProof/>
          </w:rPr>
          <w:t>III. Conclusiones y recomendaciones</w:t>
        </w:r>
        <w:r w:rsidR="000D06D2">
          <w:rPr>
            <w:noProof/>
            <w:webHidden/>
          </w:rPr>
          <w:tab/>
        </w:r>
        <w:r w:rsidR="000D06D2">
          <w:rPr>
            <w:noProof/>
            <w:webHidden/>
          </w:rPr>
          <w:fldChar w:fldCharType="begin"/>
        </w:r>
        <w:r w:rsidR="000D06D2">
          <w:rPr>
            <w:noProof/>
            <w:webHidden/>
          </w:rPr>
          <w:instrText xml:space="preserve"> PAGEREF _Toc149803645 \h </w:instrText>
        </w:r>
        <w:r w:rsidR="000D06D2">
          <w:rPr>
            <w:noProof/>
            <w:webHidden/>
          </w:rPr>
        </w:r>
        <w:r w:rsidR="000D06D2">
          <w:rPr>
            <w:noProof/>
            <w:webHidden/>
          </w:rPr>
          <w:fldChar w:fldCharType="separate"/>
        </w:r>
        <w:r w:rsidR="00D32AC1">
          <w:rPr>
            <w:noProof/>
            <w:webHidden/>
          </w:rPr>
          <w:t>6</w:t>
        </w:r>
        <w:r w:rsidR="000D06D2">
          <w:rPr>
            <w:noProof/>
            <w:webHidden/>
          </w:rPr>
          <w:fldChar w:fldCharType="end"/>
        </w:r>
      </w:hyperlink>
    </w:p>
    <w:p w14:paraId="3045DC59" w14:textId="77777777" w:rsidR="000D06D2" w:rsidRDefault="00414BA3">
      <w:pPr>
        <w:pStyle w:val="TDC1"/>
        <w:rPr>
          <w:rFonts w:asciiTheme="minorHAnsi" w:eastAsiaTheme="minorEastAsia" w:hAnsiTheme="minorHAnsi" w:cstheme="minorBidi"/>
          <w:smallCaps w:val="0"/>
          <w:noProof/>
          <w:szCs w:val="22"/>
          <w:lang w:val="es-ES" w:eastAsia="es-ES"/>
        </w:rPr>
      </w:pPr>
      <w:hyperlink w:anchor="_Toc149803646" w:history="1">
        <w:r w:rsidR="000D06D2" w:rsidRPr="00B81725">
          <w:rPr>
            <w:rStyle w:val="Hipervnculo"/>
            <w:noProof/>
          </w:rPr>
          <w:t>IV. Responsabilidad de Sodena</w:t>
        </w:r>
        <w:r w:rsidR="000D06D2">
          <w:rPr>
            <w:noProof/>
            <w:webHidden/>
          </w:rPr>
          <w:tab/>
        </w:r>
        <w:r w:rsidR="000D06D2">
          <w:rPr>
            <w:noProof/>
            <w:webHidden/>
          </w:rPr>
          <w:fldChar w:fldCharType="begin"/>
        </w:r>
        <w:r w:rsidR="000D06D2">
          <w:rPr>
            <w:noProof/>
            <w:webHidden/>
          </w:rPr>
          <w:instrText xml:space="preserve"> PAGEREF _Toc149803646 \h </w:instrText>
        </w:r>
        <w:r w:rsidR="000D06D2">
          <w:rPr>
            <w:noProof/>
            <w:webHidden/>
          </w:rPr>
        </w:r>
        <w:r w:rsidR="000D06D2">
          <w:rPr>
            <w:noProof/>
            <w:webHidden/>
          </w:rPr>
          <w:fldChar w:fldCharType="separate"/>
        </w:r>
        <w:r w:rsidR="00D32AC1">
          <w:rPr>
            <w:noProof/>
            <w:webHidden/>
          </w:rPr>
          <w:t>10</w:t>
        </w:r>
        <w:r w:rsidR="000D06D2">
          <w:rPr>
            <w:noProof/>
            <w:webHidden/>
          </w:rPr>
          <w:fldChar w:fldCharType="end"/>
        </w:r>
      </w:hyperlink>
    </w:p>
    <w:p w14:paraId="0322FEA7" w14:textId="77777777" w:rsidR="000D06D2" w:rsidRDefault="00414BA3">
      <w:pPr>
        <w:pStyle w:val="TDC1"/>
        <w:rPr>
          <w:rFonts w:asciiTheme="minorHAnsi" w:eastAsiaTheme="minorEastAsia" w:hAnsiTheme="minorHAnsi" w:cstheme="minorBidi"/>
          <w:smallCaps w:val="0"/>
          <w:noProof/>
          <w:szCs w:val="22"/>
          <w:lang w:val="es-ES" w:eastAsia="es-ES"/>
        </w:rPr>
      </w:pPr>
      <w:hyperlink w:anchor="_Toc149803647" w:history="1">
        <w:r w:rsidR="000D06D2" w:rsidRPr="00B81725">
          <w:rPr>
            <w:rStyle w:val="Hipervnculo"/>
            <w:noProof/>
          </w:rPr>
          <w:t>V. Responsabilidad de la Cámara de Comptos</w:t>
        </w:r>
        <w:r w:rsidR="000D06D2">
          <w:rPr>
            <w:noProof/>
            <w:webHidden/>
          </w:rPr>
          <w:tab/>
        </w:r>
        <w:r w:rsidR="000D06D2">
          <w:rPr>
            <w:noProof/>
            <w:webHidden/>
          </w:rPr>
          <w:fldChar w:fldCharType="begin"/>
        </w:r>
        <w:r w:rsidR="000D06D2">
          <w:rPr>
            <w:noProof/>
            <w:webHidden/>
          </w:rPr>
          <w:instrText xml:space="preserve"> PAGEREF _Toc149803647 \h </w:instrText>
        </w:r>
        <w:r w:rsidR="000D06D2">
          <w:rPr>
            <w:noProof/>
            <w:webHidden/>
          </w:rPr>
        </w:r>
        <w:r w:rsidR="000D06D2">
          <w:rPr>
            <w:noProof/>
            <w:webHidden/>
          </w:rPr>
          <w:fldChar w:fldCharType="separate"/>
        </w:r>
        <w:r w:rsidR="00D32AC1">
          <w:rPr>
            <w:noProof/>
            <w:webHidden/>
          </w:rPr>
          <w:t>11</w:t>
        </w:r>
        <w:r w:rsidR="000D06D2">
          <w:rPr>
            <w:noProof/>
            <w:webHidden/>
          </w:rPr>
          <w:fldChar w:fldCharType="end"/>
        </w:r>
      </w:hyperlink>
    </w:p>
    <w:p w14:paraId="7090089C" w14:textId="77777777" w:rsidR="000D06D2" w:rsidRDefault="00414BA3">
      <w:pPr>
        <w:pStyle w:val="TDC1"/>
        <w:rPr>
          <w:rFonts w:asciiTheme="minorHAnsi" w:eastAsiaTheme="minorEastAsia" w:hAnsiTheme="minorHAnsi" w:cstheme="minorBidi"/>
          <w:smallCaps w:val="0"/>
          <w:noProof/>
          <w:szCs w:val="22"/>
          <w:lang w:val="es-ES" w:eastAsia="es-ES"/>
        </w:rPr>
      </w:pPr>
      <w:hyperlink w:anchor="_Toc149803648" w:history="1">
        <w:r w:rsidR="000D06D2" w:rsidRPr="00B81725">
          <w:rPr>
            <w:rStyle w:val="Hipervnculo"/>
            <w:noProof/>
          </w:rPr>
          <w:t>Apéndice 1. Marco regulador</w:t>
        </w:r>
        <w:r w:rsidR="000D06D2">
          <w:rPr>
            <w:noProof/>
            <w:webHidden/>
          </w:rPr>
          <w:tab/>
        </w:r>
        <w:r w:rsidR="000D06D2">
          <w:rPr>
            <w:noProof/>
            <w:webHidden/>
          </w:rPr>
          <w:fldChar w:fldCharType="begin"/>
        </w:r>
        <w:r w:rsidR="000D06D2">
          <w:rPr>
            <w:noProof/>
            <w:webHidden/>
          </w:rPr>
          <w:instrText xml:space="preserve"> PAGEREF _Toc149803648 \h </w:instrText>
        </w:r>
        <w:r w:rsidR="000D06D2">
          <w:rPr>
            <w:noProof/>
            <w:webHidden/>
          </w:rPr>
        </w:r>
        <w:r w:rsidR="000D06D2">
          <w:rPr>
            <w:noProof/>
            <w:webHidden/>
          </w:rPr>
          <w:fldChar w:fldCharType="separate"/>
        </w:r>
        <w:r w:rsidR="00D32AC1">
          <w:rPr>
            <w:noProof/>
            <w:webHidden/>
          </w:rPr>
          <w:t>12</w:t>
        </w:r>
        <w:r w:rsidR="000D06D2">
          <w:rPr>
            <w:noProof/>
            <w:webHidden/>
          </w:rPr>
          <w:fldChar w:fldCharType="end"/>
        </w:r>
      </w:hyperlink>
    </w:p>
    <w:p w14:paraId="60A72E80" w14:textId="77777777" w:rsidR="000D06D2" w:rsidRDefault="00414BA3">
      <w:pPr>
        <w:pStyle w:val="TDC1"/>
        <w:rPr>
          <w:rFonts w:asciiTheme="minorHAnsi" w:eastAsiaTheme="minorEastAsia" w:hAnsiTheme="minorHAnsi" w:cstheme="minorBidi"/>
          <w:smallCaps w:val="0"/>
          <w:noProof/>
          <w:szCs w:val="22"/>
          <w:lang w:val="es-ES" w:eastAsia="es-ES"/>
        </w:rPr>
      </w:pPr>
      <w:hyperlink w:anchor="_Toc149803649" w:history="1">
        <w:r w:rsidR="000D06D2" w:rsidRPr="00B81725">
          <w:rPr>
            <w:rStyle w:val="Hipervnculo"/>
            <w:noProof/>
          </w:rPr>
          <w:t>Apéndice 2. Observaciones y hallazgos adicionales de la fiscalización.</w:t>
        </w:r>
        <w:r w:rsidR="000D06D2">
          <w:rPr>
            <w:noProof/>
            <w:webHidden/>
          </w:rPr>
          <w:tab/>
        </w:r>
        <w:r w:rsidR="000D06D2">
          <w:rPr>
            <w:noProof/>
            <w:webHidden/>
          </w:rPr>
          <w:fldChar w:fldCharType="begin"/>
        </w:r>
        <w:r w:rsidR="000D06D2">
          <w:rPr>
            <w:noProof/>
            <w:webHidden/>
          </w:rPr>
          <w:instrText xml:space="preserve"> PAGEREF _Toc149803649 \h </w:instrText>
        </w:r>
        <w:r w:rsidR="000D06D2">
          <w:rPr>
            <w:noProof/>
            <w:webHidden/>
          </w:rPr>
        </w:r>
        <w:r w:rsidR="000D06D2">
          <w:rPr>
            <w:noProof/>
            <w:webHidden/>
          </w:rPr>
          <w:fldChar w:fldCharType="separate"/>
        </w:r>
        <w:r w:rsidR="00D32AC1">
          <w:rPr>
            <w:noProof/>
            <w:webHidden/>
          </w:rPr>
          <w:t>14</w:t>
        </w:r>
        <w:r w:rsidR="000D06D2">
          <w:rPr>
            <w:noProof/>
            <w:webHidden/>
          </w:rPr>
          <w:fldChar w:fldCharType="end"/>
        </w:r>
      </w:hyperlink>
    </w:p>
    <w:p w14:paraId="08AFCF94" w14:textId="77777777" w:rsidR="000D06D2" w:rsidRDefault="00414BA3">
      <w:pPr>
        <w:pStyle w:val="TDC2"/>
        <w:rPr>
          <w:rFonts w:asciiTheme="minorHAnsi" w:eastAsiaTheme="minorEastAsia" w:hAnsiTheme="minorHAnsi" w:cstheme="minorBidi"/>
          <w:noProof/>
          <w:szCs w:val="22"/>
          <w:lang w:val="es-ES" w:eastAsia="es-ES"/>
        </w:rPr>
      </w:pPr>
      <w:hyperlink w:anchor="_Toc149803650" w:history="1">
        <w:r w:rsidR="000D06D2" w:rsidRPr="00B81725">
          <w:rPr>
            <w:rStyle w:val="Hipervnculo"/>
            <w:noProof/>
          </w:rPr>
          <w:t>2.1 Sociedad de Desarrollo de Navarra S.L.</w:t>
        </w:r>
        <w:r w:rsidR="000D06D2">
          <w:rPr>
            <w:noProof/>
            <w:webHidden/>
          </w:rPr>
          <w:tab/>
        </w:r>
        <w:r w:rsidR="000D06D2">
          <w:rPr>
            <w:noProof/>
            <w:webHidden/>
          </w:rPr>
          <w:fldChar w:fldCharType="begin"/>
        </w:r>
        <w:r w:rsidR="000D06D2">
          <w:rPr>
            <w:noProof/>
            <w:webHidden/>
          </w:rPr>
          <w:instrText xml:space="preserve"> PAGEREF _Toc149803650 \h </w:instrText>
        </w:r>
        <w:r w:rsidR="000D06D2">
          <w:rPr>
            <w:noProof/>
            <w:webHidden/>
          </w:rPr>
        </w:r>
        <w:r w:rsidR="000D06D2">
          <w:rPr>
            <w:noProof/>
            <w:webHidden/>
          </w:rPr>
          <w:fldChar w:fldCharType="separate"/>
        </w:r>
        <w:r w:rsidR="00D32AC1">
          <w:rPr>
            <w:noProof/>
            <w:webHidden/>
          </w:rPr>
          <w:t>14</w:t>
        </w:r>
        <w:r w:rsidR="000D06D2">
          <w:rPr>
            <w:noProof/>
            <w:webHidden/>
          </w:rPr>
          <w:fldChar w:fldCharType="end"/>
        </w:r>
      </w:hyperlink>
    </w:p>
    <w:p w14:paraId="5BBB0388" w14:textId="77777777" w:rsidR="000D06D2" w:rsidRDefault="00414BA3">
      <w:pPr>
        <w:pStyle w:val="TDC2"/>
        <w:rPr>
          <w:rFonts w:asciiTheme="minorHAnsi" w:eastAsiaTheme="minorEastAsia" w:hAnsiTheme="minorHAnsi" w:cstheme="minorBidi"/>
          <w:noProof/>
          <w:szCs w:val="22"/>
          <w:lang w:val="es-ES" w:eastAsia="es-ES"/>
        </w:rPr>
      </w:pPr>
      <w:hyperlink w:anchor="_Toc149803651" w:history="1">
        <w:r w:rsidR="000D06D2" w:rsidRPr="00B81725">
          <w:rPr>
            <w:rStyle w:val="Hipervnculo"/>
            <w:noProof/>
          </w:rPr>
          <w:t>2.2 Parque de la Naturaleza S.A.</w:t>
        </w:r>
        <w:r w:rsidR="000D06D2">
          <w:rPr>
            <w:noProof/>
            <w:webHidden/>
          </w:rPr>
          <w:tab/>
        </w:r>
        <w:r w:rsidR="000D06D2">
          <w:rPr>
            <w:noProof/>
            <w:webHidden/>
          </w:rPr>
          <w:fldChar w:fldCharType="begin"/>
        </w:r>
        <w:r w:rsidR="000D06D2">
          <w:rPr>
            <w:noProof/>
            <w:webHidden/>
          </w:rPr>
          <w:instrText xml:space="preserve"> PAGEREF _Toc149803651 \h </w:instrText>
        </w:r>
        <w:r w:rsidR="000D06D2">
          <w:rPr>
            <w:noProof/>
            <w:webHidden/>
          </w:rPr>
        </w:r>
        <w:r w:rsidR="000D06D2">
          <w:rPr>
            <w:noProof/>
            <w:webHidden/>
          </w:rPr>
          <w:fldChar w:fldCharType="separate"/>
        </w:r>
        <w:r w:rsidR="00D32AC1">
          <w:rPr>
            <w:noProof/>
            <w:webHidden/>
          </w:rPr>
          <w:t>15</w:t>
        </w:r>
        <w:r w:rsidR="000D06D2">
          <w:rPr>
            <w:noProof/>
            <w:webHidden/>
          </w:rPr>
          <w:fldChar w:fldCharType="end"/>
        </w:r>
      </w:hyperlink>
    </w:p>
    <w:p w14:paraId="30835D09" w14:textId="77777777" w:rsidR="000D06D2" w:rsidRDefault="00414BA3">
      <w:pPr>
        <w:pStyle w:val="TDC2"/>
        <w:rPr>
          <w:rFonts w:asciiTheme="minorHAnsi" w:eastAsiaTheme="minorEastAsia" w:hAnsiTheme="minorHAnsi" w:cstheme="minorBidi"/>
          <w:noProof/>
          <w:szCs w:val="22"/>
          <w:lang w:val="es-ES" w:eastAsia="es-ES"/>
        </w:rPr>
      </w:pPr>
      <w:hyperlink w:anchor="_Toc149803652" w:history="1">
        <w:r w:rsidR="000D06D2" w:rsidRPr="00B81725">
          <w:rPr>
            <w:rStyle w:val="Hipervnculo"/>
            <w:noProof/>
          </w:rPr>
          <w:t>2.3 Apoyo financiero de Sodena a Parquenasa</w:t>
        </w:r>
        <w:r w:rsidR="000D06D2">
          <w:rPr>
            <w:noProof/>
            <w:webHidden/>
          </w:rPr>
          <w:tab/>
        </w:r>
        <w:r w:rsidR="000D06D2">
          <w:rPr>
            <w:noProof/>
            <w:webHidden/>
          </w:rPr>
          <w:fldChar w:fldCharType="begin"/>
        </w:r>
        <w:r w:rsidR="000D06D2">
          <w:rPr>
            <w:noProof/>
            <w:webHidden/>
          </w:rPr>
          <w:instrText xml:space="preserve"> PAGEREF _Toc149803652 \h </w:instrText>
        </w:r>
        <w:r w:rsidR="000D06D2">
          <w:rPr>
            <w:noProof/>
            <w:webHidden/>
          </w:rPr>
        </w:r>
        <w:r w:rsidR="000D06D2">
          <w:rPr>
            <w:noProof/>
            <w:webHidden/>
          </w:rPr>
          <w:fldChar w:fldCharType="separate"/>
        </w:r>
        <w:r w:rsidR="00D32AC1">
          <w:rPr>
            <w:noProof/>
            <w:webHidden/>
          </w:rPr>
          <w:t>21</w:t>
        </w:r>
        <w:r w:rsidR="000D06D2">
          <w:rPr>
            <w:noProof/>
            <w:webHidden/>
          </w:rPr>
          <w:fldChar w:fldCharType="end"/>
        </w:r>
      </w:hyperlink>
    </w:p>
    <w:p w14:paraId="3A94F9F0" w14:textId="77777777" w:rsidR="000D06D2" w:rsidRDefault="00414BA3">
      <w:pPr>
        <w:pStyle w:val="TDC2"/>
        <w:rPr>
          <w:rFonts w:asciiTheme="minorHAnsi" w:eastAsiaTheme="minorEastAsia" w:hAnsiTheme="minorHAnsi" w:cstheme="minorBidi"/>
          <w:noProof/>
          <w:szCs w:val="22"/>
          <w:lang w:val="es-ES" w:eastAsia="es-ES"/>
        </w:rPr>
      </w:pPr>
      <w:hyperlink w:anchor="_Toc149803653" w:history="1">
        <w:r w:rsidR="000D06D2" w:rsidRPr="00B81725">
          <w:rPr>
            <w:rStyle w:val="Hipervnculo"/>
            <w:noProof/>
          </w:rPr>
          <w:t>2.4 Cuantía y situación contable de Parquenasa en las cuentas anuales de Sodena</w:t>
        </w:r>
        <w:r w:rsidR="000D06D2">
          <w:rPr>
            <w:noProof/>
            <w:webHidden/>
          </w:rPr>
          <w:tab/>
        </w:r>
        <w:r w:rsidR="000D06D2">
          <w:rPr>
            <w:noProof/>
            <w:webHidden/>
          </w:rPr>
          <w:fldChar w:fldCharType="begin"/>
        </w:r>
        <w:r w:rsidR="000D06D2">
          <w:rPr>
            <w:noProof/>
            <w:webHidden/>
          </w:rPr>
          <w:instrText xml:space="preserve"> PAGEREF _Toc149803653 \h </w:instrText>
        </w:r>
        <w:r w:rsidR="000D06D2">
          <w:rPr>
            <w:noProof/>
            <w:webHidden/>
          </w:rPr>
        </w:r>
        <w:r w:rsidR="000D06D2">
          <w:rPr>
            <w:noProof/>
            <w:webHidden/>
          </w:rPr>
          <w:fldChar w:fldCharType="separate"/>
        </w:r>
        <w:r w:rsidR="00D32AC1">
          <w:rPr>
            <w:noProof/>
            <w:webHidden/>
          </w:rPr>
          <w:t>27</w:t>
        </w:r>
        <w:r w:rsidR="000D06D2">
          <w:rPr>
            <w:noProof/>
            <w:webHidden/>
          </w:rPr>
          <w:fldChar w:fldCharType="end"/>
        </w:r>
      </w:hyperlink>
    </w:p>
    <w:p w14:paraId="00453399" w14:textId="77777777" w:rsidR="000D06D2" w:rsidRDefault="00414BA3">
      <w:pPr>
        <w:pStyle w:val="TDC2"/>
        <w:rPr>
          <w:rFonts w:asciiTheme="minorHAnsi" w:eastAsiaTheme="minorEastAsia" w:hAnsiTheme="minorHAnsi" w:cstheme="minorBidi"/>
          <w:noProof/>
          <w:szCs w:val="22"/>
          <w:lang w:val="es-ES" w:eastAsia="es-ES"/>
        </w:rPr>
      </w:pPr>
      <w:hyperlink w:anchor="_Toc149803654" w:history="1">
        <w:r w:rsidR="000D06D2" w:rsidRPr="00B81725">
          <w:rPr>
            <w:rStyle w:val="Hipervnculo"/>
            <w:noProof/>
          </w:rPr>
          <w:t>2.5 Situación de los socios ante las aportaciones financieras de Sodena</w:t>
        </w:r>
        <w:r w:rsidR="000D06D2">
          <w:rPr>
            <w:noProof/>
            <w:webHidden/>
          </w:rPr>
          <w:tab/>
        </w:r>
        <w:r w:rsidR="000D06D2">
          <w:rPr>
            <w:noProof/>
            <w:webHidden/>
          </w:rPr>
          <w:fldChar w:fldCharType="begin"/>
        </w:r>
        <w:r w:rsidR="000D06D2">
          <w:rPr>
            <w:noProof/>
            <w:webHidden/>
          </w:rPr>
          <w:instrText xml:space="preserve"> PAGEREF _Toc149803654 \h </w:instrText>
        </w:r>
        <w:r w:rsidR="000D06D2">
          <w:rPr>
            <w:noProof/>
            <w:webHidden/>
          </w:rPr>
        </w:r>
        <w:r w:rsidR="000D06D2">
          <w:rPr>
            <w:noProof/>
            <w:webHidden/>
          </w:rPr>
          <w:fldChar w:fldCharType="separate"/>
        </w:r>
        <w:r w:rsidR="00D32AC1">
          <w:rPr>
            <w:noProof/>
            <w:webHidden/>
          </w:rPr>
          <w:t>31</w:t>
        </w:r>
        <w:r w:rsidR="000D06D2">
          <w:rPr>
            <w:noProof/>
            <w:webHidden/>
          </w:rPr>
          <w:fldChar w:fldCharType="end"/>
        </w:r>
      </w:hyperlink>
    </w:p>
    <w:p w14:paraId="79D92C07" w14:textId="77777777" w:rsidR="000D06D2" w:rsidRDefault="00414BA3">
      <w:pPr>
        <w:pStyle w:val="TDC2"/>
        <w:rPr>
          <w:rFonts w:asciiTheme="minorHAnsi" w:eastAsiaTheme="minorEastAsia" w:hAnsiTheme="minorHAnsi" w:cstheme="minorBidi"/>
          <w:noProof/>
          <w:szCs w:val="22"/>
          <w:lang w:val="es-ES" w:eastAsia="es-ES"/>
        </w:rPr>
      </w:pPr>
      <w:hyperlink w:anchor="_Toc149803655" w:history="1">
        <w:r w:rsidR="000D06D2" w:rsidRPr="00B81725">
          <w:rPr>
            <w:rStyle w:val="Hipervnculo"/>
            <w:noProof/>
          </w:rPr>
          <w:t>2.6 Capitalización de los créditos y posibles repercusiones de una hipotética conversión de Parquenasa en sociedad pública.</w:t>
        </w:r>
        <w:r w:rsidR="000D06D2">
          <w:rPr>
            <w:noProof/>
            <w:webHidden/>
          </w:rPr>
          <w:tab/>
        </w:r>
        <w:r w:rsidR="000D06D2">
          <w:rPr>
            <w:noProof/>
            <w:webHidden/>
          </w:rPr>
          <w:fldChar w:fldCharType="begin"/>
        </w:r>
        <w:r w:rsidR="000D06D2">
          <w:rPr>
            <w:noProof/>
            <w:webHidden/>
          </w:rPr>
          <w:instrText xml:space="preserve"> PAGEREF _Toc149803655 \h </w:instrText>
        </w:r>
        <w:r w:rsidR="000D06D2">
          <w:rPr>
            <w:noProof/>
            <w:webHidden/>
          </w:rPr>
        </w:r>
        <w:r w:rsidR="000D06D2">
          <w:rPr>
            <w:noProof/>
            <w:webHidden/>
          </w:rPr>
          <w:fldChar w:fldCharType="separate"/>
        </w:r>
        <w:r w:rsidR="00D32AC1">
          <w:rPr>
            <w:noProof/>
            <w:webHidden/>
          </w:rPr>
          <w:t>32</w:t>
        </w:r>
        <w:r w:rsidR="000D06D2">
          <w:rPr>
            <w:noProof/>
            <w:webHidden/>
          </w:rPr>
          <w:fldChar w:fldCharType="end"/>
        </w:r>
      </w:hyperlink>
    </w:p>
    <w:p w14:paraId="1B7AF245" w14:textId="77777777" w:rsidR="000D06D2" w:rsidRDefault="00414BA3">
      <w:pPr>
        <w:pStyle w:val="TDC1"/>
        <w:rPr>
          <w:rFonts w:asciiTheme="minorHAnsi" w:eastAsiaTheme="minorEastAsia" w:hAnsiTheme="minorHAnsi" w:cstheme="minorBidi"/>
          <w:smallCaps w:val="0"/>
          <w:noProof/>
          <w:szCs w:val="22"/>
          <w:lang w:val="es-ES" w:eastAsia="es-ES"/>
        </w:rPr>
      </w:pPr>
      <w:hyperlink w:anchor="_Toc149803656" w:history="1">
        <w:r w:rsidR="000D06D2" w:rsidRPr="00B81725">
          <w:rPr>
            <w:rStyle w:val="Hipervnculo"/>
            <w:noProof/>
          </w:rPr>
          <w:t>Alegaciones formuladas al Informe Provisional</w:t>
        </w:r>
        <w:r w:rsidR="000D06D2">
          <w:rPr>
            <w:noProof/>
            <w:webHidden/>
          </w:rPr>
          <w:tab/>
        </w:r>
        <w:r w:rsidR="000D06D2">
          <w:rPr>
            <w:noProof/>
            <w:webHidden/>
          </w:rPr>
          <w:fldChar w:fldCharType="begin"/>
        </w:r>
        <w:r w:rsidR="000D06D2">
          <w:rPr>
            <w:noProof/>
            <w:webHidden/>
          </w:rPr>
          <w:instrText xml:space="preserve"> PAGEREF _Toc149803656 \h </w:instrText>
        </w:r>
        <w:r w:rsidR="000D06D2">
          <w:rPr>
            <w:noProof/>
            <w:webHidden/>
          </w:rPr>
        </w:r>
        <w:r w:rsidR="000D06D2">
          <w:rPr>
            <w:noProof/>
            <w:webHidden/>
          </w:rPr>
          <w:fldChar w:fldCharType="separate"/>
        </w:r>
        <w:r w:rsidR="00D32AC1">
          <w:rPr>
            <w:noProof/>
            <w:webHidden/>
          </w:rPr>
          <w:t>36</w:t>
        </w:r>
        <w:r w:rsidR="000D06D2">
          <w:rPr>
            <w:noProof/>
            <w:webHidden/>
          </w:rPr>
          <w:fldChar w:fldCharType="end"/>
        </w:r>
      </w:hyperlink>
    </w:p>
    <w:p w14:paraId="56AD0E51" w14:textId="77777777" w:rsidR="000D06D2" w:rsidRDefault="00414BA3">
      <w:pPr>
        <w:pStyle w:val="TDC1"/>
        <w:rPr>
          <w:rFonts w:asciiTheme="minorHAnsi" w:eastAsiaTheme="minorEastAsia" w:hAnsiTheme="minorHAnsi" w:cstheme="minorBidi"/>
          <w:smallCaps w:val="0"/>
          <w:noProof/>
          <w:szCs w:val="22"/>
          <w:lang w:val="es-ES" w:eastAsia="es-ES"/>
        </w:rPr>
      </w:pPr>
      <w:hyperlink w:anchor="_Toc149803657" w:history="1">
        <w:r w:rsidR="000D06D2" w:rsidRPr="00B81725">
          <w:rPr>
            <w:rStyle w:val="Hipervnculo"/>
            <w:noProof/>
          </w:rPr>
          <w:t>Contestación de la Cámara de Comptos a las alegaciones presentadas al Informe Provisional</w:t>
        </w:r>
      </w:hyperlink>
    </w:p>
    <w:p w14:paraId="480B1DAE" w14:textId="77777777" w:rsidR="00891D73" w:rsidRDefault="0014728F" w:rsidP="003C6E1D">
      <w:pPr>
        <w:pStyle w:val="texto"/>
      </w:pPr>
      <w:r>
        <w:fldChar w:fldCharType="end"/>
      </w:r>
    </w:p>
    <w:p w14:paraId="6D7E7765" w14:textId="77777777" w:rsidR="00891D73" w:rsidRDefault="00891D73" w:rsidP="00891D73">
      <w:pPr>
        <w:pStyle w:val="texto"/>
      </w:pPr>
    </w:p>
    <w:p w14:paraId="27B76012" w14:textId="77777777" w:rsidR="00891D73" w:rsidRPr="00E703B6" w:rsidRDefault="00891D73" w:rsidP="00E703B6"/>
    <w:p w14:paraId="40ED481D"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69F45580" w14:textId="77777777" w:rsidR="00F87E58" w:rsidRPr="00F87E58" w:rsidRDefault="001728D0" w:rsidP="00F87E58">
      <w:pPr>
        <w:pStyle w:val="atitulo1"/>
      </w:pPr>
      <w:r w:rsidRPr="00F87E58">
        <w:lastRenderedPageBreak/>
        <w:t xml:space="preserve"> </w:t>
      </w:r>
      <w:bookmarkStart w:id="0" w:name="_Toc146017565"/>
      <w:bookmarkStart w:id="1" w:name="_Toc149803643"/>
      <w:r w:rsidR="00F87E58" w:rsidRPr="00F87E58">
        <w:t>I. Introducción</w:t>
      </w:r>
      <w:bookmarkEnd w:id="0"/>
      <w:bookmarkEnd w:id="1"/>
    </w:p>
    <w:p w14:paraId="5D810EF4" w14:textId="77777777" w:rsidR="00F87E58" w:rsidRPr="0012731A" w:rsidRDefault="00F87E58" w:rsidP="00F87E58">
      <w:pPr>
        <w:pStyle w:val="texto"/>
      </w:pPr>
      <w:r w:rsidRPr="0012731A">
        <w:t xml:space="preserve">A petición del grupo parlamentario EH-Bildu, la Junta de Portavoces del Parlamento de Navarra acordó el 21 de noviembre de 2022 solicitar a la Cámara de Comptos la realización de un informe de fiscalización sobre las aportaciones financieras realizadas desde la empresa pública Sociedad de Desarrollo de Navarra S.L. (en adelante Sodena) a la mercantil Parque de la </w:t>
      </w:r>
      <w:r w:rsidRPr="00C372CC">
        <w:t xml:space="preserve">Naturaleza </w:t>
      </w:r>
      <w:r w:rsidR="006F6FD3" w:rsidRPr="00C372CC">
        <w:t xml:space="preserve">de Navarra </w:t>
      </w:r>
      <w:r w:rsidRPr="00C372CC">
        <w:t xml:space="preserve">S.A. </w:t>
      </w:r>
      <w:r w:rsidRPr="0012731A">
        <w:t>(en adelante Parquenasa), concretando la petición sobre las siguientes cuestiones:</w:t>
      </w:r>
    </w:p>
    <w:p w14:paraId="3B277F5B" w14:textId="77777777" w:rsidR="00F87E58" w:rsidRPr="00E414DD"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i/>
          <w:szCs w:val="26"/>
        </w:rPr>
      </w:pPr>
      <w:r w:rsidRPr="00AA38CF">
        <w:rPr>
          <w:i/>
          <w:szCs w:val="26"/>
        </w:rPr>
        <w:t>Todas las aportaciones realizadas desde el sector público al proyecto de Parque de la Naturaleza que lleva adelante Parquenasa</w:t>
      </w:r>
      <w:r w:rsidRPr="00E414DD">
        <w:rPr>
          <w:i/>
          <w:szCs w:val="26"/>
        </w:rPr>
        <w:t>.</w:t>
      </w:r>
    </w:p>
    <w:p w14:paraId="754DA24B" w14:textId="77777777" w:rsidR="00F87E58" w:rsidRPr="00AA38C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i/>
          <w:szCs w:val="26"/>
        </w:rPr>
      </w:pPr>
      <w:r w:rsidRPr="00E414DD">
        <w:rPr>
          <w:i/>
          <w:szCs w:val="26"/>
        </w:rPr>
        <w:t xml:space="preserve">Su </w:t>
      </w:r>
      <w:r w:rsidRPr="00AA38CF">
        <w:rPr>
          <w:i/>
          <w:szCs w:val="26"/>
        </w:rPr>
        <w:t>cuantía y situación contable en Sodena.</w:t>
      </w:r>
    </w:p>
    <w:p w14:paraId="3E580817" w14:textId="77777777" w:rsidR="00F87E58" w:rsidRPr="00AA38C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i/>
          <w:szCs w:val="26"/>
        </w:rPr>
      </w:pPr>
      <w:r w:rsidRPr="00AA38CF">
        <w:rPr>
          <w:i/>
          <w:szCs w:val="26"/>
        </w:rPr>
        <w:t>La posibilidad de intentar reclamar al resto de socios las aportaciones que le hubiera correspondido realizar según el capital social del que son titulares.</w:t>
      </w:r>
    </w:p>
    <w:p w14:paraId="523B231C" w14:textId="77777777" w:rsidR="00F87E58" w:rsidRPr="00E414DD"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i/>
          <w:szCs w:val="26"/>
        </w:rPr>
      </w:pPr>
      <w:r w:rsidRPr="00AA38CF">
        <w:rPr>
          <w:i/>
          <w:szCs w:val="26"/>
        </w:rPr>
        <w:t>La capitalización de los créditos otorgados por Sodena y las repercusiones</w:t>
      </w:r>
      <w:r w:rsidRPr="00E414DD">
        <w:rPr>
          <w:i/>
          <w:szCs w:val="26"/>
        </w:rPr>
        <w:t xml:space="preserve"> que ello tendría al convertir Parquenasa </w:t>
      </w:r>
      <w:r w:rsidR="00110694">
        <w:rPr>
          <w:i/>
          <w:szCs w:val="26"/>
        </w:rPr>
        <w:t>en</w:t>
      </w:r>
      <w:r w:rsidRPr="00E414DD">
        <w:rPr>
          <w:i/>
          <w:szCs w:val="26"/>
        </w:rPr>
        <w:t xml:space="preserve"> sociedad pública.</w:t>
      </w:r>
    </w:p>
    <w:p w14:paraId="41BED153" w14:textId="77777777" w:rsidR="00F87E58" w:rsidRPr="00AA38CF" w:rsidRDefault="00F87E58" w:rsidP="00F87E58">
      <w:pPr>
        <w:pStyle w:val="texto"/>
      </w:pPr>
      <w:r w:rsidRPr="00D11B5E">
        <w:t xml:space="preserve">La Cámara de Comptos, de </w:t>
      </w:r>
      <w:r w:rsidRPr="00AA38CF">
        <w:t xml:space="preserve">conformidad con </w:t>
      </w:r>
      <w:r>
        <w:t xml:space="preserve">la </w:t>
      </w:r>
      <w:r w:rsidRPr="00AA38CF">
        <w:t xml:space="preserve">Ley Foral 19/1984, de 20 de diciembre, ha realizado la fiscalización solicitada. </w:t>
      </w:r>
    </w:p>
    <w:p w14:paraId="5071230F" w14:textId="77777777" w:rsidR="00F87E58" w:rsidRDefault="00F87E58" w:rsidP="00F87E58">
      <w:pPr>
        <w:pStyle w:val="texto"/>
      </w:pPr>
      <w:r w:rsidRPr="00AA38CF">
        <w:t xml:space="preserve">El trabajo de campo lo realizó entre marzo y </w:t>
      </w:r>
      <w:r>
        <w:t xml:space="preserve">junio </w:t>
      </w:r>
      <w:r w:rsidRPr="00AA38CF">
        <w:t>de 2023 un equipo formado por una técnica de auditoría y un auditor, con la colaboración de los servicios jurídicos y administrativos de la Cámara.</w:t>
      </w:r>
    </w:p>
    <w:p w14:paraId="1F5AE259" w14:textId="77777777" w:rsidR="00234D3C" w:rsidRPr="0085077D" w:rsidRDefault="00234D3C" w:rsidP="00234D3C">
      <w:pPr>
        <w:pStyle w:val="texto"/>
      </w:pPr>
      <w:r w:rsidRPr="0085077D">
        <w:t>De conformidad con lo previsto en el artíc</w:t>
      </w:r>
      <w:r>
        <w:t>ulo 11 de la Ley Foral 19/1984, de 20 de diciembre, de la Cámara de Comptos de Navarra</w:t>
      </w:r>
      <w:r w:rsidRPr="0085077D">
        <w:t xml:space="preserve">, los resultados de este trabajo se pusieron de </w:t>
      </w:r>
      <w:r w:rsidRPr="009303E1">
        <w:t>manifiesto al consejero del Departamento de Economía y Hacienda, a Sodena y a la C</w:t>
      </w:r>
      <w:r w:rsidR="00B60BA4" w:rsidRPr="009303E1">
        <w:t>orporación Pública Empresarial de Navarra (en adelante C</w:t>
      </w:r>
      <w:r w:rsidRPr="009303E1">
        <w:t>PEN</w:t>
      </w:r>
      <w:r w:rsidR="00B60BA4" w:rsidRPr="009303E1">
        <w:t>)</w:t>
      </w:r>
      <w:r w:rsidRPr="009303E1">
        <w:t xml:space="preserve">, con </w:t>
      </w:r>
      <w:r w:rsidRPr="0085077D">
        <w:t>el fin de que formularan alegaciones.</w:t>
      </w:r>
    </w:p>
    <w:p w14:paraId="7CAA3962" w14:textId="77777777" w:rsidR="003A17DF" w:rsidRPr="003A17DF" w:rsidRDefault="003A17DF" w:rsidP="00234D3C">
      <w:pPr>
        <w:pStyle w:val="texto"/>
      </w:pPr>
      <w:r w:rsidRPr="003A17DF">
        <w:t xml:space="preserve">Transcurrido el plazo fijado, </w:t>
      </w:r>
      <w:r w:rsidR="00234D3C" w:rsidRPr="003A17DF">
        <w:t>ha</w:t>
      </w:r>
      <w:r w:rsidR="00D53A20" w:rsidRPr="003A17DF">
        <w:t>n</w:t>
      </w:r>
      <w:r w:rsidR="00234D3C" w:rsidRPr="003A17DF">
        <w:t xml:space="preserve"> presentado alegaciones </w:t>
      </w:r>
      <w:r w:rsidR="00156B78" w:rsidRPr="003A17DF">
        <w:t>Sodena y CPEN</w:t>
      </w:r>
      <w:r w:rsidRPr="003A17DF">
        <w:t>, las cuales se incorporan a este informe junto con la respuesta de esta Cámara.</w:t>
      </w:r>
    </w:p>
    <w:p w14:paraId="296868A0" w14:textId="77777777" w:rsidR="00F87E58" w:rsidRPr="00AA38CF" w:rsidRDefault="00F87E58" w:rsidP="00F87E58">
      <w:pPr>
        <w:pStyle w:val="texto"/>
      </w:pPr>
      <w:r w:rsidRPr="00AA38CF">
        <w:t xml:space="preserve">Agradecemos al personal del Servicio de Patrimonio del Gobierno de Navarra, </w:t>
      </w:r>
      <w:r>
        <w:t xml:space="preserve">de </w:t>
      </w:r>
      <w:r w:rsidRPr="00AA38CF">
        <w:t xml:space="preserve">la </w:t>
      </w:r>
      <w:r w:rsidR="00B60BA4">
        <w:t>CPEN</w:t>
      </w:r>
      <w:r w:rsidRPr="00AA38CF">
        <w:t xml:space="preserve"> y </w:t>
      </w:r>
      <w:r>
        <w:t xml:space="preserve">de </w:t>
      </w:r>
      <w:r w:rsidRPr="00AA38CF">
        <w:t>Sodena, la colaboración prestada en la realización del presente trabajo.</w:t>
      </w:r>
    </w:p>
    <w:p w14:paraId="25829E10" w14:textId="77777777" w:rsidR="00F87E58" w:rsidRDefault="00F87E58" w:rsidP="00F87E58">
      <w:pPr>
        <w:rPr>
          <w:sz w:val="26"/>
          <w:szCs w:val="26"/>
        </w:rPr>
      </w:pPr>
      <w:r>
        <w:rPr>
          <w:sz w:val="26"/>
          <w:szCs w:val="26"/>
        </w:rPr>
        <w:br w:type="page"/>
      </w:r>
    </w:p>
    <w:p w14:paraId="1EF6A0C9" w14:textId="77777777" w:rsidR="00F87E58" w:rsidRPr="00F87E58" w:rsidRDefault="00F87E58" w:rsidP="00F87E58">
      <w:pPr>
        <w:pStyle w:val="atitulo1"/>
      </w:pPr>
      <w:bookmarkStart w:id="2" w:name="_Toc133322326"/>
      <w:bookmarkStart w:id="3" w:name="_Toc146017566"/>
      <w:bookmarkStart w:id="4" w:name="_Toc149803644"/>
      <w:r w:rsidRPr="00F87E58">
        <w:lastRenderedPageBreak/>
        <w:t>II. Objetivos y alcance</w:t>
      </w:r>
      <w:bookmarkEnd w:id="2"/>
      <w:bookmarkEnd w:id="3"/>
      <w:bookmarkEnd w:id="4"/>
    </w:p>
    <w:p w14:paraId="7682F1BE" w14:textId="77777777" w:rsidR="00F87E58" w:rsidRDefault="00F87E58" w:rsidP="00F87E58">
      <w:pPr>
        <w:pStyle w:val="texto"/>
        <w:rPr>
          <w:szCs w:val="26"/>
        </w:rPr>
      </w:pPr>
      <w:r w:rsidRPr="00D666A2">
        <w:rPr>
          <w:szCs w:val="26"/>
        </w:rPr>
        <w:t xml:space="preserve">Teniendo en </w:t>
      </w:r>
      <w:r w:rsidRPr="00AA38CF">
        <w:t>cuenta</w:t>
      </w:r>
      <w:r w:rsidRPr="00D666A2">
        <w:rPr>
          <w:szCs w:val="26"/>
        </w:rPr>
        <w:t xml:space="preserve"> la peti</w:t>
      </w:r>
      <w:r>
        <w:rPr>
          <w:szCs w:val="26"/>
        </w:rPr>
        <w:t>ción parlamentaria recibida, el</w:t>
      </w:r>
      <w:r w:rsidRPr="00D666A2">
        <w:rPr>
          <w:szCs w:val="26"/>
        </w:rPr>
        <w:t xml:space="preserve"> objetivo de este trabajo </w:t>
      </w:r>
      <w:r>
        <w:rPr>
          <w:szCs w:val="26"/>
        </w:rPr>
        <w:t xml:space="preserve">es emitir una conclusión sobre </w:t>
      </w:r>
      <w:r w:rsidRPr="00AA38CF">
        <w:t>sobre</w:t>
      </w:r>
      <w:r>
        <w:rPr>
          <w:szCs w:val="26"/>
        </w:rPr>
        <w:t xml:space="preserve"> las cuestiones solicitadas, que son las siguientes:</w:t>
      </w:r>
    </w:p>
    <w:p w14:paraId="1881051B" w14:textId="77777777" w:rsidR="00F87E58" w:rsidRPr="00584F7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Cuantificar t</w:t>
      </w:r>
      <w:r w:rsidRPr="00584F7F">
        <w:rPr>
          <w:szCs w:val="26"/>
        </w:rPr>
        <w:t xml:space="preserve">odas </w:t>
      </w:r>
      <w:r w:rsidRPr="00AA38CF">
        <w:rPr>
          <w:szCs w:val="26"/>
        </w:rPr>
        <w:t>las</w:t>
      </w:r>
      <w:r w:rsidRPr="00584F7F">
        <w:rPr>
          <w:szCs w:val="26"/>
        </w:rPr>
        <w:t xml:space="preserve"> aportaciones realizadas desde el sector público al proyecto de Parque de la Naturaleza </w:t>
      </w:r>
      <w:r>
        <w:rPr>
          <w:szCs w:val="26"/>
        </w:rPr>
        <w:t xml:space="preserve">“Senda Viva” </w:t>
      </w:r>
      <w:r w:rsidRPr="00584F7F">
        <w:rPr>
          <w:szCs w:val="26"/>
        </w:rPr>
        <w:t xml:space="preserve">que lleva adelante </w:t>
      </w:r>
      <w:r>
        <w:rPr>
          <w:szCs w:val="26"/>
        </w:rPr>
        <w:t>P</w:t>
      </w:r>
      <w:r w:rsidRPr="00584F7F">
        <w:rPr>
          <w:szCs w:val="26"/>
        </w:rPr>
        <w:t>arquenasa.</w:t>
      </w:r>
    </w:p>
    <w:p w14:paraId="28AD92AF" w14:textId="77777777" w:rsidR="00F87E58" w:rsidRPr="00584F7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Verificar s</w:t>
      </w:r>
      <w:r w:rsidRPr="00584F7F">
        <w:rPr>
          <w:szCs w:val="26"/>
        </w:rPr>
        <w:t xml:space="preserve">u </w:t>
      </w:r>
      <w:r w:rsidRPr="00AA38CF">
        <w:rPr>
          <w:szCs w:val="26"/>
        </w:rPr>
        <w:t>cuantía</w:t>
      </w:r>
      <w:r w:rsidRPr="00584F7F">
        <w:rPr>
          <w:szCs w:val="26"/>
        </w:rPr>
        <w:t xml:space="preserve"> y situación contable en</w:t>
      </w:r>
      <w:r>
        <w:rPr>
          <w:szCs w:val="26"/>
        </w:rPr>
        <w:t xml:space="preserve"> S</w:t>
      </w:r>
      <w:r w:rsidRPr="00584F7F">
        <w:rPr>
          <w:szCs w:val="26"/>
        </w:rPr>
        <w:t>odena.</w:t>
      </w:r>
    </w:p>
    <w:p w14:paraId="25E10E0E" w14:textId="77777777" w:rsidR="00F87E58" w:rsidRPr="00584F7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Analizar l</w:t>
      </w:r>
      <w:r w:rsidRPr="00584F7F">
        <w:rPr>
          <w:szCs w:val="26"/>
        </w:rPr>
        <w:t xml:space="preserve">a posibilidad de intentar reclamar al resto de socios las </w:t>
      </w:r>
      <w:r w:rsidRPr="00AA38CF">
        <w:rPr>
          <w:szCs w:val="26"/>
        </w:rPr>
        <w:t>aportaciones</w:t>
      </w:r>
      <w:r w:rsidRPr="00584F7F">
        <w:rPr>
          <w:szCs w:val="26"/>
        </w:rPr>
        <w:t xml:space="preserve"> que le hubiera correspondido realizar según el capital social del que son titulares.</w:t>
      </w:r>
    </w:p>
    <w:p w14:paraId="45E4F7B1" w14:textId="77777777" w:rsidR="00F87E58" w:rsidRPr="00584F7F"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Analizar l</w:t>
      </w:r>
      <w:r w:rsidRPr="00584F7F">
        <w:rPr>
          <w:szCs w:val="26"/>
        </w:rPr>
        <w:t xml:space="preserve">a </w:t>
      </w:r>
      <w:r w:rsidRPr="00AA38CF">
        <w:rPr>
          <w:szCs w:val="26"/>
        </w:rPr>
        <w:t>capitalización</w:t>
      </w:r>
      <w:r w:rsidRPr="00584F7F">
        <w:rPr>
          <w:szCs w:val="26"/>
        </w:rPr>
        <w:t xml:space="preserve"> de los créditos otorgados por Sodena y las</w:t>
      </w:r>
      <w:r>
        <w:rPr>
          <w:szCs w:val="26"/>
        </w:rPr>
        <w:t xml:space="preserve"> </w:t>
      </w:r>
      <w:r w:rsidRPr="00584F7F">
        <w:rPr>
          <w:szCs w:val="26"/>
        </w:rPr>
        <w:t xml:space="preserve">repercusiones que ello tendría </w:t>
      </w:r>
      <w:r>
        <w:rPr>
          <w:szCs w:val="26"/>
        </w:rPr>
        <w:t xml:space="preserve">al convertir </w:t>
      </w:r>
      <w:r w:rsidRPr="00584F7F">
        <w:rPr>
          <w:szCs w:val="26"/>
        </w:rPr>
        <w:t xml:space="preserve">Parquenasa </w:t>
      </w:r>
      <w:r>
        <w:rPr>
          <w:szCs w:val="26"/>
        </w:rPr>
        <w:t xml:space="preserve">en </w:t>
      </w:r>
      <w:r w:rsidRPr="00584F7F">
        <w:rPr>
          <w:szCs w:val="26"/>
        </w:rPr>
        <w:t>sociedad pública.</w:t>
      </w:r>
    </w:p>
    <w:p w14:paraId="7BFF1B83" w14:textId="77777777" w:rsidR="00F87E58" w:rsidRDefault="00F87E58" w:rsidP="00F87E58">
      <w:pPr>
        <w:pStyle w:val="texto"/>
        <w:rPr>
          <w:szCs w:val="26"/>
        </w:rPr>
      </w:pPr>
      <w:r>
        <w:rPr>
          <w:szCs w:val="26"/>
        </w:rPr>
        <w:t xml:space="preserve">El </w:t>
      </w:r>
      <w:r w:rsidRPr="00AA38CF">
        <w:t>alcance</w:t>
      </w:r>
      <w:r>
        <w:rPr>
          <w:szCs w:val="26"/>
        </w:rPr>
        <w:t xml:space="preserve"> objetivo de la fiscalización ha tenido en cuenta</w:t>
      </w:r>
      <w:r w:rsidR="00B40CE4">
        <w:rPr>
          <w:szCs w:val="26"/>
        </w:rPr>
        <w:t xml:space="preserve">, </w:t>
      </w:r>
      <w:r w:rsidR="00B40CE4" w:rsidRPr="00C372CC">
        <w:rPr>
          <w:szCs w:val="26"/>
        </w:rPr>
        <w:t xml:space="preserve">entre otra, </w:t>
      </w:r>
      <w:r w:rsidRPr="00C372CC">
        <w:rPr>
          <w:szCs w:val="26"/>
        </w:rPr>
        <w:t xml:space="preserve">la </w:t>
      </w:r>
      <w:r>
        <w:rPr>
          <w:szCs w:val="26"/>
        </w:rPr>
        <w:t>siguiente documentación:</w:t>
      </w:r>
    </w:p>
    <w:p w14:paraId="04CF651B" w14:textId="77777777" w:rsidR="00F87E58" w:rsidRPr="002952F1" w:rsidRDefault="00F87E58" w:rsidP="00F87E58">
      <w:pPr>
        <w:pStyle w:val="texto"/>
        <w:numPr>
          <w:ilvl w:val="0"/>
          <w:numId w:val="31"/>
        </w:numPr>
        <w:tabs>
          <w:tab w:val="clear" w:pos="2835"/>
          <w:tab w:val="clear" w:pos="3969"/>
          <w:tab w:val="clear" w:pos="5103"/>
          <w:tab w:val="clear" w:pos="6237"/>
          <w:tab w:val="clear" w:pos="7371"/>
          <w:tab w:val="left" w:pos="142"/>
          <w:tab w:val="left" w:pos="567"/>
        </w:tabs>
        <w:spacing w:after="100"/>
        <w:ind w:left="0" w:firstLine="284"/>
        <w:rPr>
          <w:szCs w:val="26"/>
        </w:rPr>
      </w:pPr>
      <w:r w:rsidRPr="002952F1">
        <w:rPr>
          <w:szCs w:val="26"/>
        </w:rPr>
        <w:t>Sodena:</w:t>
      </w:r>
    </w:p>
    <w:p w14:paraId="236681AB" w14:textId="77777777" w:rsidR="00F87E58" w:rsidRPr="003B2650"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sidRPr="003B2650">
        <w:rPr>
          <w:szCs w:val="26"/>
        </w:rPr>
        <w:t xml:space="preserve">Cuentas </w:t>
      </w:r>
      <w:r w:rsidRPr="00AA38CF">
        <w:rPr>
          <w:szCs w:val="26"/>
        </w:rPr>
        <w:t>anuales</w:t>
      </w:r>
      <w:r w:rsidRPr="003B2650">
        <w:rPr>
          <w:szCs w:val="26"/>
        </w:rPr>
        <w:t xml:space="preserve"> auditadas.</w:t>
      </w:r>
    </w:p>
    <w:p w14:paraId="2E895430" w14:textId="77777777" w:rsidR="00F87E58" w:rsidRPr="00D11B5E" w:rsidRDefault="00F87E58" w:rsidP="00F87E58">
      <w:pPr>
        <w:pStyle w:val="texto"/>
        <w:numPr>
          <w:ilvl w:val="0"/>
          <w:numId w:val="32"/>
        </w:numPr>
        <w:tabs>
          <w:tab w:val="clear" w:pos="2835"/>
          <w:tab w:val="clear" w:pos="3969"/>
          <w:tab w:val="clear" w:pos="5103"/>
          <w:tab w:val="clear" w:pos="6237"/>
          <w:tab w:val="clear" w:pos="7371"/>
          <w:tab w:val="left" w:pos="284"/>
          <w:tab w:val="left" w:pos="426"/>
          <w:tab w:val="left" w:pos="567"/>
        </w:tabs>
        <w:spacing w:after="100"/>
        <w:ind w:left="0" w:firstLine="284"/>
        <w:rPr>
          <w:rFonts w:cs="Arial"/>
        </w:rPr>
      </w:pPr>
      <w:r w:rsidRPr="0008203C">
        <w:rPr>
          <w:szCs w:val="26"/>
        </w:rPr>
        <w:t>Actas del</w:t>
      </w:r>
      <w:r w:rsidRPr="00D11B5E">
        <w:rPr>
          <w:szCs w:val="26"/>
        </w:rPr>
        <w:t xml:space="preserve"> Consejo de Administración de Sodena y de la Junta General de Parquenasa.</w:t>
      </w:r>
    </w:p>
    <w:p w14:paraId="656F91D2"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rFonts w:cs="Arial"/>
        </w:rPr>
      </w:pPr>
      <w:r>
        <w:rPr>
          <w:szCs w:val="26"/>
        </w:rPr>
        <w:t xml:space="preserve">Acuerdos </w:t>
      </w:r>
      <w:r w:rsidRPr="0008203C">
        <w:rPr>
          <w:szCs w:val="26"/>
        </w:rPr>
        <w:t>firmados</w:t>
      </w:r>
      <w:r w:rsidRPr="00D11B5E">
        <w:rPr>
          <w:rFonts w:cs="Arial"/>
        </w:rPr>
        <w:t xml:space="preserve"> entre los socios de la sociedad Parque</w:t>
      </w:r>
      <w:r>
        <w:rPr>
          <w:rFonts w:cs="Arial"/>
        </w:rPr>
        <w:t>na</w:t>
      </w:r>
      <w:r w:rsidR="00110694">
        <w:rPr>
          <w:rFonts w:cs="Arial"/>
        </w:rPr>
        <w:t>sa</w:t>
      </w:r>
      <w:r>
        <w:rPr>
          <w:rFonts w:cs="Arial"/>
        </w:rPr>
        <w:t xml:space="preserve">, así como los contratos de financiación firmados entre Sodena y Parquenasa. </w:t>
      </w:r>
    </w:p>
    <w:p w14:paraId="043A2412" w14:textId="77777777" w:rsidR="00B40CE4" w:rsidRPr="00C372CC" w:rsidRDefault="00B40CE4" w:rsidP="00B40CE4">
      <w:pPr>
        <w:pStyle w:val="texto"/>
        <w:rPr>
          <w:szCs w:val="26"/>
        </w:rPr>
      </w:pPr>
      <w:r w:rsidRPr="00C372CC">
        <w:rPr>
          <w:szCs w:val="26"/>
        </w:rPr>
        <w:t>Sodena ha aportado toda la documentación que le ha sido requerida en el marco de la fiscalización</w:t>
      </w:r>
      <w:r w:rsidR="00B946F5" w:rsidRPr="00C372CC">
        <w:rPr>
          <w:szCs w:val="26"/>
        </w:rPr>
        <w:t>.</w:t>
      </w:r>
    </w:p>
    <w:p w14:paraId="458686E7" w14:textId="77777777" w:rsidR="00F87E58" w:rsidRPr="002952F1" w:rsidRDefault="00F87E58" w:rsidP="00F87E58">
      <w:pPr>
        <w:pStyle w:val="texto"/>
        <w:numPr>
          <w:ilvl w:val="0"/>
          <w:numId w:val="31"/>
        </w:numPr>
        <w:tabs>
          <w:tab w:val="clear" w:pos="2835"/>
          <w:tab w:val="clear" w:pos="3969"/>
          <w:tab w:val="clear" w:pos="5103"/>
          <w:tab w:val="clear" w:pos="6237"/>
          <w:tab w:val="clear" w:pos="7371"/>
          <w:tab w:val="left" w:pos="142"/>
          <w:tab w:val="left" w:pos="567"/>
        </w:tabs>
        <w:spacing w:after="100"/>
        <w:ind w:left="0" w:firstLine="284"/>
        <w:rPr>
          <w:szCs w:val="26"/>
        </w:rPr>
      </w:pPr>
      <w:r w:rsidRPr="002952F1">
        <w:rPr>
          <w:szCs w:val="26"/>
        </w:rPr>
        <w:t xml:space="preserve">Servicio </w:t>
      </w:r>
      <w:r>
        <w:rPr>
          <w:szCs w:val="26"/>
        </w:rPr>
        <w:t xml:space="preserve">de </w:t>
      </w:r>
      <w:r w:rsidRPr="002952F1">
        <w:rPr>
          <w:szCs w:val="26"/>
        </w:rPr>
        <w:t xml:space="preserve">Patrimonio </w:t>
      </w:r>
      <w:r>
        <w:rPr>
          <w:szCs w:val="26"/>
        </w:rPr>
        <w:t xml:space="preserve">del </w:t>
      </w:r>
      <w:r w:rsidRPr="002952F1">
        <w:rPr>
          <w:szCs w:val="26"/>
        </w:rPr>
        <w:t>Gobierno de Navarra</w:t>
      </w:r>
    </w:p>
    <w:p w14:paraId="54F226E1" w14:textId="77777777" w:rsidR="00F87E58" w:rsidRPr="003B2650"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sidRPr="003B2650">
        <w:rPr>
          <w:szCs w:val="26"/>
        </w:rPr>
        <w:t xml:space="preserve">Expedientes </w:t>
      </w:r>
      <w:r>
        <w:rPr>
          <w:szCs w:val="26"/>
        </w:rPr>
        <w:t xml:space="preserve">de </w:t>
      </w:r>
      <w:r w:rsidRPr="003B2650">
        <w:rPr>
          <w:szCs w:val="26"/>
        </w:rPr>
        <w:t>l</w:t>
      </w:r>
      <w:r>
        <w:rPr>
          <w:szCs w:val="26"/>
        </w:rPr>
        <w:t>os Acuerdos de Gobierno relativos a las concesiones anuales de préstamos de Sodena a Parquenasa.</w:t>
      </w:r>
    </w:p>
    <w:p w14:paraId="68CA7335" w14:textId="77777777" w:rsidR="00F87E58" w:rsidRDefault="00F87E58" w:rsidP="00F87E58">
      <w:pPr>
        <w:pStyle w:val="texto"/>
        <w:numPr>
          <w:ilvl w:val="0"/>
          <w:numId w:val="31"/>
        </w:numPr>
        <w:tabs>
          <w:tab w:val="clear" w:pos="2835"/>
          <w:tab w:val="clear" w:pos="3969"/>
          <w:tab w:val="clear" w:pos="5103"/>
          <w:tab w:val="clear" w:pos="6237"/>
          <w:tab w:val="clear" w:pos="7371"/>
          <w:tab w:val="left" w:pos="142"/>
          <w:tab w:val="left" w:pos="567"/>
        </w:tabs>
        <w:spacing w:after="100"/>
        <w:ind w:left="0" w:firstLine="284"/>
        <w:rPr>
          <w:szCs w:val="26"/>
        </w:rPr>
      </w:pPr>
      <w:r w:rsidRPr="002952F1">
        <w:rPr>
          <w:szCs w:val="26"/>
        </w:rPr>
        <w:t>CPEN</w:t>
      </w:r>
    </w:p>
    <w:p w14:paraId="39B2A08E"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Pr>
          <w:szCs w:val="26"/>
        </w:rPr>
        <w:t xml:space="preserve">Escrituras y </w:t>
      </w:r>
      <w:r w:rsidRPr="003B2650">
        <w:rPr>
          <w:szCs w:val="26"/>
        </w:rPr>
        <w:t>documentación relativas a la venta de la pa</w:t>
      </w:r>
      <w:r>
        <w:rPr>
          <w:szCs w:val="26"/>
        </w:rPr>
        <w:t>rticipación en  Parquenasa a la sociedad pública Navarra impulsa Cultura, Deporte y Ocio S.L. (en adelante N</w:t>
      </w:r>
      <w:r w:rsidR="009303E1">
        <w:rPr>
          <w:szCs w:val="26"/>
        </w:rPr>
        <w:t>icdo</w:t>
      </w:r>
      <w:r>
        <w:rPr>
          <w:szCs w:val="26"/>
        </w:rPr>
        <w:t>)</w:t>
      </w:r>
      <w:r w:rsidR="009303E1">
        <w:rPr>
          <w:szCs w:val="26"/>
        </w:rPr>
        <w:t>.</w:t>
      </w:r>
    </w:p>
    <w:p w14:paraId="14C63B6F" w14:textId="77777777" w:rsidR="00F87E58" w:rsidRDefault="00F87E58" w:rsidP="00F87E58">
      <w:pPr>
        <w:pStyle w:val="texto"/>
        <w:numPr>
          <w:ilvl w:val="0"/>
          <w:numId w:val="31"/>
        </w:numPr>
        <w:tabs>
          <w:tab w:val="clear" w:pos="2835"/>
          <w:tab w:val="clear" w:pos="3969"/>
          <w:tab w:val="clear" w:pos="5103"/>
          <w:tab w:val="clear" w:pos="6237"/>
          <w:tab w:val="clear" w:pos="7371"/>
          <w:tab w:val="left" w:pos="142"/>
          <w:tab w:val="left" w:pos="567"/>
        </w:tabs>
        <w:spacing w:after="100"/>
        <w:ind w:left="0" w:firstLine="284"/>
        <w:rPr>
          <w:szCs w:val="26"/>
        </w:rPr>
      </w:pPr>
      <w:r>
        <w:rPr>
          <w:szCs w:val="26"/>
        </w:rPr>
        <w:t>Parquenasa</w:t>
      </w:r>
    </w:p>
    <w:p w14:paraId="13E2CE9E"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Pr>
          <w:szCs w:val="26"/>
        </w:rPr>
        <w:t>Estatutos de la sociedad</w:t>
      </w:r>
    </w:p>
    <w:p w14:paraId="7F1D4D33" w14:textId="77777777" w:rsidR="00F87E58" w:rsidRPr="003B2650"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Pr>
          <w:szCs w:val="26"/>
        </w:rPr>
        <w:t>Cuentas anuales auditadas del ejercicio 2022</w:t>
      </w:r>
    </w:p>
    <w:p w14:paraId="22279A83" w14:textId="77777777" w:rsidR="00F87E58" w:rsidRDefault="00F87E58" w:rsidP="00F87E58">
      <w:pPr>
        <w:pStyle w:val="texto"/>
        <w:rPr>
          <w:szCs w:val="26"/>
        </w:rPr>
      </w:pPr>
      <w:r>
        <w:rPr>
          <w:szCs w:val="26"/>
        </w:rPr>
        <w:t>El alcance temporal</w:t>
      </w:r>
      <w:r w:rsidR="00110694">
        <w:rPr>
          <w:szCs w:val="26"/>
        </w:rPr>
        <w:t xml:space="preserve"> abarca desde</w:t>
      </w:r>
      <w:r>
        <w:rPr>
          <w:szCs w:val="26"/>
        </w:rPr>
        <w:t xml:space="preserve"> 2001 hasta el 30 de junio de 2023. Si bien la petición parlamentaria </w:t>
      </w:r>
      <w:r w:rsidR="00110694">
        <w:rPr>
          <w:szCs w:val="26"/>
        </w:rPr>
        <w:t>lo limitaba</w:t>
      </w:r>
      <w:r>
        <w:rPr>
          <w:szCs w:val="26"/>
        </w:rPr>
        <w:t xml:space="preserve"> hasta el momento anterior a la </w:t>
      </w:r>
      <w:r>
        <w:rPr>
          <w:szCs w:val="26"/>
        </w:rPr>
        <w:lastRenderedPageBreak/>
        <w:t>venta de acciones de Sodena a la sociedad pública Nicdo, se ha considerado que, al crearse un nuevo escenario societario, tras dicha adquisición y constituir la misma un hecho significativo, procede ampliar el alcance del trabajo hasta la fecha de finalización del trabajo de campo que se sitúa el 30 de junio de 2023.</w:t>
      </w:r>
    </w:p>
    <w:p w14:paraId="645F462A" w14:textId="77777777" w:rsidR="00F87E58" w:rsidRDefault="00F87E58" w:rsidP="00F87E58">
      <w:pPr>
        <w:pStyle w:val="texto"/>
        <w:rPr>
          <w:szCs w:val="26"/>
        </w:rPr>
      </w:pPr>
      <w:r>
        <w:rPr>
          <w:szCs w:val="26"/>
        </w:rPr>
        <w:t xml:space="preserve">Si bien nuestro informe incluye determinados datos de actividad del parque, no forma parte del </w:t>
      </w:r>
      <w:r w:rsidRPr="00AA38CF">
        <w:t>alcance</w:t>
      </w:r>
      <w:r>
        <w:rPr>
          <w:szCs w:val="26"/>
        </w:rPr>
        <w:t xml:space="preserve"> de este trabajo analizar y concluir sobre la gestión económica de la sociedad, ni sobre los informes de impacto socioeconómico que se presentan anualmente. </w:t>
      </w:r>
    </w:p>
    <w:p w14:paraId="3613AA67" w14:textId="77777777" w:rsidR="00F87E58" w:rsidRDefault="00F87E58" w:rsidP="00F87E58">
      <w:pPr>
        <w:rPr>
          <w:rFonts w:ascii="Arial" w:hAnsi="Arial"/>
          <w:b/>
          <w:color w:val="000000"/>
          <w:kern w:val="28"/>
          <w:sz w:val="25"/>
          <w:szCs w:val="26"/>
        </w:rPr>
      </w:pPr>
      <w:r>
        <w:br w:type="page"/>
      </w:r>
    </w:p>
    <w:p w14:paraId="2B7CEF89" w14:textId="77777777" w:rsidR="00F87E58" w:rsidRDefault="00F87E58" w:rsidP="00F87E58">
      <w:pPr>
        <w:pStyle w:val="atitulo1"/>
      </w:pPr>
      <w:bookmarkStart w:id="5" w:name="_Toc133322327"/>
      <w:bookmarkStart w:id="6" w:name="_Toc146017567"/>
      <w:bookmarkStart w:id="7" w:name="_Toc149803645"/>
      <w:r w:rsidRPr="0010215A">
        <w:lastRenderedPageBreak/>
        <w:t xml:space="preserve">III. </w:t>
      </w:r>
      <w:bookmarkEnd w:id="5"/>
      <w:r w:rsidRPr="0010215A">
        <w:t>Conclusiones y recomendaciones</w:t>
      </w:r>
      <w:bookmarkEnd w:id="6"/>
      <w:bookmarkEnd w:id="7"/>
    </w:p>
    <w:p w14:paraId="72FE247F" w14:textId="77777777" w:rsidR="00F87E58" w:rsidRPr="002B08BC" w:rsidRDefault="00F87E58" w:rsidP="00F87E58">
      <w:pPr>
        <w:pStyle w:val="texto"/>
        <w:rPr>
          <w:szCs w:val="26"/>
        </w:rPr>
      </w:pPr>
      <w:r w:rsidRPr="002B08BC">
        <w:rPr>
          <w:szCs w:val="26"/>
        </w:rPr>
        <w:t xml:space="preserve">En respuesta a las cuestiones solicitadas por el Parlamento de Navarra, </w:t>
      </w:r>
      <w:r>
        <w:rPr>
          <w:szCs w:val="26"/>
        </w:rPr>
        <w:t>detallamos a continuación las correspondientes conclusiones. Determinados datos económicos se refieren a 31 de diciembre de 2022, correspondientes a las últimas cuentas anuales auditadas de Sodena y otros, hasta el 30 de junio de 2023.</w:t>
      </w:r>
      <w:r w:rsidRPr="002B08BC">
        <w:rPr>
          <w:szCs w:val="26"/>
        </w:rPr>
        <w:t xml:space="preserve"> </w:t>
      </w:r>
    </w:p>
    <w:p w14:paraId="1ACB1227" w14:textId="77777777" w:rsidR="00F87E58" w:rsidRPr="00584F7F" w:rsidRDefault="00F87E58" w:rsidP="00F87E58">
      <w:pPr>
        <w:pStyle w:val="atitulo3"/>
      </w:pPr>
      <w:r>
        <w:t>A.- Cuantificar t</w:t>
      </w:r>
      <w:r w:rsidRPr="00584F7F">
        <w:t xml:space="preserve">odas </w:t>
      </w:r>
      <w:r w:rsidRPr="00AA38CF">
        <w:t>las</w:t>
      </w:r>
      <w:r w:rsidRPr="00584F7F">
        <w:t xml:space="preserve"> aportaciones realizadas desde el sector público al proyecto de Parque de la Naturaleza que lleva adelante </w:t>
      </w:r>
      <w:r>
        <w:t>P</w:t>
      </w:r>
      <w:r w:rsidRPr="00584F7F">
        <w:t>arquenasa.</w:t>
      </w:r>
    </w:p>
    <w:p w14:paraId="7B8418F0" w14:textId="77777777" w:rsidR="00F87E58" w:rsidRPr="001A5E73"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rsidRPr="001A5E73">
        <w:rPr>
          <w:rFonts w:cs="Arial"/>
        </w:rPr>
        <w:t>Desde el momento de la constitu</w:t>
      </w:r>
      <w:r>
        <w:rPr>
          <w:rFonts w:cs="Arial"/>
        </w:rPr>
        <w:t>ción de Parquenasa hasta la venta de las acciones por Sodena a Nicdo, las únicas aportaciones que constan son las realizadas por Sodena, que ha aportado 83,41</w:t>
      </w:r>
      <w:r w:rsidRPr="001A5E73">
        <w:rPr>
          <w:rFonts w:cs="Arial"/>
        </w:rPr>
        <w:t xml:space="preserve"> millones</w:t>
      </w:r>
      <w:r w:rsidR="00C372CC">
        <w:rPr>
          <w:rFonts w:cs="Arial"/>
        </w:rPr>
        <w:t xml:space="preserve">, </w:t>
      </w:r>
      <w:r w:rsidRPr="001A5E73">
        <w:rPr>
          <w:rFonts w:cs="Arial"/>
        </w:rPr>
        <w:t>de los que:</w:t>
      </w:r>
    </w:p>
    <w:p w14:paraId="15BDA6ED" w14:textId="77777777" w:rsidR="00F87E58" w:rsidRPr="00045BCE" w:rsidRDefault="00F87E58" w:rsidP="00F87E58">
      <w:pPr>
        <w:pStyle w:val="Prrafodelista"/>
        <w:numPr>
          <w:ilvl w:val="0"/>
          <w:numId w:val="35"/>
        </w:numPr>
        <w:tabs>
          <w:tab w:val="left" w:pos="567"/>
        </w:tabs>
        <w:spacing w:after="140"/>
        <w:ind w:left="0" w:firstLine="284"/>
        <w:contextualSpacing w:val="0"/>
        <w:jc w:val="both"/>
        <w:rPr>
          <w:rFonts w:cs="Arial"/>
          <w:color w:val="000000"/>
          <w:spacing w:val="6"/>
          <w:sz w:val="26"/>
          <w:lang w:val="es-ES_tradnl" w:eastAsia="en-US"/>
        </w:rPr>
      </w:pPr>
      <w:r w:rsidRPr="00045BCE">
        <w:rPr>
          <w:rFonts w:cs="Arial"/>
          <w:color w:val="000000"/>
          <w:spacing w:val="6"/>
          <w:sz w:val="26"/>
          <w:lang w:val="es-ES_tradnl" w:eastAsia="en-US"/>
        </w:rPr>
        <w:t xml:space="preserve">4,05 millones fueron aportados en concepto de </w:t>
      </w:r>
      <w:r>
        <w:rPr>
          <w:rFonts w:cs="Arial"/>
          <w:color w:val="000000"/>
          <w:spacing w:val="6"/>
          <w:sz w:val="26"/>
          <w:lang w:val="es-ES_tradnl" w:eastAsia="en-US"/>
        </w:rPr>
        <w:t xml:space="preserve">participación en un 45 por ciento del </w:t>
      </w:r>
      <w:r w:rsidRPr="00045BCE">
        <w:rPr>
          <w:rFonts w:cs="Arial"/>
          <w:color w:val="000000"/>
          <w:spacing w:val="6"/>
          <w:sz w:val="26"/>
          <w:lang w:val="es-ES_tradnl" w:eastAsia="en-US"/>
        </w:rPr>
        <w:t>capital social, estando totalmente deteriorados</w:t>
      </w:r>
      <w:r>
        <w:rPr>
          <w:rFonts w:cs="Arial"/>
          <w:color w:val="000000"/>
          <w:spacing w:val="6"/>
          <w:sz w:val="26"/>
          <w:lang w:val="es-ES_tradnl" w:eastAsia="en-US"/>
        </w:rPr>
        <w:t xml:space="preserve">. </w:t>
      </w:r>
    </w:p>
    <w:p w14:paraId="27B98FC4" w14:textId="77777777" w:rsidR="00F87E58" w:rsidRDefault="00F87E58" w:rsidP="00F87E58">
      <w:pPr>
        <w:pStyle w:val="Prrafodelista"/>
        <w:numPr>
          <w:ilvl w:val="0"/>
          <w:numId w:val="35"/>
        </w:numPr>
        <w:tabs>
          <w:tab w:val="left" w:pos="567"/>
        </w:tabs>
        <w:spacing w:after="140"/>
        <w:ind w:left="0" w:firstLine="284"/>
        <w:contextualSpacing w:val="0"/>
        <w:jc w:val="both"/>
        <w:rPr>
          <w:rFonts w:cs="Arial"/>
          <w:color w:val="000000"/>
          <w:spacing w:val="6"/>
          <w:sz w:val="26"/>
          <w:lang w:val="es-ES_tradnl" w:eastAsia="en-US"/>
        </w:rPr>
      </w:pPr>
      <w:r>
        <w:rPr>
          <w:rFonts w:cs="Arial"/>
          <w:color w:val="000000"/>
          <w:spacing w:val="6"/>
          <w:sz w:val="26"/>
          <w:lang w:val="es-ES_tradnl" w:eastAsia="en-US"/>
        </w:rPr>
        <w:t xml:space="preserve">79,36 </w:t>
      </w:r>
      <w:r w:rsidRPr="00045BCE">
        <w:rPr>
          <w:rFonts w:cs="Arial"/>
          <w:color w:val="000000"/>
          <w:spacing w:val="6"/>
          <w:sz w:val="26"/>
          <w:lang w:val="es-ES_tradnl" w:eastAsia="en-US"/>
        </w:rPr>
        <w:t xml:space="preserve">millones han sido aportados en concepto de préstamos, </w:t>
      </w:r>
      <w:r>
        <w:rPr>
          <w:rFonts w:cs="Arial"/>
          <w:color w:val="000000"/>
          <w:spacing w:val="6"/>
          <w:sz w:val="26"/>
          <w:lang w:val="es-ES_tradnl" w:eastAsia="en-US"/>
        </w:rPr>
        <w:t xml:space="preserve">teniendo </w:t>
      </w:r>
      <w:r w:rsidRPr="00045BCE">
        <w:rPr>
          <w:rFonts w:cs="Arial"/>
          <w:color w:val="000000"/>
          <w:spacing w:val="6"/>
          <w:sz w:val="26"/>
          <w:lang w:val="es-ES_tradnl" w:eastAsia="en-US"/>
        </w:rPr>
        <w:t>56,80 millones la consideración de préstamos parti</w:t>
      </w:r>
      <w:r>
        <w:rPr>
          <w:rFonts w:cs="Arial"/>
          <w:color w:val="000000"/>
          <w:spacing w:val="6"/>
          <w:sz w:val="26"/>
          <w:lang w:val="es-ES_tradnl" w:eastAsia="en-US"/>
        </w:rPr>
        <w:t>cipativos</w:t>
      </w:r>
      <w:r w:rsidR="002523A8">
        <w:rPr>
          <w:rFonts w:cs="Arial"/>
          <w:color w:val="000000"/>
          <w:spacing w:val="6"/>
          <w:sz w:val="26"/>
          <w:lang w:val="es-ES_tradnl" w:eastAsia="en-US"/>
        </w:rPr>
        <w:t>. El resto</w:t>
      </w:r>
      <w:r w:rsidRPr="00045BCE">
        <w:rPr>
          <w:rFonts w:cs="Arial"/>
          <w:color w:val="000000"/>
          <w:spacing w:val="6"/>
          <w:sz w:val="26"/>
          <w:lang w:val="es-ES_tradnl" w:eastAsia="en-US"/>
        </w:rPr>
        <w:t>, es decir</w:t>
      </w:r>
      <w:r w:rsidR="002523A8">
        <w:rPr>
          <w:rFonts w:cs="Arial"/>
          <w:color w:val="000000"/>
          <w:spacing w:val="6"/>
          <w:sz w:val="26"/>
          <w:lang w:val="es-ES_tradnl" w:eastAsia="en-US"/>
        </w:rPr>
        <w:t>,</w:t>
      </w:r>
      <w:r w:rsidRPr="00045BCE">
        <w:rPr>
          <w:rFonts w:cs="Arial"/>
          <w:color w:val="000000"/>
          <w:spacing w:val="6"/>
          <w:sz w:val="26"/>
          <w:lang w:val="es-ES_tradnl" w:eastAsia="en-US"/>
        </w:rPr>
        <w:t xml:space="preserve"> </w:t>
      </w:r>
      <w:r>
        <w:rPr>
          <w:rFonts w:cs="Arial"/>
          <w:color w:val="000000"/>
          <w:spacing w:val="6"/>
          <w:sz w:val="26"/>
          <w:lang w:val="es-ES_tradnl" w:eastAsia="en-US"/>
        </w:rPr>
        <w:t xml:space="preserve">22,57 millones, </w:t>
      </w:r>
      <w:r w:rsidR="00D86AAC">
        <w:rPr>
          <w:rFonts w:cs="Arial"/>
          <w:color w:val="000000"/>
          <w:spacing w:val="6"/>
          <w:sz w:val="26"/>
          <w:lang w:val="es-ES_tradnl" w:eastAsia="en-US"/>
        </w:rPr>
        <w:t>son</w:t>
      </w:r>
      <w:r>
        <w:rPr>
          <w:rFonts w:cs="Arial"/>
          <w:color w:val="000000"/>
          <w:spacing w:val="6"/>
          <w:sz w:val="26"/>
          <w:lang w:val="es-ES_tradnl" w:eastAsia="en-US"/>
        </w:rPr>
        <w:t xml:space="preserve"> préstamos ordinarios.</w:t>
      </w:r>
    </w:p>
    <w:p w14:paraId="14CD187D" w14:textId="77777777" w:rsidR="00F87E58"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rPr>
          <w:rFonts w:cs="Arial"/>
        </w:rPr>
        <w:t xml:space="preserve">En enero de 2023 </w:t>
      </w:r>
      <w:r w:rsidRPr="00307F81">
        <w:rPr>
          <w:rFonts w:cs="Arial"/>
        </w:rPr>
        <w:t>se formalizó la transmisión de la totalidad de las participaciones de Sodena a la sociedad pública Nicdo</w:t>
      </w:r>
      <w:r>
        <w:rPr>
          <w:rFonts w:cs="Arial"/>
        </w:rPr>
        <w:t>. Se modifica e</w:t>
      </w:r>
      <w:r w:rsidRPr="00307F81">
        <w:rPr>
          <w:szCs w:val="26"/>
        </w:rPr>
        <w:t xml:space="preserve">l sistema de financiación </w:t>
      </w:r>
      <w:r>
        <w:rPr>
          <w:szCs w:val="26"/>
        </w:rPr>
        <w:t xml:space="preserve">y </w:t>
      </w:r>
      <w:r w:rsidRPr="00307F81">
        <w:rPr>
          <w:szCs w:val="26"/>
        </w:rPr>
        <w:t>figura</w:t>
      </w:r>
      <w:r>
        <w:rPr>
          <w:szCs w:val="26"/>
        </w:rPr>
        <w:t xml:space="preserve"> </w:t>
      </w:r>
      <w:r w:rsidRPr="00307F81">
        <w:rPr>
          <w:szCs w:val="26"/>
        </w:rPr>
        <w:t>una subvención nominativa</w:t>
      </w:r>
      <w:r w:rsidR="002523A8">
        <w:rPr>
          <w:szCs w:val="26"/>
        </w:rPr>
        <w:t xml:space="preserve"> de</w:t>
      </w:r>
      <w:r w:rsidRPr="00307F81">
        <w:rPr>
          <w:szCs w:val="26"/>
        </w:rPr>
        <w:t xml:space="preserve"> 5,8 millones a Parquenasa en los presupuestos de 2023 del Departamento de Cultura y Deporte.</w:t>
      </w:r>
      <w:r w:rsidR="005E4FA5">
        <w:rPr>
          <w:szCs w:val="26"/>
        </w:rPr>
        <w:t xml:space="preserve"> </w:t>
      </w:r>
    </w:p>
    <w:p w14:paraId="1B31356D" w14:textId="77777777" w:rsidR="00F87E58" w:rsidRPr="00584F7F" w:rsidRDefault="00F87E58" w:rsidP="00F87E58">
      <w:pPr>
        <w:pStyle w:val="atitulo3"/>
      </w:pPr>
      <w:r>
        <w:t>B.- Verificar s</w:t>
      </w:r>
      <w:r w:rsidRPr="00584F7F">
        <w:t xml:space="preserve">u </w:t>
      </w:r>
      <w:r w:rsidRPr="00AA38CF">
        <w:t>cuantía</w:t>
      </w:r>
      <w:r w:rsidRPr="00584F7F">
        <w:t xml:space="preserve"> y situación contable en</w:t>
      </w:r>
      <w:r>
        <w:t xml:space="preserve"> S</w:t>
      </w:r>
      <w:r w:rsidRPr="00584F7F">
        <w:t>odena.</w:t>
      </w:r>
    </w:p>
    <w:p w14:paraId="49DB4B0C" w14:textId="77777777" w:rsidR="00F87E58" w:rsidRPr="009336AD"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spacing w:after="240"/>
        <w:ind w:left="0" w:firstLine="289"/>
        <w:rPr>
          <w:rFonts w:cs="Arial"/>
        </w:rPr>
      </w:pPr>
      <w:r w:rsidRPr="00307E94">
        <w:rPr>
          <w:rFonts w:cs="Arial"/>
        </w:rPr>
        <w:t>La</w:t>
      </w:r>
      <w:r>
        <w:rPr>
          <w:rFonts w:cs="Arial"/>
        </w:rPr>
        <w:t xml:space="preserve"> cuantía y</w:t>
      </w:r>
      <w:r w:rsidRPr="00307E94">
        <w:rPr>
          <w:rFonts w:cs="Arial"/>
        </w:rPr>
        <w:t xml:space="preserve"> situación contable </w:t>
      </w:r>
      <w:r>
        <w:rPr>
          <w:rFonts w:cs="Arial"/>
        </w:rPr>
        <w:t xml:space="preserve">a 31 de diciembre de 2022 </w:t>
      </w:r>
      <w:r w:rsidRPr="00307E94">
        <w:rPr>
          <w:rFonts w:cs="Arial"/>
        </w:rPr>
        <w:t>de los préstamos concedidos</w:t>
      </w:r>
      <w:r>
        <w:rPr>
          <w:rFonts w:cs="Arial"/>
        </w:rPr>
        <w:t>,</w:t>
      </w:r>
      <w:r w:rsidRPr="00307E94">
        <w:rPr>
          <w:rFonts w:cs="Arial"/>
        </w:rPr>
        <w:t xml:space="preserve"> según figura en las cuentas anuales </w:t>
      </w:r>
      <w:r>
        <w:rPr>
          <w:rFonts w:cs="Arial"/>
        </w:rPr>
        <w:t xml:space="preserve">auditadas </w:t>
      </w:r>
      <w:r w:rsidRPr="00307E94">
        <w:rPr>
          <w:rFonts w:cs="Arial"/>
        </w:rPr>
        <w:t>de Sodena</w:t>
      </w:r>
      <w:r>
        <w:rPr>
          <w:rFonts w:cs="Arial"/>
        </w:rPr>
        <w:t>,</w:t>
      </w:r>
      <w:r w:rsidRPr="00307E94">
        <w:rPr>
          <w:rFonts w:cs="Arial"/>
        </w:rPr>
        <w:t xml:space="preserve"> es la siguiente:</w:t>
      </w:r>
      <w:r w:rsidRPr="009336AD">
        <w:rPr>
          <w:rFonts w:cs="Arial"/>
        </w:rPr>
        <w:t xml:space="preserve"> </w:t>
      </w:r>
    </w:p>
    <w:tbl>
      <w:tblPr>
        <w:tblW w:w="8364" w:type="dxa"/>
        <w:jc w:val="center"/>
        <w:tblCellMar>
          <w:left w:w="70" w:type="dxa"/>
          <w:right w:w="70" w:type="dxa"/>
        </w:tblCellMar>
        <w:tblLook w:val="04A0" w:firstRow="1" w:lastRow="0" w:firstColumn="1" w:lastColumn="0" w:noHBand="0" w:noVBand="1"/>
      </w:tblPr>
      <w:tblGrid>
        <w:gridCol w:w="7015"/>
        <w:gridCol w:w="1349"/>
      </w:tblGrid>
      <w:tr w:rsidR="00F87E58" w14:paraId="35DD98C2" w14:textId="77777777" w:rsidTr="00F87E58">
        <w:trPr>
          <w:trHeight w:val="255"/>
          <w:jc w:val="center"/>
        </w:trPr>
        <w:tc>
          <w:tcPr>
            <w:tcW w:w="7015" w:type="dxa"/>
            <w:tcBorders>
              <w:top w:val="single" w:sz="4" w:space="0" w:color="auto"/>
              <w:bottom w:val="single" w:sz="4" w:space="0" w:color="auto"/>
            </w:tcBorders>
            <w:shd w:val="clear" w:color="000000" w:fill="9BC2E6"/>
            <w:noWrap/>
            <w:vAlign w:val="center"/>
            <w:hideMark/>
          </w:tcPr>
          <w:p w14:paraId="7CDAEAE4" w14:textId="77777777" w:rsidR="00F87E58" w:rsidRDefault="00F87E58" w:rsidP="00F87E58">
            <w:pPr>
              <w:pStyle w:val="cuadroCabe"/>
              <w:jc w:val="left"/>
            </w:pPr>
            <w:r>
              <w:t>Créditos</w:t>
            </w:r>
          </w:p>
        </w:tc>
        <w:tc>
          <w:tcPr>
            <w:tcW w:w="1349" w:type="dxa"/>
            <w:tcBorders>
              <w:top w:val="single" w:sz="4" w:space="0" w:color="auto"/>
              <w:bottom w:val="single" w:sz="4" w:space="0" w:color="auto"/>
            </w:tcBorders>
            <w:shd w:val="clear" w:color="000000" w:fill="9BC2E6"/>
            <w:noWrap/>
            <w:vAlign w:val="center"/>
            <w:hideMark/>
          </w:tcPr>
          <w:p w14:paraId="75721D5E" w14:textId="77777777" w:rsidR="00F87E58" w:rsidRDefault="00F87E58" w:rsidP="00F87E58">
            <w:pPr>
              <w:pStyle w:val="cuadroCabe"/>
              <w:jc w:val="right"/>
            </w:pPr>
            <w:r>
              <w:t>2022</w:t>
            </w:r>
          </w:p>
        </w:tc>
      </w:tr>
      <w:tr w:rsidR="00F87E58" w14:paraId="63388067" w14:textId="77777777" w:rsidTr="00F87E58">
        <w:trPr>
          <w:trHeight w:val="198"/>
          <w:jc w:val="center"/>
        </w:trPr>
        <w:tc>
          <w:tcPr>
            <w:tcW w:w="7015" w:type="dxa"/>
            <w:tcBorders>
              <w:top w:val="single" w:sz="4" w:space="0" w:color="auto"/>
              <w:bottom w:val="single" w:sz="2" w:space="0" w:color="auto"/>
            </w:tcBorders>
            <w:shd w:val="clear" w:color="auto" w:fill="auto"/>
            <w:noWrap/>
            <w:vAlign w:val="center"/>
            <w:hideMark/>
          </w:tcPr>
          <w:p w14:paraId="113A1CD3" w14:textId="77777777" w:rsidR="00F87E58" w:rsidRDefault="00F87E58" w:rsidP="00F87E58">
            <w:pPr>
              <w:pStyle w:val="cuatexto"/>
              <w:jc w:val="left"/>
            </w:pPr>
            <w:r>
              <w:t>Importe concedido</w:t>
            </w:r>
          </w:p>
        </w:tc>
        <w:tc>
          <w:tcPr>
            <w:tcW w:w="1349" w:type="dxa"/>
            <w:tcBorders>
              <w:top w:val="single" w:sz="4" w:space="0" w:color="auto"/>
              <w:bottom w:val="single" w:sz="2" w:space="0" w:color="auto"/>
            </w:tcBorders>
            <w:shd w:val="clear" w:color="auto" w:fill="auto"/>
            <w:noWrap/>
            <w:vAlign w:val="center"/>
            <w:hideMark/>
          </w:tcPr>
          <w:p w14:paraId="7D709607" w14:textId="77777777" w:rsidR="00F87E58" w:rsidRDefault="00F87E58" w:rsidP="00F87E58">
            <w:pPr>
              <w:pStyle w:val="cuatexto"/>
              <w:jc w:val="right"/>
            </w:pPr>
            <w:r>
              <w:t>78.104.448</w:t>
            </w:r>
          </w:p>
        </w:tc>
      </w:tr>
      <w:tr w:rsidR="00F87E58" w14:paraId="693D573D" w14:textId="77777777" w:rsidTr="00F87E58">
        <w:trPr>
          <w:trHeight w:val="198"/>
          <w:jc w:val="center"/>
        </w:trPr>
        <w:tc>
          <w:tcPr>
            <w:tcW w:w="7015" w:type="dxa"/>
            <w:tcBorders>
              <w:top w:val="single" w:sz="2" w:space="0" w:color="auto"/>
              <w:bottom w:val="single" w:sz="2" w:space="0" w:color="auto"/>
            </w:tcBorders>
            <w:shd w:val="clear" w:color="auto" w:fill="auto"/>
            <w:noWrap/>
            <w:vAlign w:val="center"/>
            <w:hideMark/>
          </w:tcPr>
          <w:p w14:paraId="09A2E4FC" w14:textId="77777777" w:rsidR="00F87E58" w:rsidRDefault="00F87E58" w:rsidP="00F87E58">
            <w:pPr>
              <w:pStyle w:val="cuatexto"/>
              <w:jc w:val="left"/>
            </w:pPr>
            <w:r>
              <w:t>Intereses</w:t>
            </w:r>
          </w:p>
        </w:tc>
        <w:tc>
          <w:tcPr>
            <w:tcW w:w="1349" w:type="dxa"/>
            <w:tcBorders>
              <w:top w:val="single" w:sz="2" w:space="0" w:color="auto"/>
              <w:bottom w:val="single" w:sz="2" w:space="0" w:color="auto"/>
            </w:tcBorders>
            <w:shd w:val="clear" w:color="auto" w:fill="auto"/>
            <w:noWrap/>
            <w:vAlign w:val="center"/>
            <w:hideMark/>
          </w:tcPr>
          <w:p w14:paraId="49374ACC" w14:textId="77777777" w:rsidR="00F87E58" w:rsidRDefault="00F87E58" w:rsidP="00F87E58">
            <w:pPr>
              <w:pStyle w:val="cuatexto"/>
              <w:jc w:val="right"/>
            </w:pPr>
            <w:r>
              <w:t>187.706</w:t>
            </w:r>
          </w:p>
        </w:tc>
      </w:tr>
      <w:tr w:rsidR="00F87E58" w14:paraId="05857291" w14:textId="77777777" w:rsidTr="00F87E58">
        <w:trPr>
          <w:trHeight w:val="198"/>
          <w:jc w:val="center"/>
        </w:trPr>
        <w:tc>
          <w:tcPr>
            <w:tcW w:w="7015" w:type="dxa"/>
            <w:tcBorders>
              <w:top w:val="single" w:sz="2" w:space="0" w:color="auto"/>
              <w:bottom w:val="single" w:sz="4" w:space="0" w:color="auto"/>
            </w:tcBorders>
            <w:shd w:val="clear" w:color="auto" w:fill="auto"/>
            <w:noWrap/>
            <w:vAlign w:val="center"/>
            <w:hideMark/>
          </w:tcPr>
          <w:p w14:paraId="7148A4E9" w14:textId="77777777" w:rsidR="00F87E58" w:rsidRDefault="00F87E58" w:rsidP="00F87E58">
            <w:pPr>
              <w:pStyle w:val="cuatexto"/>
              <w:jc w:val="left"/>
            </w:pPr>
            <w:r>
              <w:t>Deterioro</w:t>
            </w:r>
          </w:p>
        </w:tc>
        <w:tc>
          <w:tcPr>
            <w:tcW w:w="1349" w:type="dxa"/>
            <w:tcBorders>
              <w:top w:val="single" w:sz="2" w:space="0" w:color="auto"/>
              <w:bottom w:val="single" w:sz="4" w:space="0" w:color="auto"/>
            </w:tcBorders>
            <w:shd w:val="clear" w:color="auto" w:fill="auto"/>
            <w:noWrap/>
            <w:vAlign w:val="center"/>
            <w:hideMark/>
          </w:tcPr>
          <w:p w14:paraId="0AEB721D" w14:textId="77777777" w:rsidR="00F87E58" w:rsidRDefault="00F87E58" w:rsidP="00F87E58">
            <w:pPr>
              <w:pStyle w:val="cuatexto"/>
              <w:jc w:val="right"/>
            </w:pPr>
            <w:r>
              <w:t>-55.780.244</w:t>
            </w:r>
          </w:p>
        </w:tc>
      </w:tr>
      <w:tr w:rsidR="00F87E58" w14:paraId="06BD7869" w14:textId="77777777" w:rsidTr="00F87E58">
        <w:trPr>
          <w:trHeight w:val="255"/>
          <w:jc w:val="center"/>
        </w:trPr>
        <w:tc>
          <w:tcPr>
            <w:tcW w:w="7015" w:type="dxa"/>
            <w:tcBorders>
              <w:top w:val="single" w:sz="4" w:space="0" w:color="auto"/>
              <w:bottom w:val="single" w:sz="4" w:space="0" w:color="auto"/>
            </w:tcBorders>
            <w:shd w:val="clear" w:color="auto" w:fill="9CC2E5"/>
            <w:noWrap/>
            <w:vAlign w:val="center"/>
            <w:hideMark/>
          </w:tcPr>
          <w:p w14:paraId="6B88E8B5" w14:textId="77777777" w:rsidR="00F87E58" w:rsidRDefault="00F87E58" w:rsidP="00F87E58">
            <w:pPr>
              <w:pStyle w:val="cuadroCabe"/>
              <w:jc w:val="left"/>
            </w:pPr>
            <w:r>
              <w:t>Total</w:t>
            </w:r>
          </w:p>
        </w:tc>
        <w:tc>
          <w:tcPr>
            <w:tcW w:w="1349" w:type="dxa"/>
            <w:tcBorders>
              <w:top w:val="single" w:sz="4" w:space="0" w:color="auto"/>
              <w:bottom w:val="single" w:sz="4" w:space="0" w:color="auto"/>
            </w:tcBorders>
            <w:shd w:val="clear" w:color="auto" w:fill="9CC2E5"/>
            <w:noWrap/>
            <w:vAlign w:val="center"/>
            <w:hideMark/>
          </w:tcPr>
          <w:p w14:paraId="7E546541" w14:textId="77777777" w:rsidR="00F87E58" w:rsidRDefault="00F87E58" w:rsidP="00F87E58">
            <w:pPr>
              <w:pStyle w:val="cuadroCabe"/>
              <w:jc w:val="right"/>
            </w:pPr>
            <w:r>
              <w:t>22.511.910</w:t>
            </w:r>
          </w:p>
        </w:tc>
      </w:tr>
    </w:tbl>
    <w:p w14:paraId="2DC1091F" w14:textId="77777777" w:rsidR="00F87E58" w:rsidRDefault="00F87E58" w:rsidP="00F87E58">
      <w:pPr>
        <w:pStyle w:val="texto"/>
        <w:spacing w:before="240"/>
        <w:rPr>
          <w:rFonts w:cs="Arial"/>
        </w:rPr>
      </w:pPr>
      <w:r>
        <w:rPr>
          <w:rFonts w:cs="Arial"/>
        </w:rPr>
        <w:t xml:space="preserve">En las cuentas anuales se indica que, de esos préstamos, 56,80 millones tienen la consideración de préstamos participativos. </w:t>
      </w:r>
    </w:p>
    <w:p w14:paraId="6187ADD8" w14:textId="77777777" w:rsidR="00F87E58"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 xml:space="preserve">Si bien </w:t>
      </w:r>
      <w:r w:rsidRPr="009E195B">
        <w:rPr>
          <w:rFonts w:cs="Arial"/>
        </w:rPr>
        <w:t xml:space="preserve">el valor contable </w:t>
      </w:r>
      <w:r>
        <w:rPr>
          <w:rFonts w:cs="Arial"/>
        </w:rPr>
        <w:t xml:space="preserve">de los préstamos </w:t>
      </w:r>
      <w:r w:rsidRPr="009E195B">
        <w:rPr>
          <w:rFonts w:cs="Arial"/>
        </w:rPr>
        <w:t>que figura en las cuentas anuales de Sodena a 31 de diciembr</w:t>
      </w:r>
      <w:r w:rsidR="00B40CE4">
        <w:rPr>
          <w:rFonts w:cs="Arial"/>
        </w:rPr>
        <w:t xml:space="preserve">e de 2022 es de 22,51 </w:t>
      </w:r>
      <w:r w:rsidR="00B40CE4" w:rsidRPr="00C372CC">
        <w:rPr>
          <w:rFonts w:cs="Arial"/>
        </w:rPr>
        <w:t xml:space="preserve">millones (una vez deducidos los importes deteriorados), </w:t>
      </w:r>
      <w:r w:rsidRPr="00C372CC">
        <w:rPr>
          <w:rFonts w:cs="Arial"/>
        </w:rPr>
        <w:t xml:space="preserve">la deuda de </w:t>
      </w:r>
      <w:r w:rsidRPr="009E195B">
        <w:rPr>
          <w:rFonts w:cs="Arial"/>
        </w:rPr>
        <w:t>Parquenasa con Sodena es de 78,30 millones.</w:t>
      </w:r>
      <w:r>
        <w:rPr>
          <w:rFonts w:cs="Arial"/>
        </w:rPr>
        <w:t xml:space="preserve"> No obstante, a 30 de junio de 2023 se ha incrementado hasta alcanzar 79,36 millones.</w:t>
      </w:r>
    </w:p>
    <w:p w14:paraId="2D253187" w14:textId="77777777" w:rsidR="00F318D9" w:rsidRDefault="00F318D9" w:rsidP="00F318D9">
      <w:pPr>
        <w:pStyle w:val="texto"/>
        <w:tabs>
          <w:tab w:val="clear" w:pos="2835"/>
          <w:tab w:val="clear" w:pos="3969"/>
          <w:tab w:val="clear" w:pos="5103"/>
          <w:tab w:val="clear" w:pos="6237"/>
          <w:tab w:val="clear" w:pos="7371"/>
          <w:tab w:val="left" w:pos="480"/>
        </w:tabs>
        <w:rPr>
          <w:rFonts w:cs="Arial"/>
        </w:rPr>
      </w:pPr>
      <w:r>
        <w:rPr>
          <w:rFonts w:cs="Arial"/>
        </w:rPr>
        <w:lastRenderedPageBreak/>
        <w:t>Al respecto, destacamos que es</w:t>
      </w:r>
      <w:r>
        <w:t xml:space="preserve"> altamente improbable, dada la situación económico-financiera de la sociedad, que Parquenasa pueda devolver los préstamos al menos en las fechas de vencimiento, tal y como se detallan en el siguiente cuadro:</w:t>
      </w:r>
    </w:p>
    <w:p w14:paraId="06E9DDC4" w14:textId="77777777" w:rsidR="00F318D9" w:rsidRPr="00C3553D" w:rsidRDefault="00F318D9" w:rsidP="00F318D9">
      <w:pPr>
        <w:pStyle w:val="texto"/>
        <w:spacing w:before="240"/>
        <w:ind w:firstLine="0"/>
        <w:jc w:val="right"/>
        <w:rPr>
          <w:rFonts w:cs="Arial"/>
        </w:rPr>
      </w:pPr>
      <w:r w:rsidRPr="00C3553D">
        <w:rPr>
          <w:rFonts w:ascii="Arial Narrow" w:hAnsi="Arial Narrow" w:cs="Calibri"/>
          <w:color w:val="000000"/>
          <w:spacing w:val="0"/>
          <w:sz w:val="20"/>
          <w:szCs w:val="20"/>
          <w:lang w:eastAsia="es-ES"/>
        </w:rPr>
        <w:t>(</w:t>
      </w:r>
      <w:r>
        <w:rPr>
          <w:rFonts w:ascii="Arial Narrow" w:hAnsi="Arial Narrow" w:cs="Calibri"/>
          <w:color w:val="000000"/>
          <w:spacing w:val="0"/>
          <w:sz w:val="20"/>
          <w:szCs w:val="20"/>
          <w:lang w:eastAsia="es-ES"/>
        </w:rPr>
        <w:t>en miles</w:t>
      </w:r>
      <w:r w:rsidRPr="00C3553D">
        <w:rPr>
          <w:rFonts w:ascii="Arial Narrow" w:hAnsi="Arial Narrow" w:cs="Calibri"/>
          <w:color w:val="000000"/>
          <w:spacing w:val="0"/>
          <w:sz w:val="20"/>
          <w:szCs w:val="20"/>
          <w:lang w:eastAsia="es-ES"/>
        </w:rPr>
        <w:t>)</w:t>
      </w:r>
    </w:p>
    <w:tbl>
      <w:tblPr>
        <w:tblW w:w="8505" w:type="dxa"/>
        <w:jc w:val="center"/>
        <w:tblCellMar>
          <w:left w:w="70" w:type="dxa"/>
          <w:right w:w="70" w:type="dxa"/>
        </w:tblCellMar>
        <w:tblLook w:val="04A0" w:firstRow="1" w:lastRow="0" w:firstColumn="1" w:lastColumn="0" w:noHBand="0" w:noVBand="1"/>
      </w:tblPr>
      <w:tblGrid>
        <w:gridCol w:w="2551"/>
        <w:gridCol w:w="1134"/>
        <w:gridCol w:w="1418"/>
        <w:gridCol w:w="1417"/>
        <w:gridCol w:w="964"/>
        <w:gridCol w:w="1021"/>
      </w:tblGrid>
      <w:tr w:rsidR="00F318D9" w:rsidRPr="0097255E" w14:paraId="475524AD" w14:textId="77777777" w:rsidTr="00F318D9">
        <w:trPr>
          <w:trHeight w:val="255"/>
          <w:jc w:val="center"/>
        </w:trPr>
        <w:tc>
          <w:tcPr>
            <w:tcW w:w="2551" w:type="dxa"/>
            <w:tcBorders>
              <w:top w:val="single" w:sz="4" w:space="0" w:color="auto"/>
              <w:left w:val="nil"/>
              <w:bottom w:val="single" w:sz="4" w:space="0" w:color="auto"/>
              <w:right w:val="nil"/>
            </w:tcBorders>
            <w:shd w:val="clear" w:color="000000" w:fill="9CC2E5"/>
            <w:noWrap/>
            <w:vAlign w:val="center"/>
            <w:hideMark/>
          </w:tcPr>
          <w:p w14:paraId="54ED53E3" w14:textId="77777777" w:rsidR="00F318D9" w:rsidRPr="0097255E" w:rsidRDefault="00F318D9" w:rsidP="00F318D9">
            <w:pPr>
              <w:spacing w:after="0"/>
              <w:ind w:firstLine="0"/>
              <w:jc w:val="left"/>
              <w:rPr>
                <w:rFonts w:ascii="Arial" w:hAnsi="Arial" w:cs="Arial"/>
                <w:color w:val="000000"/>
                <w:sz w:val="18"/>
                <w:szCs w:val="18"/>
                <w:lang w:val="es-ES" w:eastAsia="es-ES"/>
              </w:rPr>
            </w:pPr>
            <w:r w:rsidRPr="0097255E">
              <w:rPr>
                <w:rFonts w:ascii="Arial" w:hAnsi="Arial" w:cs="Arial"/>
                <w:color w:val="000000"/>
                <w:sz w:val="18"/>
                <w:szCs w:val="18"/>
                <w:lang w:eastAsia="es-ES"/>
              </w:rPr>
              <w:t> </w:t>
            </w:r>
          </w:p>
        </w:tc>
        <w:tc>
          <w:tcPr>
            <w:tcW w:w="1134" w:type="dxa"/>
            <w:tcBorders>
              <w:top w:val="single" w:sz="4" w:space="0" w:color="auto"/>
              <w:left w:val="nil"/>
              <w:bottom w:val="single" w:sz="4" w:space="0" w:color="auto"/>
              <w:right w:val="nil"/>
            </w:tcBorders>
            <w:shd w:val="clear" w:color="000000" w:fill="9CC2E5"/>
            <w:noWrap/>
            <w:vAlign w:val="center"/>
            <w:hideMark/>
          </w:tcPr>
          <w:p w14:paraId="2FB80156"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eastAsia="es-ES"/>
              </w:rPr>
              <w:t>Concedido</w:t>
            </w:r>
          </w:p>
        </w:tc>
        <w:tc>
          <w:tcPr>
            <w:tcW w:w="1418" w:type="dxa"/>
            <w:tcBorders>
              <w:top w:val="single" w:sz="4" w:space="0" w:color="auto"/>
              <w:left w:val="nil"/>
              <w:bottom w:val="single" w:sz="4" w:space="0" w:color="auto"/>
              <w:right w:val="nil"/>
            </w:tcBorders>
            <w:shd w:val="clear" w:color="000000" w:fill="9CC2E5"/>
            <w:noWrap/>
            <w:vAlign w:val="center"/>
            <w:hideMark/>
          </w:tcPr>
          <w:p w14:paraId="4117F9DD"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eastAsia="es-ES"/>
              </w:rPr>
              <w:t>Desembolsado 31/12/2022</w:t>
            </w:r>
          </w:p>
        </w:tc>
        <w:tc>
          <w:tcPr>
            <w:tcW w:w="1417" w:type="dxa"/>
            <w:tcBorders>
              <w:top w:val="single" w:sz="4" w:space="0" w:color="auto"/>
              <w:left w:val="nil"/>
              <w:bottom w:val="single" w:sz="4" w:space="0" w:color="auto"/>
              <w:right w:val="nil"/>
            </w:tcBorders>
            <w:shd w:val="clear" w:color="000000" w:fill="9CC2E5"/>
            <w:vAlign w:val="center"/>
          </w:tcPr>
          <w:p w14:paraId="4FD960E9"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eastAsia="es-ES"/>
              </w:rPr>
              <w:t>Desembolsado 30/06/2023</w:t>
            </w:r>
          </w:p>
        </w:tc>
        <w:tc>
          <w:tcPr>
            <w:tcW w:w="964" w:type="dxa"/>
            <w:tcBorders>
              <w:top w:val="single" w:sz="4" w:space="0" w:color="auto"/>
              <w:left w:val="nil"/>
              <w:bottom w:val="single" w:sz="4" w:space="0" w:color="auto"/>
              <w:right w:val="nil"/>
            </w:tcBorders>
            <w:shd w:val="clear" w:color="000000" w:fill="9CC2E5"/>
            <w:vAlign w:val="center"/>
            <w:hideMark/>
          </w:tcPr>
          <w:p w14:paraId="6167AB60"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eastAsia="es-ES"/>
              </w:rPr>
              <w:t>Intereses</w:t>
            </w:r>
          </w:p>
        </w:tc>
        <w:tc>
          <w:tcPr>
            <w:tcW w:w="1021" w:type="dxa"/>
            <w:tcBorders>
              <w:top w:val="single" w:sz="4" w:space="0" w:color="auto"/>
              <w:left w:val="nil"/>
              <w:bottom w:val="single" w:sz="4" w:space="0" w:color="auto"/>
              <w:right w:val="nil"/>
            </w:tcBorders>
            <w:shd w:val="clear" w:color="000000" w:fill="9CC2E5"/>
            <w:noWrap/>
            <w:vAlign w:val="center"/>
            <w:hideMark/>
          </w:tcPr>
          <w:p w14:paraId="61266ED2" w14:textId="77777777" w:rsidR="00F318D9" w:rsidRPr="0097255E" w:rsidRDefault="00F318D9" w:rsidP="00F318D9">
            <w:pPr>
              <w:spacing w:after="0"/>
              <w:ind w:firstLine="0"/>
              <w:jc w:val="right"/>
              <w:rPr>
                <w:rFonts w:ascii="Arial" w:hAnsi="Arial" w:cs="Arial"/>
                <w:color w:val="000000"/>
                <w:sz w:val="18"/>
                <w:szCs w:val="18"/>
                <w:lang w:eastAsia="es-ES"/>
              </w:rPr>
            </w:pPr>
            <w:r w:rsidRPr="0097255E">
              <w:rPr>
                <w:rFonts w:ascii="Arial" w:hAnsi="Arial" w:cs="Arial"/>
                <w:color w:val="000000"/>
                <w:sz w:val="18"/>
                <w:szCs w:val="18"/>
                <w:lang w:eastAsia="es-ES"/>
              </w:rPr>
              <w:t>Fecha</w:t>
            </w:r>
          </w:p>
          <w:p w14:paraId="1A764C2D"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eastAsia="es-ES"/>
              </w:rPr>
              <w:t>Venci</w:t>
            </w:r>
            <w:r>
              <w:rPr>
                <w:rFonts w:ascii="Arial" w:hAnsi="Arial" w:cs="Arial"/>
                <w:color w:val="000000"/>
                <w:sz w:val="18"/>
                <w:szCs w:val="18"/>
                <w:lang w:eastAsia="es-ES"/>
              </w:rPr>
              <w:t>mi.</w:t>
            </w:r>
          </w:p>
        </w:tc>
      </w:tr>
      <w:tr w:rsidR="00F318D9" w:rsidRPr="0097255E" w14:paraId="18A7C277" w14:textId="77777777" w:rsidTr="00F318D9">
        <w:trPr>
          <w:trHeight w:val="198"/>
          <w:jc w:val="center"/>
        </w:trPr>
        <w:tc>
          <w:tcPr>
            <w:tcW w:w="2551" w:type="dxa"/>
            <w:tcBorders>
              <w:top w:val="single" w:sz="4" w:space="0" w:color="auto"/>
              <w:left w:val="nil"/>
              <w:bottom w:val="single" w:sz="2" w:space="0" w:color="auto"/>
              <w:right w:val="nil"/>
            </w:tcBorders>
            <w:shd w:val="clear" w:color="auto" w:fill="auto"/>
            <w:vAlign w:val="center"/>
            <w:hideMark/>
          </w:tcPr>
          <w:p w14:paraId="286CE1E2" w14:textId="77777777" w:rsidR="00F318D9" w:rsidRPr="0097255E" w:rsidRDefault="00F318D9" w:rsidP="00F318D9">
            <w:pPr>
              <w:spacing w:after="0"/>
              <w:ind w:firstLine="0"/>
              <w:jc w:val="lef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Préstamos 2005-2019 +2021+2022</w:t>
            </w:r>
          </w:p>
        </w:tc>
        <w:tc>
          <w:tcPr>
            <w:tcW w:w="1134" w:type="dxa"/>
            <w:tcBorders>
              <w:top w:val="single" w:sz="4" w:space="0" w:color="auto"/>
              <w:left w:val="nil"/>
              <w:bottom w:val="single" w:sz="2" w:space="0" w:color="auto"/>
              <w:right w:val="nil"/>
            </w:tcBorders>
            <w:shd w:val="clear" w:color="auto" w:fill="auto"/>
            <w:noWrap/>
            <w:vAlign w:val="center"/>
            <w:hideMark/>
          </w:tcPr>
          <w:p w14:paraId="74225731"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72.104</w:t>
            </w:r>
          </w:p>
        </w:tc>
        <w:tc>
          <w:tcPr>
            <w:tcW w:w="1418" w:type="dxa"/>
            <w:tcBorders>
              <w:top w:val="single" w:sz="4" w:space="0" w:color="auto"/>
              <w:left w:val="nil"/>
              <w:bottom w:val="single" w:sz="2" w:space="0" w:color="auto"/>
              <w:right w:val="nil"/>
            </w:tcBorders>
            <w:shd w:val="clear" w:color="auto" w:fill="auto"/>
            <w:noWrap/>
            <w:vAlign w:val="center"/>
            <w:hideMark/>
          </w:tcPr>
          <w:p w14:paraId="6477E690"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72.104</w:t>
            </w:r>
          </w:p>
        </w:tc>
        <w:tc>
          <w:tcPr>
            <w:tcW w:w="1417" w:type="dxa"/>
            <w:tcBorders>
              <w:top w:val="single" w:sz="4" w:space="0" w:color="auto"/>
              <w:left w:val="nil"/>
              <w:bottom w:val="single" w:sz="2" w:space="0" w:color="auto"/>
              <w:right w:val="nil"/>
            </w:tcBorders>
            <w:vAlign w:val="center"/>
          </w:tcPr>
          <w:p w14:paraId="66D51493"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72.104</w:t>
            </w:r>
          </w:p>
        </w:tc>
        <w:tc>
          <w:tcPr>
            <w:tcW w:w="964" w:type="dxa"/>
            <w:tcBorders>
              <w:top w:val="single" w:sz="4" w:space="0" w:color="auto"/>
              <w:left w:val="nil"/>
              <w:bottom w:val="single" w:sz="2" w:space="0" w:color="auto"/>
              <w:right w:val="nil"/>
            </w:tcBorders>
            <w:shd w:val="clear" w:color="auto" w:fill="auto"/>
            <w:vAlign w:val="center"/>
            <w:hideMark/>
          </w:tcPr>
          <w:p w14:paraId="17834BAF"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25</w:t>
            </w:r>
          </w:p>
        </w:tc>
        <w:tc>
          <w:tcPr>
            <w:tcW w:w="1021" w:type="dxa"/>
            <w:tcBorders>
              <w:top w:val="single" w:sz="4" w:space="0" w:color="auto"/>
              <w:left w:val="nil"/>
              <w:bottom w:val="single" w:sz="2" w:space="0" w:color="auto"/>
              <w:right w:val="nil"/>
            </w:tcBorders>
            <w:shd w:val="clear" w:color="auto" w:fill="auto"/>
            <w:vAlign w:val="center"/>
            <w:hideMark/>
          </w:tcPr>
          <w:p w14:paraId="22FB2ADA"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15/03/2027</w:t>
            </w:r>
          </w:p>
        </w:tc>
      </w:tr>
      <w:tr w:rsidR="00F318D9" w:rsidRPr="0097255E" w14:paraId="5DAA7291" w14:textId="77777777" w:rsidTr="00F318D9">
        <w:trPr>
          <w:trHeight w:val="198"/>
          <w:jc w:val="center"/>
        </w:trPr>
        <w:tc>
          <w:tcPr>
            <w:tcW w:w="2551" w:type="dxa"/>
            <w:tcBorders>
              <w:top w:val="single" w:sz="2" w:space="0" w:color="auto"/>
              <w:left w:val="nil"/>
              <w:bottom w:val="single" w:sz="2" w:space="0" w:color="auto"/>
              <w:right w:val="nil"/>
            </w:tcBorders>
            <w:shd w:val="clear" w:color="auto" w:fill="auto"/>
            <w:vAlign w:val="center"/>
            <w:hideMark/>
          </w:tcPr>
          <w:p w14:paraId="76DC1DD4" w14:textId="77777777" w:rsidR="00F318D9" w:rsidRDefault="00474317" w:rsidP="00F318D9">
            <w:pPr>
              <w:spacing w:after="0"/>
              <w:ind w:firstLine="0"/>
              <w:jc w:val="left"/>
              <w:rPr>
                <w:rFonts w:ascii="Arial Narrow" w:hAnsi="Arial Narrow" w:cs="Calibri"/>
                <w:color w:val="000000"/>
                <w:sz w:val="18"/>
                <w:szCs w:val="18"/>
                <w:lang w:eastAsia="es-ES"/>
              </w:rPr>
            </w:pPr>
            <w:r>
              <w:rPr>
                <w:rFonts w:ascii="Arial Narrow" w:hAnsi="Arial Narrow" w:cs="Calibri"/>
                <w:color w:val="000000"/>
                <w:sz w:val="18"/>
                <w:szCs w:val="18"/>
                <w:lang w:eastAsia="es-ES"/>
              </w:rPr>
              <w:t>Préstamo 2020 + Inversión</w:t>
            </w:r>
            <w:r w:rsidR="00F318D9">
              <w:rPr>
                <w:rFonts w:ascii="Arial Narrow" w:hAnsi="Arial Narrow" w:cs="Calibri"/>
                <w:color w:val="000000"/>
                <w:sz w:val="18"/>
                <w:szCs w:val="18"/>
                <w:lang w:eastAsia="es-ES"/>
              </w:rPr>
              <w:t>.</w:t>
            </w:r>
            <w:r w:rsidR="00F318D9" w:rsidRPr="0097255E">
              <w:rPr>
                <w:rFonts w:ascii="Arial Narrow" w:hAnsi="Arial Narrow" w:cs="Calibri"/>
                <w:color w:val="000000"/>
                <w:sz w:val="18"/>
                <w:szCs w:val="18"/>
                <w:lang w:eastAsia="es-ES"/>
              </w:rPr>
              <w:t xml:space="preserve">Plan </w:t>
            </w:r>
          </w:p>
          <w:p w14:paraId="75713C9B" w14:textId="77777777" w:rsidR="00F318D9" w:rsidRPr="0097255E" w:rsidRDefault="00F318D9" w:rsidP="00F318D9">
            <w:pPr>
              <w:spacing w:after="0"/>
              <w:ind w:firstLine="0"/>
              <w:jc w:val="lef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Estratégico</w:t>
            </w:r>
          </w:p>
        </w:tc>
        <w:tc>
          <w:tcPr>
            <w:tcW w:w="1134" w:type="dxa"/>
            <w:tcBorders>
              <w:top w:val="single" w:sz="2" w:space="0" w:color="auto"/>
              <w:left w:val="nil"/>
              <w:bottom w:val="single" w:sz="2" w:space="0" w:color="auto"/>
              <w:right w:val="nil"/>
            </w:tcBorders>
            <w:shd w:val="clear" w:color="auto" w:fill="auto"/>
            <w:noWrap/>
            <w:vAlign w:val="center"/>
            <w:hideMark/>
          </w:tcPr>
          <w:p w14:paraId="142F0A69"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5.900</w:t>
            </w:r>
          </w:p>
        </w:tc>
        <w:tc>
          <w:tcPr>
            <w:tcW w:w="1418" w:type="dxa"/>
            <w:tcBorders>
              <w:top w:val="single" w:sz="2" w:space="0" w:color="auto"/>
              <w:left w:val="nil"/>
              <w:bottom w:val="single" w:sz="2" w:space="0" w:color="auto"/>
              <w:right w:val="nil"/>
            </w:tcBorders>
            <w:shd w:val="clear" w:color="auto" w:fill="auto"/>
            <w:noWrap/>
            <w:vAlign w:val="center"/>
            <w:hideMark/>
          </w:tcPr>
          <w:p w14:paraId="6BAF1A9C"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5.893</w:t>
            </w:r>
          </w:p>
        </w:tc>
        <w:tc>
          <w:tcPr>
            <w:tcW w:w="1417" w:type="dxa"/>
            <w:tcBorders>
              <w:top w:val="single" w:sz="2" w:space="0" w:color="auto"/>
              <w:left w:val="nil"/>
              <w:bottom w:val="single" w:sz="2" w:space="0" w:color="auto"/>
              <w:right w:val="nil"/>
            </w:tcBorders>
            <w:vAlign w:val="center"/>
          </w:tcPr>
          <w:p w14:paraId="379CC2EA"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5.893</w:t>
            </w:r>
          </w:p>
        </w:tc>
        <w:tc>
          <w:tcPr>
            <w:tcW w:w="964" w:type="dxa"/>
            <w:tcBorders>
              <w:top w:val="single" w:sz="2" w:space="0" w:color="auto"/>
              <w:left w:val="nil"/>
              <w:bottom w:val="single" w:sz="2" w:space="0" w:color="auto"/>
              <w:right w:val="nil"/>
            </w:tcBorders>
            <w:shd w:val="clear" w:color="auto" w:fill="auto"/>
            <w:vAlign w:val="center"/>
            <w:hideMark/>
          </w:tcPr>
          <w:p w14:paraId="13EE68BF"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163</w:t>
            </w:r>
          </w:p>
        </w:tc>
        <w:tc>
          <w:tcPr>
            <w:tcW w:w="1021" w:type="dxa"/>
            <w:tcBorders>
              <w:top w:val="single" w:sz="2" w:space="0" w:color="auto"/>
              <w:left w:val="nil"/>
              <w:bottom w:val="single" w:sz="2" w:space="0" w:color="auto"/>
              <w:right w:val="nil"/>
            </w:tcBorders>
            <w:shd w:val="clear" w:color="auto" w:fill="auto"/>
            <w:vAlign w:val="center"/>
            <w:hideMark/>
          </w:tcPr>
          <w:p w14:paraId="3C3523C8"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31/05/2025</w:t>
            </w:r>
          </w:p>
        </w:tc>
      </w:tr>
      <w:tr w:rsidR="00F318D9" w:rsidRPr="0097255E" w14:paraId="0DBFCABA" w14:textId="77777777" w:rsidTr="00F318D9">
        <w:trPr>
          <w:trHeight w:val="198"/>
          <w:jc w:val="center"/>
        </w:trPr>
        <w:tc>
          <w:tcPr>
            <w:tcW w:w="2551" w:type="dxa"/>
            <w:tcBorders>
              <w:top w:val="single" w:sz="2" w:space="0" w:color="auto"/>
              <w:left w:val="nil"/>
              <w:bottom w:val="single" w:sz="4" w:space="0" w:color="auto"/>
              <w:right w:val="nil"/>
            </w:tcBorders>
            <w:shd w:val="clear" w:color="auto" w:fill="auto"/>
            <w:vAlign w:val="center"/>
            <w:hideMark/>
          </w:tcPr>
          <w:p w14:paraId="6EFA0661" w14:textId="77777777" w:rsidR="00F318D9" w:rsidRPr="0097255E" w:rsidRDefault="00F318D9" w:rsidP="00F318D9">
            <w:pPr>
              <w:spacing w:after="0"/>
              <w:ind w:firstLine="0"/>
              <w:jc w:val="lef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Préstamo incendio 2022</w:t>
            </w:r>
          </w:p>
        </w:tc>
        <w:tc>
          <w:tcPr>
            <w:tcW w:w="1134" w:type="dxa"/>
            <w:tcBorders>
              <w:top w:val="single" w:sz="2" w:space="0" w:color="auto"/>
              <w:left w:val="nil"/>
              <w:bottom w:val="single" w:sz="4" w:space="0" w:color="auto"/>
              <w:right w:val="nil"/>
            </w:tcBorders>
            <w:shd w:val="clear" w:color="auto" w:fill="auto"/>
            <w:noWrap/>
            <w:vAlign w:val="center"/>
            <w:hideMark/>
          </w:tcPr>
          <w:p w14:paraId="08D3B20D"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1.500</w:t>
            </w:r>
          </w:p>
        </w:tc>
        <w:tc>
          <w:tcPr>
            <w:tcW w:w="1418" w:type="dxa"/>
            <w:tcBorders>
              <w:top w:val="single" w:sz="2" w:space="0" w:color="auto"/>
              <w:left w:val="nil"/>
              <w:bottom w:val="single" w:sz="4" w:space="0" w:color="auto"/>
              <w:right w:val="nil"/>
            </w:tcBorders>
            <w:shd w:val="clear" w:color="auto" w:fill="auto"/>
            <w:noWrap/>
            <w:vAlign w:val="center"/>
            <w:hideMark/>
          </w:tcPr>
          <w:p w14:paraId="3C62451C"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107</w:t>
            </w:r>
          </w:p>
        </w:tc>
        <w:tc>
          <w:tcPr>
            <w:tcW w:w="1417" w:type="dxa"/>
            <w:tcBorders>
              <w:top w:val="single" w:sz="2" w:space="0" w:color="auto"/>
              <w:left w:val="nil"/>
              <w:bottom w:val="single" w:sz="4" w:space="0" w:color="auto"/>
              <w:right w:val="nil"/>
            </w:tcBorders>
            <w:vAlign w:val="center"/>
          </w:tcPr>
          <w:p w14:paraId="21021957"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val="es-ES" w:eastAsia="es-ES"/>
              </w:rPr>
              <w:t>1.364</w:t>
            </w:r>
          </w:p>
        </w:tc>
        <w:tc>
          <w:tcPr>
            <w:tcW w:w="964" w:type="dxa"/>
            <w:tcBorders>
              <w:top w:val="single" w:sz="2" w:space="0" w:color="auto"/>
              <w:left w:val="nil"/>
              <w:bottom w:val="single" w:sz="4" w:space="0" w:color="auto"/>
              <w:right w:val="nil"/>
            </w:tcBorders>
            <w:shd w:val="clear" w:color="auto" w:fill="auto"/>
            <w:vAlign w:val="center"/>
            <w:hideMark/>
          </w:tcPr>
          <w:p w14:paraId="6892F419"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 </w:t>
            </w:r>
          </w:p>
        </w:tc>
        <w:tc>
          <w:tcPr>
            <w:tcW w:w="1021" w:type="dxa"/>
            <w:tcBorders>
              <w:top w:val="single" w:sz="2" w:space="0" w:color="auto"/>
              <w:left w:val="nil"/>
              <w:bottom w:val="single" w:sz="4" w:space="0" w:color="auto"/>
              <w:right w:val="nil"/>
            </w:tcBorders>
            <w:shd w:val="clear" w:color="auto" w:fill="auto"/>
            <w:vAlign w:val="center"/>
            <w:hideMark/>
          </w:tcPr>
          <w:p w14:paraId="68AB4696" w14:textId="77777777" w:rsidR="00F318D9" w:rsidRPr="0097255E" w:rsidRDefault="00F318D9" w:rsidP="00F318D9">
            <w:pPr>
              <w:spacing w:after="0"/>
              <w:ind w:firstLine="0"/>
              <w:jc w:val="right"/>
              <w:rPr>
                <w:rFonts w:ascii="Arial Narrow" w:hAnsi="Arial Narrow" w:cs="Calibri"/>
                <w:color w:val="000000"/>
                <w:sz w:val="18"/>
                <w:szCs w:val="18"/>
                <w:lang w:val="es-ES" w:eastAsia="es-ES"/>
              </w:rPr>
            </w:pPr>
            <w:r w:rsidRPr="0097255E">
              <w:rPr>
                <w:rFonts w:ascii="Arial Narrow" w:hAnsi="Arial Narrow" w:cs="Calibri"/>
                <w:color w:val="000000"/>
                <w:sz w:val="18"/>
                <w:szCs w:val="18"/>
                <w:lang w:eastAsia="es-ES"/>
              </w:rPr>
              <w:t>01/12/2034</w:t>
            </w:r>
          </w:p>
        </w:tc>
      </w:tr>
      <w:tr w:rsidR="00F318D9" w:rsidRPr="0097255E" w14:paraId="45FF00C4" w14:textId="77777777" w:rsidTr="00F318D9">
        <w:trPr>
          <w:trHeight w:val="255"/>
          <w:jc w:val="center"/>
        </w:trPr>
        <w:tc>
          <w:tcPr>
            <w:tcW w:w="2551" w:type="dxa"/>
            <w:tcBorders>
              <w:top w:val="single" w:sz="4" w:space="0" w:color="auto"/>
              <w:left w:val="nil"/>
              <w:bottom w:val="single" w:sz="4" w:space="0" w:color="auto"/>
              <w:right w:val="nil"/>
            </w:tcBorders>
            <w:shd w:val="clear" w:color="000000" w:fill="9CC2E5"/>
            <w:vAlign w:val="center"/>
            <w:hideMark/>
          </w:tcPr>
          <w:p w14:paraId="11D0FA12" w14:textId="77777777" w:rsidR="00F318D9" w:rsidRPr="0097255E" w:rsidRDefault="00F318D9" w:rsidP="00F318D9">
            <w:pPr>
              <w:spacing w:after="0"/>
              <w:ind w:firstLine="0"/>
              <w:jc w:val="left"/>
              <w:rPr>
                <w:rFonts w:ascii="Arial" w:hAnsi="Arial" w:cs="Arial"/>
                <w:color w:val="000000"/>
                <w:sz w:val="18"/>
                <w:szCs w:val="18"/>
                <w:lang w:val="es-ES" w:eastAsia="es-ES"/>
              </w:rPr>
            </w:pPr>
            <w:r w:rsidRPr="0097255E">
              <w:rPr>
                <w:rFonts w:ascii="Arial" w:hAnsi="Arial" w:cs="Arial"/>
                <w:color w:val="000000"/>
                <w:sz w:val="18"/>
                <w:szCs w:val="18"/>
                <w:lang w:eastAsia="es-ES"/>
              </w:rPr>
              <w:t> Total</w:t>
            </w:r>
          </w:p>
        </w:tc>
        <w:tc>
          <w:tcPr>
            <w:tcW w:w="1134" w:type="dxa"/>
            <w:tcBorders>
              <w:top w:val="single" w:sz="4" w:space="0" w:color="auto"/>
              <w:left w:val="nil"/>
              <w:bottom w:val="single" w:sz="4" w:space="0" w:color="auto"/>
              <w:right w:val="nil"/>
            </w:tcBorders>
            <w:shd w:val="clear" w:color="000000" w:fill="9CC2E5"/>
            <w:noWrap/>
            <w:vAlign w:val="center"/>
            <w:hideMark/>
          </w:tcPr>
          <w:p w14:paraId="1916365E"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eastAsia="es-ES"/>
              </w:rPr>
              <w:t>79.504</w:t>
            </w:r>
          </w:p>
        </w:tc>
        <w:tc>
          <w:tcPr>
            <w:tcW w:w="1418" w:type="dxa"/>
            <w:tcBorders>
              <w:top w:val="single" w:sz="4" w:space="0" w:color="auto"/>
              <w:left w:val="nil"/>
              <w:bottom w:val="single" w:sz="4" w:space="0" w:color="auto"/>
              <w:right w:val="nil"/>
            </w:tcBorders>
            <w:shd w:val="clear" w:color="000000" w:fill="9CC2E5"/>
            <w:noWrap/>
            <w:vAlign w:val="center"/>
            <w:hideMark/>
          </w:tcPr>
          <w:p w14:paraId="043085F9"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eastAsia="es-ES"/>
              </w:rPr>
              <w:t>78.104</w:t>
            </w:r>
          </w:p>
        </w:tc>
        <w:tc>
          <w:tcPr>
            <w:tcW w:w="1417" w:type="dxa"/>
            <w:tcBorders>
              <w:top w:val="single" w:sz="4" w:space="0" w:color="auto"/>
              <w:left w:val="nil"/>
              <w:bottom w:val="single" w:sz="4" w:space="0" w:color="auto"/>
              <w:right w:val="nil"/>
            </w:tcBorders>
            <w:shd w:val="clear" w:color="000000" w:fill="9CC2E5"/>
            <w:vAlign w:val="center"/>
          </w:tcPr>
          <w:p w14:paraId="5490626B"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val="es-ES" w:eastAsia="es-ES"/>
              </w:rPr>
              <w:t>79.361</w:t>
            </w:r>
          </w:p>
        </w:tc>
        <w:tc>
          <w:tcPr>
            <w:tcW w:w="964" w:type="dxa"/>
            <w:tcBorders>
              <w:top w:val="single" w:sz="4" w:space="0" w:color="auto"/>
              <w:left w:val="nil"/>
              <w:bottom w:val="single" w:sz="4" w:space="0" w:color="auto"/>
              <w:right w:val="nil"/>
            </w:tcBorders>
            <w:shd w:val="clear" w:color="000000" w:fill="9CC2E5"/>
            <w:vAlign w:val="center"/>
            <w:hideMark/>
          </w:tcPr>
          <w:p w14:paraId="421C8F38"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eastAsia="es-ES"/>
              </w:rPr>
              <w:t>188</w:t>
            </w:r>
          </w:p>
        </w:tc>
        <w:tc>
          <w:tcPr>
            <w:tcW w:w="1021" w:type="dxa"/>
            <w:tcBorders>
              <w:top w:val="single" w:sz="4" w:space="0" w:color="auto"/>
              <w:left w:val="nil"/>
              <w:bottom w:val="single" w:sz="4" w:space="0" w:color="auto"/>
              <w:right w:val="nil"/>
            </w:tcBorders>
            <w:shd w:val="clear" w:color="000000" w:fill="9CC2E5"/>
            <w:noWrap/>
            <w:vAlign w:val="center"/>
            <w:hideMark/>
          </w:tcPr>
          <w:p w14:paraId="5CAF23D8" w14:textId="77777777" w:rsidR="00F318D9" w:rsidRPr="0097255E" w:rsidRDefault="00F318D9" w:rsidP="00F318D9">
            <w:pPr>
              <w:spacing w:after="0"/>
              <w:ind w:firstLine="0"/>
              <w:jc w:val="right"/>
              <w:rPr>
                <w:rFonts w:ascii="Arial" w:hAnsi="Arial" w:cs="Arial"/>
                <w:color w:val="000000"/>
                <w:sz w:val="18"/>
                <w:szCs w:val="18"/>
                <w:lang w:val="es-ES" w:eastAsia="es-ES"/>
              </w:rPr>
            </w:pPr>
            <w:r w:rsidRPr="0097255E">
              <w:rPr>
                <w:rFonts w:ascii="Arial" w:hAnsi="Arial" w:cs="Arial"/>
                <w:color w:val="000000"/>
                <w:sz w:val="18"/>
                <w:szCs w:val="18"/>
                <w:lang w:eastAsia="es-ES"/>
              </w:rPr>
              <w:t> </w:t>
            </w:r>
          </w:p>
        </w:tc>
      </w:tr>
    </w:tbl>
    <w:p w14:paraId="62CD3D3D" w14:textId="77777777" w:rsidR="00F318D9" w:rsidRPr="00C372CC" w:rsidRDefault="00F318D9" w:rsidP="00F318D9">
      <w:pPr>
        <w:pStyle w:val="texto"/>
        <w:tabs>
          <w:tab w:val="clear" w:pos="2835"/>
          <w:tab w:val="clear" w:pos="3969"/>
          <w:tab w:val="clear" w:pos="5103"/>
          <w:tab w:val="clear" w:pos="6237"/>
          <w:tab w:val="clear" w:pos="7371"/>
          <w:tab w:val="left" w:pos="480"/>
        </w:tabs>
        <w:rPr>
          <w:rFonts w:cs="Arial"/>
        </w:rPr>
      </w:pPr>
    </w:p>
    <w:p w14:paraId="76B3256C" w14:textId="77777777" w:rsidR="00F318D9" w:rsidRPr="00C372CC" w:rsidRDefault="00F318D9" w:rsidP="005E4FA5">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rsidRPr="00C372CC">
        <w:rPr>
          <w:rFonts w:cs="Arial"/>
        </w:rPr>
        <w:t xml:space="preserve">En las solicitudes anuales de </w:t>
      </w:r>
      <w:r w:rsidR="00AC4C57" w:rsidRPr="00C372CC">
        <w:rPr>
          <w:rFonts w:cs="Arial"/>
        </w:rPr>
        <w:t xml:space="preserve">autorización para la </w:t>
      </w:r>
      <w:r w:rsidRPr="00C372CC">
        <w:rPr>
          <w:rFonts w:cs="Arial"/>
        </w:rPr>
        <w:t xml:space="preserve">concesión de préstamos, Sodena considera que son préstamos que se dotan como fallidos en su totalidad. Sobre esta cuestión, llama la atención que siguen figurando créditos </w:t>
      </w:r>
      <w:r w:rsidR="00AC4C57" w:rsidRPr="00C372CC">
        <w:rPr>
          <w:rFonts w:cs="Arial"/>
        </w:rPr>
        <w:t xml:space="preserve">recuperables </w:t>
      </w:r>
      <w:r w:rsidRPr="00C372CC">
        <w:rPr>
          <w:rFonts w:cs="Arial"/>
        </w:rPr>
        <w:t>por importe de 22,51 millones</w:t>
      </w:r>
      <w:r w:rsidR="00C70954" w:rsidRPr="00C372CC">
        <w:rPr>
          <w:rFonts w:cs="Arial"/>
        </w:rPr>
        <w:t>,</w:t>
      </w:r>
      <w:r w:rsidRPr="00C372CC">
        <w:rPr>
          <w:rFonts w:cs="Arial"/>
        </w:rPr>
        <w:t xml:space="preserve"> a pesar de su consideración como fallidos</w:t>
      </w:r>
      <w:r w:rsidR="00AC4C57" w:rsidRPr="00C372CC">
        <w:rPr>
          <w:rFonts w:cs="Arial"/>
        </w:rPr>
        <w:t xml:space="preserve"> en las citadas solicitudes, </w:t>
      </w:r>
      <w:r w:rsidRPr="00C372CC">
        <w:rPr>
          <w:rFonts w:cs="Arial"/>
        </w:rPr>
        <w:t>la ausencia de un plan de viabilidad que te</w:t>
      </w:r>
      <w:r w:rsidR="00AC4C57" w:rsidRPr="00C372CC">
        <w:rPr>
          <w:rFonts w:cs="Arial"/>
        </w:rPr>
        <w:t xml:space="preserve">nga como objetivo su devolución y </w:t>
      </w:r>
      <w:r w:rsidR="0050163F">
        <w:rPr>
          <w:rFonts w:cs="Arial"/>
        </w:rPr>
        <w:t xml:space="preserve">la propia </w:t>
      </w:r>
      <w:r w:rsidR="00AC4C57" w:rsidRPr="00C372CC">
        <w:rPr>
          <w:rFonts w:cs="Arial"/>
        </w:rPr>
        <w:t xml:space="preserve">situación financiera de Parquenasa. </w:t>
      </w:r>
    </w:p>
    <w:p w14:paraId="51AF9F63" w14:textId="77777777" w:rsidR="00F87E58"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rPr>
          <w:rFonts w:cs="Arial"/>
        </w:rPr>
        <w:t>Los préstamos participativos son un tipo de financiación con unas características específicas que los diferencian de los préstamos ordinarios, y de las que destacamos las siguientes característi</w:t>
      </w:r>
      <w:r w:rsidR="00C70954">
        <w:rPr>
          <w:rFonts w:cs="Arial"/>
        </w:rPr>
        <w:t>cas:</w:t>
      </w:r>
    </w:p>
    <w:p w14:paraId="59827C3E" w14:textId="77777777" w:rsidR="00F87E58" w:rsidRPr="007C6524" w:rsidRDefault="00F87E58" w:rsidP="00F87E58">
      <w:pPr>
        <w:pStyle w:val="texto"/>
        <w:numPr>
          <w:ilvl w:val="0"/>
          <w:numId w:val="41"/>
        </w:numPr>
        <w:tabs>
          <w:tab w:val="clear" w:pos="2835"/>
          <w:tab w:val="clear" w:pos="3969"/>
          <w:tab w:val="clear" w:pos="5103"/>
          <w:tab w:val="clear" w:pos="6237"/>
          <w:tab w:val="clear" w:pos="7371"/>
          <w:tab w:val="left" w:pos="284"/>
          <w:tab w:val="left" w:pos="426"/>
        </w:tabs>
        <w:spacing w:after="100"/>
        <w:rPr>
          <w:color w:val="000000"/>
          <w:szCs w:val="26"/>
        </w:rPr>
      </w:pPr>
      <w:r>
        <w:rPr>
          <w:szCs w:val="26"/>
        </w:rPr>
        <w:t xml:space="preserve">Se consideran patrimonio neto, a los efectos de reducción de capital, y liquidación de sociedades previstos en la legislación mercantil. </w:t>
      </w:r>
    </w:p>
    <w:p w14:paraId="7DE54A36" w14:textId="77777777" w:rsidR="00F87E58" w:rsidRDefault="00F87E58" w:rsidP="00F87E58">
      <w:pPr>
        <w:pStyle w:val="texto"/>
        <w:numPr>
          <w:ilvl w:val="0"/>
          <w:numId w:val="41"/>
        </w:numPr>
        <w:tabs>
          <w:tab w:val="clear" w:pos="2835"/>
          <w:tab w:val="clear" w:pos="3969"/>
          <w:tab w:val="clear" w:pos="5103"/>
          <w:tab w:val="clear" w:pos="6237"/>
          <w:tab w:val="clear" w:pos="7371"/>
          <w:tab w:val="left" w:pos="284"/>
          <w:tab w:val="left" w:pos="426"/>
        </w:tabs>
        <w:spacing w:after="100"/>
        <w:rPr>
          <w:szCs w:val="26"/>
        </w:rPr>
      </w:pPr>
      <w:r>
        <w:rPr>
          <w:szCs w:val="26"/>
        </w:rPr>
        <w:t xml:space="preserve">La posibilidad de ser amortizados de forma anticipada mediante su capitalización, lo que requiere una ampliación de capital de la empresa en igual cuantía a la del préstamo que se amortiza. </w:t>
      </w:r>
    </w:p>
    <w:p w14:paraId="605CE4D7" w14:textId="77777777" w:rsidR="00E83417" w:rsidRPr="00C372CC" w:rsidRDefault="00E83417" w:rsidP="00F87E58">
      <w:pPr>
        <w:pStyle w:val="texto"/>
        <w:rPr>
          <w:rFonts w:cs="Arial"/>
        </w:rPr>
      </w:pPr>
      <w:r w:rsidRPr="00C372CC">
        <w:rPr>
          <w:rFonts w:cs="Arial"/>
        </w:rPr>
        <w:t xml:space="preserve">No obstante, </w:t>
      </w:r>
      <w:r w:rsidR="00C372CC" w:rsidRPr="00C372CC">
        <w:rPr>
          <w:rFonts w:cs="Arial"/>
        </w:rPr>
        <w:t>aunque se trate de un préstamo participativo, es consustancial a su naturaleza</w:t>
      </w:r>
      <w:r w:rsidR="0050163F">
        <w:rPr>
          <w:rFonts w:cs="Arial"/>
        </w:rPr>
        <w:t xml:space="preserve"> jurídica</w:t>
      </w:r>
      <w:r w:rsidR="00C372CC">
        <w:rPr>
          <w:rFonts w:cs="Arial"/>
        </w:rPr>
        <w:t xml:space="preserve"> </w:t>
      </w:r>
      <w:r w:rsidR="00C372CC" w:rsidRPr="00C372CC">
        <w:rPr>
          <w:rFonts w:cs="Arial"/>
        </w:rPr>
        <w:t xml:space="preserve">la obligación de su devolución. </w:t>
      </w:r>
    </w:p>
    <w:p w14:paraId="66C3E33F" w14:textId="77777777" w:rsidR="00F87E58" w:rsidRDefault="00F87E58" w:rsidP="00F87E58">
      <w:pPr>
        <w:pStyle w:val="texto"/>
      </w:pPr>
      <w:r w:rsidRPr="009C44C1">
        <w:rPr>
          <w:rFonts w:cs="Arial"/>
        </w:rPr>
        <w:t>El contrato de financiación entre Sodena y Parquenasa de 30 de diciembre de 2005, limita la capitalización de manera que Sodena no pueda superar el 50 por ciento de par</w:t>
      </w:r>
      <w:r>
        <w:rPr>
          <w:rFonts w:cs="Arial"/>
        </w:rPr>
        <w:t>ticipación en el capital social. Dado que, hasta la venta a Ni</w:t>
      </w:r>
      <w:r w:rsidRPr="009C44C1">
        <w:rPr>
          <w:rFonts w:cs="Arial"/>
        </w:rPr>
        <w:t xml:space="preserve">cdo, ya ostentaba una participación del 45 por ciento, esta limitación suponía que el importe máximo </w:t>
      </w:r>
      <w:r w:rsidRPr="00C372CC">
        <w:rPr>
          <w:rFonts w:cs="Arial"/>
        </w:rPr>
        <w:t xml:space="preserve">capitalizable </w:t>
      </w:r>
      <w:r w:rsidR="002F34AD" w:rsidRPr="00C372CC">
        <w:rPr>
          <w:rFonts w:cs="Arial"/>
        </w:rPr>
        <w:t xml:space="preserve">a valor nominal, </w:t>
      </w:r>
      <w:r w:rsidRPr="009C44C1">
        <w:rPr>
          <w:rFonts w:cs="Arial"/>
        </w:rPr>
        <w:t xml:space="preserve">equivalía al </w:t>
      </w:r>
      <w:r>
        <w:rPr>
          <w:rFonts w:cs="Arial"/>
        </w:rPr>
        <w:t xml:space="preserve">cinco </w:t>
      </w:r>
      <w:r w:rsidRPr="009C44C1">
        <w:rPr>
          <w:rFonts w:cs="Arial"/>
        </w:rPr>
        <w:t>por ciento del capital social, es decir, 90.000 euros.</w:t>
      </w:r>
      <w:r w:rsidRPr="009C44C1">
        <w:t xml:space="preserve"> </w:t>
      </w:r>
      <w:r>
        <w:t xml:space="preserve">Asimismo, sería necesario la aprobación por la Junta General de la Sociedad. </w:t>
      </w:r>
    </w:p>
    <w:p w14:paraId="03F1CB3F" w14:textId="77777777" w:rsidR="00F87E58" w:rsidRDefault="00F87E58" w:rsidP="00F87E58">
      <w:pPr>
        <w:pStyle w:val="texto"/>
      </w:pPr>
      <w:r w:rsidRPr="007A4C4B">
        <w:t>Esta</w:t>
      </w:r>
      <w:r>
        <w:t>s</w:t>
      </w:r>
      <w:r w:rsidRPr="007A4C4B">
        <w:t xml:space="preserve"> limitaci</w:t>
      </w:r>
      <w:r>
        <w:t>ones</w:t>
      </w:r>
      <w:r w:rsidRPr="007A4C4B">
        <w:t xml:space="preserve"> ha</w:t>
      </w:r>
      <w:r>
        <w:t>n</w:t>
      </w:r>
      <w:r w:rsidRPr="007A4C4B">
        <w:t xml:space="preserve"> impedido </w:t>
      </w:r>
      <w:r w:rsidRPr="00C372CC">
        <w:t xml:space="preserve">capitalizar </w:t>
      </w:r>
      <w:r w:rsidR="002F34AD" w:rsidRPr="00C372CC">
        <w:t xml:space="preserve">a valor nominal </w:t>
      </w:r>
      <w:r w:rsidRPr="00C372CC">
        <w:t xml:space="preserve">los </w:t>
      </w:r>
      <w:r w:rsidRPr="007A4C4B">
        <w:t xml:space="preserve">56,80 millones concedidos como préstamos participativos. </w:t>
      </w:r>
    </w:p>
    <w:p w14:paraId="6E0EDDD1" w14:textId="77777777" w:rsidR="00F87E58" w:rsidRDefault="002523A8" w:rsidP="005E4FA5">
      <w:pPr>
        <w:pStyle w:val="texto"/>
        <w:rPr>
          <w:szCs w:val="26"/>
        </w:rPr>
      </w:pPr>
      <w:r>
        <w:rPr>
          <w:szCs w:val="26"/>
        </w:rPr>
        <w:lastRenderedPageBreak/>
        <w:t>L</w:t>
      </w:r>
      <w:r w:rsidR="00F87E58">
        <w:rPr>
          <w:szCs w:val="26"/>
        </w:rPr>
        <w:t>a finalidad de la regulación mercantil</w:t>
      </w:r>
      <w:r w:rsidR="00C70954">
        <w:rPr>
          <w:szCs w:val="26"/>
        </w:rPr>
        <w:t xml:space="preserve">, </w:t>
      </w:r>
      <w:r w:rsidR="00F87E58">
        <w:rPr>
          <w:szCs w:val="26"/>
        </w:rPr>
        <w:t xml:space="preserve">al considerar los préstamos participativos como neto </w:t>
      </w:r>
      <w:r w:rsidR="00F87E58" w:rsidRPr="00C372CC">
        <w:rPr>
          <w:szCs w:val="26"/>
        </w:rPr>
        <w:t xml:space="preserve">patrimonial, </w:t>
      </w:r>
      <w:r w:rsidR="00AC4C57" w:rsidRPr="00C372CC">
        <w:rPr>
          <w:szCs w:val="26"/>
        </w:rPr>
        <w:t xml:space="preserve">es </w:t>
      </w:r>
      <w:r w:rsidR="00AD5A79" w:rsidRPr="00C372CC">
        <w:rPr>
          <w:szCs w:val="26"/>
        </w:rPr>
        <w:t>permit</w:t>
      </w:r>
      <w:r w:rsidR="00AC4C57" w:rsidRPr="00C372CC">
        <w:rPr>
          <w:szCs w:val="26"/>
        </w:rPr>
        <w:t xml:space="preserve">ir </w:t>
      </w:r>
      <w:r w:rsidR="00AD5A79" w:rsidRPr="00C372CC">
        <w:rPr>
          <w:szCs w:val="26"/>
        </w:rPr>
        <w:t>un saneamiento a efectos contables</w:t>
      </w:r>
      <w:r>
        <w:rPr>
          <w:szCs w:val="26"/>
        </w:rPr>
        <w:t>. Se da así la</w:t>
      </w:r>
      <w:r w:rsidR="00F87E58" w:rsidRPr="00C372CC">
        <w:rPr>
          <w:szCs w:val="26"/>
        </w:rPr>
        <w:t xml:space="preserve"> </w:t>
      </w:r>
      <w:r w:rsidR="00F87E58" w:rsidRPr="004E14C8">
        <w:rPr>
          <w:szCs w:val="26"/>
        </w:rPr>
        <w:t xml:space="preserve">oportunidad a las empresas de retrasar </w:t>
      </w:r>
      <w:r w:rsidR="00F87E58">
        <w:rPr>
          <w:szCs w:val="26"/>
        </w:rPr>
        <w:t xml:space="preserve">una posible </w:t>
      </w:r>
      <w:r w:rsidR="00F87E58" w:rsidRPr="004E14C8">
        <w:rPr>
          <w:szCs w:val="26"/>
        </w:rPr>
        <w:t>disolución</w:t>
      </w:r>
      <w:r w:rsidR="00F87E58">
        <w:rPr>
          <w:szCs w:val="26"/>
        </w:rPr>
        <w:t xml:space="preserve"> obligatoria</w:t>
      </w:r>
      <w:r>
        <w:rPr>
          <w:szCs w:val="26"/>
        </w:rPr>
        <w:t xml:space="preserve"> facilitando </w:t>
      </w:r>
      <w:r w:rsidR="00F87E58" w:rsidRPr="004E14C8">
        <w:rPr>
          <w:szCs w:val="26"/>
        </w:rPr>
        <w:t>su recuperación</w:t>
      </w:r>
      <w:r>
        <w:rPr>
          <w:szCs w:val="26"/>
        </w:rPr>
        <w:t xml:space="preserve">. No obstante, el objetivo no puede ser, </w:t>
      </w:r>
      <w:r w:rsidR="00F87E58" w:rsidRPr="004E14C8">
        <w:rPr>
          <w:szCs w:val="26"/>
        </w:rPr>
        <w:t xml:space="preserve">mantener esta situación de forma indefinida. </w:t>
      </w:r>
      <w:r w:rsidR="00F87E58">
        <w:rPr>
          <w:szCs w:val="26"/>
        </w:rPr>
        <w:t xml:space="preserve">Parquenasa lleva en esta situación 18 años. </w:t>
      </w:r>
    </w:p>
    <w:p w14:paraId="4B608207" w14:textId="77777777" w:rsidR="00C372CC" w:rsidRPr="004E14C8" w:rsidRDefault="00C372CC" w:rsidP="005E4FA5">
      <w:pPr>
        <w:pStyle w:val="texto"/>
        <w:rPr>
          <w:szCs w:val="26"/>
        </w:rPr>
      </w:pPr>
      <w:r>
        <w:rPr>
          <w:szCs w:val="26"/>
        </w:rPr>
        <w:t xml:space="preserve">Por tanto, con independencia de su tratamiento contable, y considerando la situación financiera de Parquenasa, la realidad es que tales préstamos no van a poder ser devueltos a su vencimiento. </w:t>
      </w:r>
    </w:p>
    <w:p w14:paraId="50691DFC" w14:textId="77777777" w:rsidR="00F87E58" w:rsidRPr="00584F7F" w:rsidRDefault="00F87E58" w:rsidP="00F87E58">
      <w:pPr>
        <w:pStyle w:val="atitulo3"/>
        <w:spacing w:before="240"/>
      </w:pPr>
      <w:r>
        <w:t>C.- Analizar la p</w:t>
      </w:r>
      <w:r w:rsidRPr="00584F7F">
        <w:t xml:space="preserve">osibilidad de intentar reclamar al resto de socios las </w:t>
      </w:r>
      <w:r w:rsidRPr="00AA38CF">
        <w:t>aportaciones</w:t>
      </w:r>
      <w:r w:rsidRPr="00584F7F">
        <w:t xml:space="preserve"> que le hubiera correspondido realizar según el capital social del que son titulares.</w:t>
      </w:r>
    </w:p>
    <w:p w14:paraId="6BB02569" w14:textId="77777777" w:rsidR="00F87E58" w:rsidRPr="001F29D8" w:rsidRDefault="00F87E58" w:rsidP="00F87E58">
      <w:pPr>
        <w:pStyle w:val="texto"/>
        <w:rPr>
          <w:rFonts w:cs="Arial"/>
        </w:rPr>
      </w:pPr>
      <w:r w:rsidRPr="001F29D8">
        <w:rPr>
          <w:rFonts w:cs="Arial"/>
        </w:rPr>
        <w:t>Las aportaciones financieras que Sodena ha realizado a Parquen</w:t>
      </w:r>
      <w:r>
        <w:rPr>
          <w:rFonts w:cs="Arial"/>
        </w:rPr>
        <w:t xml:space="preserve">asa han </w:t>
      </w:r>
      <w:r w:rsidRPr="00C372CC">
        <w:rPr>
          <w:rFonts w:cs="Arial"/>
        </w:rPr>
        <w:t xml:space="preserve">consistido en </w:t>
      </w:r>
      <w:r w:rsidR="002F34AD" w:rsidRPr="00C372CC">
        <w:rPr>
          <w:rFonts w:cs="Arial"/>
        </w:rPr>
        <w:t xml:space="preserve">capital </w:t>
      </w:r>
      <w:r w:rsidR="002F34AD">
        <w:rPr>
          <w:rFonts w:cs="Arial"/>
        </w:rPr>
        <w:t xml:space="preserve">y </w:t>
      </w:r>
      <w:r>
        <w:rPr>
          <w:rFonts w:cs="Arial"/>
        </w:rPr>
        <w:t>préstamos</w:t>
      </w:r>
      <w:r w:rsidRPr="001F29D8">
        <w:rPr>
          <w:rFonts w:cs="Arial"/>
        </w:rPr>
        <w:t>, convirtiéndose desde 2005 en el único socio prestamista de la sociedad. Esta situación tiene su punto de partida en la existencia de los contratos de financiación de 31 de enero y 30 de diciembre de 2005</w:t>
      </w:r>
      <w:r w:rsidR="00D86AAC">
        <w:rPr>
          <w:rFonts w:cs="Arial"/>
        </w:rPr>
        <w:t>,</w:t>
      </w:r>
      <w:r w:rsidRPr="001F29D8">
        <w:rPr>
          <w:rFonts w:cs="Arial"/>
        </w:rPr>
        <w:t xml:space="preserve"> firmados entre Sodena y Parquenasa</w:t>
      </w:r>
      <w:r w:rsidR="002523A8">
        <w:rPr>
          <w:rFonts w:cs="Arial"/>
        </w:rPr>
        <w:t>. Dichos contratos</w:t>
      </w:r>
      <w:r w:rsidRPr="001F29D8">
        <w:rPr>
          <w:rFonts w:cs="Arial"/>
        </w:rPr>
        <w:t xml:space="preserve"> están en vigor, obligan a las partes firmantes y son válidos conforme a la legislación mercantil. </w:t>
      </w:r>
    </w:p>
    <w:p w14:paraId="5F981751" w14:textId="77777777" w:rsidR="00F87E58" w:rsidRPr="00E73F9B" w:rsidRDefault="00F87E58" w:rsidP="00F87E58">
      <w:pPr>
        <w:pStyle w:val="texto"/>
        <w:rPr>
          <w:rFonts w:cs="Arial"/>
        </w:rPr>
      </w:pPr>
      <w:r w:rsidRPr="00E73F9B">
        <w:rPr>
          <w:rFonts w:cs="Arial"/>
        </w:rPr>
        <w:t>No debe olvidarse, asimismo, que la formalización de est</w:t>
      </w:r>
      <w:r>
        <w:rPr>
          <w:rFonts w:cs="Arial"/>
        </w:rPr>
        <w:t>as operaciones financieras fue propuesta</w:t>
      </w:r>
      <w:r w:rsidRPr="00E73F9B">
        <w:rPr>
          <w:rFonts w:cs="Arial"/>
        </w:rPr>
        <w:t xml:space="preserve"> por Sodena para mantener, en atención al interés público, la viabilidad del parque Sendaviva, frente al desinterés de los socios privados por la nula rentabilidad económica de la inversión.</w:t>
      </w:r>
    </w:p>
    <w:p w14:paraId="68C36719" w14:textId="77777777" w:rsidR="00F87E58" w:rsidRPr="001F29D8" w:rsidRDefault="00F87E58" w:rsidP="00F87E58">
      <w:pPr>
        <w:pStyle w:val="texto"/>
        <w:rPr>
          <w:rFonts w:cs="Arial"/>
        </w:rPr>
      </w:pPr>
      <w:r w:rsidRPr="001F29D8">
        <w:rPr>
          <w:rFonts w:cs="Arial"/>
        </w:rPr>
        <w:t>En consecuencia, en nuestra opinión, no existe motivo legal alguno que pueda fundamentar una reclamación de las cantidades prestadas al resto de los socios, ni a los iniciales ni a los posteriores que adquirieron sus participaciones, dado que es de esencia en una sociedad anónima que los socios no responden personalmente de las deudas sociales, tal como se recoge en el artículo 1 del Real Decreto Legislativo 1/2010, de 2 de julio, por el que se aprueba el texto refundido de la Ley de Sociedades de Capital.</w:t>
      </w:r>
    </w:p>
    <w:p w14:paraId="2B5720C5" w14:textId="77777777" w:rsidR="00F87E58" w:rsidRPr="00584F7F" w:rsidRDefault="00F87E58" w:rsidP="00F87E58">
      <w:pPr>
        <w:pStyle w:val="atitulo3"/>
        <w:spacing w:before="240"/>
      </w:pPr>
      <w:r>
        <w:t>D.- Analizar la c</w:t>
      </w:r>
      <w:r w:rsidRPr="00AA38CF">
        <w:t>apitalización</w:t>
      </w:r>
      <w:r w:rsidRPr="00584F7F">
        <w:t xml:space="preserve"> de los créditos otorgados por Sodena y las</w:t>
      </w:r>
      <w:r>
        <w:t xml:space="preserve"> </w:t>
      </w:r>
      <w:r w:rsidRPr="00584F7F">
        <w:t xml:space="preserve">repercusiones que ello tendría </w:t>
      </w:r>
      <w:r>
        <w:t xml:space="preserve">al convertir </w:t>
      </w:r>
      <w:r w:rsidRPr="00584F7F">
        <w:t xml:space="preserve">Parquenasa </w:t>
      </w:r>
      <w:r>
        <w:t xml:space="preserve">en </w:t>
      </w:r>
      <w:r w:rsidRPr="00584F7F">
        <w:t>sociedad pública.</w:t>
      </w:r>
    </w:p>
    <w:p w14:paraId="4890F49E"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Tal y como se ha señalado anteriormente, el contrato de financiación de 30 de diciembre de 2005</w:t>
      </w:r>
      <w:r w:rsidR="002523A8">
        <w:rPr>
          <w:szCs w:val="26"/>
        </w:rPr>
        <w:t>;</w:t>
      </w:r>
      <w:r>
        <w:rPr>
          <w:szCs w:val="26"/>
        </w:rPr>
        <w:t xml:space="preserve"> impedía capitalizar los préstamos participativos por un importe superior al 50 por ciento del capital social, lo que ha imposibilitado a Sodena ostentar la mayoría absoluta en el citado capital y, por lo tanto, la conversión de Parquenasa en sociedad pública.</w:t>
      </w:r>
    </w:p>
    <w:p w14:paraId="7C051D13" w14:textId="77777777" w:rsidR="00F87E58" w:rsidRPr="00CB7B67"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rFonts w:cs="Arial"/>
        </w:rPr>
      </w:pPr>
      <w:r>
        <w:rPr>
          <w:szCs w:val="26"/>
        </w:rPr>
        <w:lastRenderedPageBreak/>
        <w:t xml:space="preserve">No obstante, </w:t>
      </w:r>
      <w:r w:rsidRPr="003C3AAA">
        <w:rPr>
          <w:szCs w:val="26"/>
        </w:rPr>
        <w:t>la venta de la</w:t>
      </w:r>
      <w:r>
        <w:rPr>
          <w:szCs w:val="26"/>
        </w:rPr>
        <w:t xml:space="preserve"> totalidad de la</w:t>
      </w:r>
      <w:r w:rsidRPr="003C3AAA">
        <w:rPr>
          <w:szCs w:val="26"/>
        </w:rPr>
        <w:t xml:space="preserve">s acciones a Nicdo, </w:t>
      </w:r>
      <w:r>
        <w:rPr>
          <w:szCs w:val="26"/>
        </w:rPr>
        <w:t>ha modificado el escenario societario, dado que ahora es Nicdo el socio público en Parquenasa</w:t>
      </w:r>
      <w:r w:rsidR="00232D34">
        <w:rPr>
          <w:szCs w:val="26"/>
        </w:rPr>
        <w:t xml:space="preserve">. Por tanto, </w:t>
      </w:r>
      <w:r>
        <w:rPr>
          <w:rFonts w:cs="Arial"/>
        </w:rPr>
        <w:t xml:space="preserve">Sodena ha </w:t>
      </w:r>
      <w:r w:rsidR="00232D34">
        <w:rPr>
          <w:rFonts w:cs="Arial"/>
        </w:rPr>
        <w:t xml:space="preserve">dejado de ser socio, </w:t>
      </w:r>
      <w:r>
        <w:rPr>
          <w:rFonts w:cs="Arial"/>
        </w:rPr>
        <w:t xml:space="preserve">manteniendo únicamente su condición de prestamista de Parquenasa. </w:t>
      </w:r>
    </w:p>
    <w:p w14:paraId="6B394D46" w14:textId="77777777" w:rsidR="00F87E58" w:rsidRDefault="00F87E58" w:rsidP="00F87E58">
      <w:pPr>
        <w:pStyle w:val="texto"/>
        <w:rPr>
          <w:szCs w:val="26"/>
        </w:rPr>
      </w:pPr>
      <w:r>
        <w:rPr>
          <w:szCs w:val="26"/>
        </w:rPr>
        <w:t xml:space="preserve">Esta </w:t>
      </w:r>
      <w:r w:rsidRPr="003C3AAA">
        <w:rPr>
          <w:szCs w:val="26"/>
        </w:rPr>
        <w:t xml:space="preserve">nueva </w:t>
      </w:r>
      <w:r>
        <w:rPr>
          <w:szCs w:val="26"/>
        </w:rPr>
        <w:t xml:space="preserve">situación le permitiría ahora poder capitalizar los préstamos participativos de los que es titular, </w:t>
      </w:r>
      <w:r w:rsidRPr="003C3AAA">
        <w:rPr>
          <w:szCs w:val="26"/>
        </w:rPr>
        <w:t xml:space="preserve">hasta </w:t>
      </w:r>
      <w:r>
        <w:rPr>
          <w:szCs w:val="26"/>
        </w:rPr>
        <w:t>alcanzar un máximo d</w:t>
      </w:r>
      <w:r w:rsidRPr="003C3AAA">
        <w:rPr>
          <w:szCs w:val="26"/>
        </w:rPr>
        <w:t>el 50 por ciento</w:t>
      </w:r>
      <w:r>
        <w:rPr>
          <w:szCs w:val="26"/>
        </w:rPr>
        <w:t xml:space="preserve"> del accionariado, siempre y cuando la Junta General de la sociedad autorizase dicha capitalización, dado que el contrato de financiación de 30 de diciembre de 2005 sigue vigente.</w:t>
      </w:r>
    </w:p>
    <w:p w14:paraId="10565B83" w14:textId="77777777" w:rsidR="00F87E58" w:rsidRPr="003C3AAA" w:rsidRDefault="00F87E58" w:rsidP="00F87E58">
      <w:pPr>
        <w:pStyle w:val="texto"/>
        <w:rPr>
          <w:szCs w:val="26"/>
        </w:rPr>
      </w:pPr>
      <w:r w:rsidRPr="003C3AAA">
        <w:rPr>
          <w:szCs w:val="26"/>
        </w:rPr>
        <w:t xml:space="preserve">En el supuesto de </w:t>
      </w:r>
      <w:r>
        <w:rPr>
          <w:szCs w:val="26"/>
        </w:rPr>
        <w:t>llevarse a efecto l</w:t>
      </w:r>
      <w:r w:rsidRPr="003C3AAA">
        <w:rPr>
          <w:szCs w:val="26"/>
        </w:rPr>
        <w:t xml:space="preserve">a capitalización, Sodena </w:t>
      </w:r>
      <w:r>
        <w:rPr>
          <w:szCs w:val="26"/>
        </w:rPr>
        <w:t xml:space="preserve">volvería a ser socio, dándose el efecto de conversión de Parquenasa en sociedad pública, al ser la participación pública (de Nicdo y Sodena) </w:t>
      </w:r>
      <w:r w:rsidRPr="003C3AAA">
        <w:rPr>
          <w:szCs w:val="26"/>
        </w:rPr>
        <w:t xml:space="preserve">mayoritaria. </w:t>
      </w:r>
    </w:p>
    <w:p w14:paraId="5C01656A" w14:textId="77777777" w:rsidR="00F87E58" w:rsidRDefault="00F87E58" w:rsidP="00F87E58">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9"/>
        <w:rPr>
          <w:szCs w:val="26"/>
        </w:rPr>
      </w:pPr>
      <w:r>
        <w:rPr>
          <w:szCs w:val="26"/>
        </w:rPr>
        <w:t>Si Parquenasa se convirtiese en una sociedad pública integrante del sector público empresarial de la Administración de la Comunidad Foral de Navarra, estaría obligada al cumplimiento de las normas de derecho público aplicables al mencionado sector, entre las que cabe citar las que hemos destacado como más relevantes en el apartado 2.6.2 del Apéndice 2 de este informe.</w:t>
      </w:r>
    </w:p>
    <w:p w14:paraId="3C9C6F85"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 xml:space="preserve">El socio público de la sociedad ha asumido su gestión a través de la figura del administrador único, así como el apoyo financiero desde 2005 y la totalidad de los riesgos. Consideramos que esta situación no es coherente con la condición de Parquenasa como sociedad privada. </w:t>
      </w:r>
    </w:p>
    <w:p w14:paraId="586F1D41" w14:textId="77777777" w:rsidR="00F87E58" w:rsidRDefault="00F87E58" w:rsidP="00F87E58">
      <w:pPr>
        <w:pStyle w:val="texto"/>
        <w:rPr>
          <w:szCs w:val="26"/>
        </w:rPr>
      </w:pPr>
      <w:r>
        <w:rPr>
          <w:szCs w:val="26"/>
        </w:rPr>
        <w:t>Por todo lo anterior</w:t>
      </w:r>
      <w:r w:rsidRPr="00C70954">
        <w:rPr>
          <w:i/>
          <w:szCs w:val="26"/>
        </w:rPr>
        <w:t>,</w:t>
      </w:r>
      <w:r w:rsidRPr="00E83417">
        <w:rPr>
          <w:szCs w:val="26"/>
        </w:rPr>
        <w:t xml:space="preserve"> recomendamos</w:t>
      </w:r>
      <w:r w:rsidRPr="00886F83">
        <w:rPr>
          <w:i/>
          <w:szCs w:val="26"/>
        </w:rPr>
        <w:t>:</w:t>
      </w:r>
    </w:p>
    <w:p w14:paraId="39C21B95" w14:textId="77777777" w:rsidR="00FC135F" w:rsidRPr="00C372CC" w:rsidRDefault="00F87E58" w:rsidP="00B946F5">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i/>
          <w:szCs w:val="26"/>
        </w:rPr>
      </w:pPr>
      <w:r w:rsidRPr="00C372CC">
        <w:rPr>
          <w:i/>
          <w:szCs w:val="26"/>
        </w:rPr>
        <w:t>Anali</w:t>
      </w:r>
      <w:r w:rsidR="001A6C6C" w:rsidRPr="00C372CC">
        <w:rPr>
          <w:i/>
          <w:szCs w:val="26"/>
        </w:rPr>
        <w:t xml:space="preserve">zar ante la permanente y estructural situación deficitaria de Parquenasa, </w:t>
      </w:r>
      <w:r w:rsidR="00FC135F" w:rsidRPr="00C372CC">
        <w:rPr>
          <w:i/>
          <w:szCs w:val="26"/>
        </w:rPr>
        <w:t xml:space="preserve">así como la improbable captación de financiación privada, </w:t>
      </w:r>
      <w:r w:rsidR="00E37848" w:rsidRPr="00C372CC">
        <w:rPr>
          <w:i/>
          <w:szCs w:val="26"/>
        </w:rPr>
        <w:t xml:space="preserve">su continuidad </w:t>
      </w:r>
      <w:r w:rsidR="00AC4C57" w:rsidRPr="00C372CC">
        <w:rPr>
          <w:i/>
          <w:szCs w:val="26"/>
        </w:rPr>
        <w:t xml:space="preserve">y viabilidad </w:t>
      </w:r>
      <w:r w:rsidR="00E37848" w:rsidRPr="00C372CC">
        <w:rPr>
          <w:i/>
          <w:szCs w:val="26"/>
        </w:rPr>
        <w:t>c</w:t>
      </w:r>
      <w:r w:rsidR="001A6C6C" w:rsidRPr="00C372CC">
        <w:rPr>
          <w:i/>
          <w:szCs w:val="26"/>
        </w:rPr>
        <w:t>omo sociedad mercantil privada gestora del proyecto “Senda Viva”</w:t>
      </w:r>
      <w:r w:rsidR="007D2420" w:rsidRPr="00C372CC">
        <w:rPr>
          <w:i/>
          <w:szCs w:val="26"/>
        </w:rPr>
        <w:t xml:space="preserve">. </w:t>
      </w:r>
    </w:p>
    <w:p w14:paraId="66A8FC37" w14:textId="77777777" w:rsidR="00F87E58" w:rsidRPr="007D2420" w:rsidRDefault="00C372CC" w:rsidP="00B946F5">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i/>
          <w:szCs w:val="26"/>
        </w:rPr>
      </w:pPr>
      <w:r>
        <w:rPr>
          <w:i/>
          <w:szCs w:val="26"/>
        </w:rPr>
        <w:t>A</w:t>
      </w:r>
      <w:r w:rsidR="00F87E58" w:rsidRPr="007D2420">
        <w:rPr>
          <w:i/>
          <w:szCs w:val="26"/>
        </w:rPr>
        <w:t xml:space="preserve">nalizar </w:t>
      </w:r>
      <w:r>
        <w:rPr>
          <w:i/>
          <w:szCs w:val="26"/>
        </w:rPr>
        <w:t xml:space="preserve">con </w:t>
      </w:r>
      <w:r w:rsidR="00F87E58" w:rsidRPr="007D2420">
        <w:rPr>
          <w:i/>
          <w:szCs w:val="26"/>
        </w:rPr>
        <w:t>los socios privados la enajenación de sus respectivas participaciones a Nicdo por un precio simbólico, adquiriendo la condición de sociedad pública.</w:t>
      </w:r>
    </w:p>
    <w:p w14:paraId="7BE0C90E"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i/>
          <w:szCs w:val="26"/>
        </w:rPr>
      </w:pPr>
      <w:r>
        <w:rPr>
          <w:i/>
          <w:szCs w:val="26"/>
        </w:rPr>
        <w:t>Alternativamente, plantear a Parquenasa la capitalización de la totalidad o parte de los préstamos participativos de los que es titular Sodena</w:t>
      </w:r>
      <w:r w:rsidR="00FC135F">
        <w:rPr>
          <w:i/>
          <w:szCs w:val="26"/>
        </w:rPr>
        <w:t>,</w:t>
      </w:r>
      <w:r>
        <w:rPr>
          <w:i/>
          <w:szCs w:val="26"/>
        </w:rPr>
        <w:t xml:space="preserve"> </w:t>
      </w:r>
      <w:r w:rsidR="00232D34">
        <w:rPr>
          <w:i/>
          <w:szCs w:val="26"/>
        </w:rPr>
        <w:t>para que</w:t>
      </w:r>
      <w:r>
        <w:rPr>
          <w:i/>
          <w:szCs w:val="26"/>
        </w:rPr>
        <w:t xml:space="preserve"> la participación pública de forma conjunta consiga la mayoría del capital social, convirtiéndose, en sociedad pública. </w:t>
      </w:r>
    </w:p>
    <w:p w14:paraId="798E20AF" w14:textId="77777777" w:rsidR="00F87E58" w:rsidRDefault="00F87E58" w:rsidP="00F87E58">
      <w:pPr>
        <w:pStyle w:val="atitulo1"/>
      </w:pPr>
      <w:bookmarkStart w:id="8" w:name="_Toc133322328"/>
      <w:bookmarkStart w:id="9" w:name="_Toc146017568"/>
      <w:bookmarkStart w:id="10" w:name="_Toc149803646"/>
      <w:r>
        <w:lastRenderedPageBreak/>
        <w:t>IV</w:t>
      </w:r>
      <w:bookmarkEnd w:id="8"/>
      <w:r>
        <w:t>. Responsabilidad de Sodena</w:t>
      </w:r>
      <w:bookmarkEnd w:id="9"/>
      <w:bookmarkEnd w:id="10"/>
    </w:p>
    <w:p w14:paraId="5C88CA7D" w14:textId="77777777" w:rsidR="00F87E58" w:rsidRDefault="00F87E58" w:rsidP="00F87E58">
      <w:pPr>
        <w:pStyle w:val="texto"/>
      </w:pPr>
      <w:r>
        <w:t xml:space="preserve">Sodena ha sido la responsable de garantizar que sus actividades y operaciones realizadas con Parquenasa resultan conformes con la legislación mercantil aplicable, así como de garantizar la buena gestión de los fondos públicos. </w:t>
      </w:r>
    </w:p>
    <w:p w14:paraId="06CD136D" w14:textId="77777777" w:rsidR="00F87E58" w:rsidRDefault="00F87E58" w:rsidP="00F87E58">
      <w:pPr>
        <w:spacing w:after="0"/>
        <w:ind w:firstLine="0"/>
        <w:jc w:val="left"/>
        <w:rPr>
          <w:rFonts w:ascii="Arial" w:hAnsi="Arial"/>
          <w:b/>
          <w:color w:val="000000"/>
          <w:kern w:val="28"/>
          <w:sz w:val="25"/>
          <w:szCs w:val="26"/>
        </w:rPr>
      </w:pPr>
      <w:bookmarkStart w:id="11" w:name="_Toc133322329"/>
      <w:r>
        <w:br w:type="page"/>
      </w:r>
    </w:p>
    <w:p w14:paraId="046EF34D" w14:textId="77777777" w:rsidR="00F87E58" w:rsidRDefault="00F87E58" w:rsidP="00F87E58">
      <w:pPr>
        <w:pStyle w:val="atitulo1"/>
      </w:pPr>
      <w:bookmarkStart w:id="12" w:name="_Toc146017569"/>
      <w:bookmarkStart w:id="13" w:name="_Toc149803647"/>
      <w:r>
        <w:lastRenderedPageBreak/>
        <w:t xml:space="preserve">V. </w:t>
      </w:r>
      <w:bookmarkEnd w:id="11"/>
      <w:r>
        <w:t>Responsabilidad de la Cámara de Comptos</w:t>
      </w:r>
      <w:bookmarkEnd w:id="12"/>
      <w:bookmarkEnd w:id="13"/>
    </w:p>
    <w:p w14:paraId="2F787504" w14:textId="77777777" w:rsidR="00F87E58" w:rsidRDefault="00F87E58" w:rsidP="00F87E58">
      <w:pPr>
        <w:pStyle w:val="texto"/>
      </w:pPr>
      <w:r w:rsidRPr="00D11B5E">
        <w:t xml:space="preserve">Nuestra responsabilidad es expresar unas conclusiones basadas en </w:t>
      </w:r>
      <w:r>
        <w:t xml:space="preserve">la </w:t>
      </w:r>
      <w:r w:rsidRPr="00D11B5E">
        <w:t>fiscalización en relación con la</w:t>
      </w:r>
      <w:r>
        <w:t>s aportaciones financieras realizadas por Sodena a Parquenasa, de conformidad con el contenido de la petición parlamentaria.</w:t>
      </w:r>
    </w:p>
    <w:p w14:paraId="3B2DDC17" w14:textId="77777777" w:rsidR="00F87E58" w:rsidRPr="00D11B5E" w:rsidRDefault="00F87E58" w:rsidP="00F87E58">
      <w:pPr>
        <w:pStyle w:val="texto"/>
      </w:pPr>
      <w:r w:rsidRPr="00D11B5E">
        <w:t>Para ello, hemos llevado a cabo la misma de conformidad con los principios fundamentales de fiscalización de las Instituciones Públicas de Control Externo, establecidos en las ISSAI-ES, aplicándose fundamentalmente la ISSAI-ES 400 referida a las fiscalizaciones de cumplimiento, así como las directrices contenidas en la Guías Prácticas de Fiscalización de los Órganos de Control Externo.</w:t>
      </w:r>
    </w:p>
    <w:p w14:paraId="69613CB0" w14:textId="77777777" w:rsidR="00F87E58" w:rsidRPr="00D11B5E" w:rsidRDefault="00F87E58" w:rsidP="00F87E58">
      <w:pPr>
        <w:pStyle w:val="texto"/>
      </w:pPr>
      <w:r w:rsidRPr="00D11B5E">
        <w:t>Dichos principios y directrices exigen que cumplamos los requerimientos de ética, así como que planifiquemos y ejecutemos la fiscalización con el fin de obtener una seguridad razonable de que, la gestión de los recursos públicos resulte, en todos los aspectos significativos, conforme con la normativa vigente. Una fiscalización requiere la aplicación de procedimientos para obtener evidencia de auditoría que fundamenten las conclusiones obtenidas. Consideramos que la evidencia de auditoría que hemos obtenido proporciona una base suficiente y adecuada para fundamentar las conclusiones alcanzadas</w:t>
      </w:r>
      <w:r>
        <w:t>.</w:t>
      </w:r>
    </w:p>
    <w:p w14:paraId="52622013" w14:textId="77777777" w:rsidR="00AD43AE" w:rsidRPr="00493AE6" w:rsidRDefault="00AD43AE" w:rsidP="00AD43AE">
      <w:pPr>
        <w:tabs>
          <w:tab w:val="center" w:pos="2835"/>
          <w:tab w:val="center" w:pos="3969"/>
          <w:tab w:val="center" w:pos="5103"/>
          <w:tab w:val="center" w:pos="6237"/>
          <w:tab w:val="center" w:pos="7371"/>
        </w:tabs>
        <w:ind w:firstLine="284"/>
        <w:rPr>
          <w:spacing w:val="6"/>
          <w:sz w:val="26"/>
          <w:szCs w:val="26"/>
          <w:lang w:val="es-ES" w:eastAsia="es-ES"/>
        </w:rPr>
      </w:pPr>
      <w:r w:rsidRPr="00493AE6">
        <w:rPr>
          <w:spacing w:val="6"/>
          <w:sz w:val="26"/>
          <w:szCs w:val="26"/>
        </w:rPr>
        <w:t xml:space="preserve">Informe que se emite a propuesta del auditor </w:t>
      </w:r>
      <w:r>
        <w:rPr>
          <w:spacing w:val="6"/>
          <w:sz w:val="26"/>
          <w:szCs w:val="26"/>
        </w:rPr>
        <w:t>Miguel Angel Aurrecoechea</w:t>
      </w:r>
      <w:r w:rsidRPr="00493AE6">
        <w:rPr>
          <w:spacing w:val="6"/>
          <w:sz w:val="26"/>
          <w:szCs w:val="26"/>
        </w:rPr>
        <w:t>, responsable de la realización de este trabajo, una vez cumplimentados los trámites previstos por la normativa vigente.</w:t>
      </w:r>
    </w:p>
    <w:p w14:paraId="19756793" w14:textId="77777777" w:rsidR="00AD43AE" w:rsidRDefault="00AD43AE" w:rsidP="00AD43AE">
      <w:pPr>
        <w:pStyle w:val="texto"/>
        <w:tabs>
          <w:tab w:val="left" w:pos="142"/>
        </w:tabs>
        <w:rPr>
          <w:szCs w:val="26"/>
        </w:rPr>
      </w:pPr>
    </w:p>
    <w:p w14:paraId="481330BE" w14:textId="77777777" w:rsidR="00AD43AE" w:rsidRDefault="00AD43AE" w:rsidP="00AD43AE">
      <w:pPr>
        <w:tabs>
          <w:tab w:val="center" w:pos="2835"/>
          <w:tab w:val="center" w:pos="3969"/>
          <w:tab w:val="center" w:pos="5103"/>
          <w:tab w:val="center" w:pos="6237"/>
          <w:tab w:val="center" w:pos="7371"/>
        </w:tabs>
        <w:spacing w:after="0"/>
        <w:ind w:firstLine="284"/>
        <w:jc w:val="center"/>
        <w:rPr>
          <w:i/>
          <w:spacing w:val="6"/>
          <w:sz w:val="22"/>
          <w:szCs w:val="22"/>
        </w:rPr>
      </w:pPr>
      <w:r w:rsidRPr="00493AE6">
        <w:rPr>
          <w:i/>
          <w:spacing w:val="6"/>
          <w:sz w:val="22"/>
          <w:szCs w:val="22"/>
        </w:rPr>
        <w:t>(Firmado digitalmente por Ignacio Cabeza del Salvador, presidente de la Cámara de</w:t>
      </w:r>
    </w:p>
    <w:p w14:paraId="2341C7A9" w14:textId="77777777" w:rsidR="00AD43AE" w:rsidRPr="00493AE6" w:rsidRDefault="00AD43AE" w:rsidP="00AD43AE">
      <w:pPr>
        <w:tabs>
          <w:tab w:val="center" w:pos="2835"/>
          <w:tab w:val="center" w:pos="3969"/>
          <w:tab w:val="center" w:pos="5103"/>
          <w:tab w:val="center" w:pos="6237"/>
          <w:tab w:val="center" w:pos="7371"/>
        </w:tabs>
        <w:spacing w:after="0"/>
        <w:ind w:firstLine="284"/>
        <w:jc w:val="center"/>
        <w:rPr>
          <w:i/>
          <w:spacing w:val="6"/>
          <w:sz w:val="22"/>
          <w:szCs w:val="22"/>
        </w:rPr>
      </w:pPr>
      <w:r w:rsidRPr="00493AE6">
        <w:rPr>
          <w:i/>
          <w:spacing w:val="6"/>
          <w:sz w:val="22"/>
          <w:szCs w:val="22"/>
        </w:rPr>
        <w:t>Comptos de Navarra, en la fecha indicada al margen)</w:t>
      </w:r>
    </w:p>
    <w:p w14:paraId="2D9561AE" w14:textId="77777777" w:rsidR="00F87E58" w:rsidRDefault="00F87E58" w:rsidP="00AD43AE"/>
    <w:p w14:paraId="56D12E65" w14:textId="77777777" w:rsidR="00F87E58" w:rsidRPr="003174AD" w:rsidRDefault="00F87E58" w:rsidP="00F87E58">
      <w:pPr>
        <w:rPr>
          <w:rFonts w:ascii="Arial" w:hAnsi="Arial"/>
          <w:b/>
          <w:color w:val="000000"/>
          <w:kern w:val="28"/>
          <w:sz w:val="22"/>
          <w:szCs w:val="22"/>
        </w:rPr>
      </w:pPr>
      <w:bookmarkStart w:id="14" w:name="_Toc133322333"/>
      <w:r w:rsidRPr="003174AD">
        <w:rPr>
          <w:sz w:val="22"/>
          <w:szCs w:val="22"/>
        </w:rPr>
        <w:br w:type="page"/>
      </w:r>
    </w:p>
    <w:p w14:paraId="31EDBEE5" w14:textId="77777777" w:rsidR="00F87E58" w:rsidRPr="00972476" w:rsidRDefault="00F87E58" w:rsidP="00F87E58">
      <w:pPr>
        <w:pStyle w:val="atitulo1"/>
      </w:pPr>
      <w:bookmarkStart w:id="15" w:name="_Toc146017570"/>
      <w:bookmarkStart w:id="16" w:name="_Toc149803648"/>
      <w:r w:rsidRPr="00972476">
        <w:lastRenderedPageBreak/>
        <w:t>Apéndice 1. Marco regulador</w:t>
      </w:r>
      <w:bookmarkEnd w:id="14"/>
      <w:bookmarkEnd w:id="15"/>
      <w:bookmarkEnd w:id="16"/>
    </w:p>
    <w:p w14:paraId="08C127BE" w14:textId="77777777" w:rsidR="00F87E58" w:rsidRDefault="00F87E58" w:rsidP="00F87E58">
      <w:pPr>
        <w:pStyle w:val="texto"/>
      </w:pPr>
      <w:r w:rsidRPr="00170712">
        <w:t>E</w:t>
      </w:r>
      <w:r>
        <w:t xml:space="preserve">l régimen jurídico aplicable a la presente fiscalización, </w:t>
      </w:r>
      <w:r w:rsidRPr="00FF4AEC">
        <w:t xml:space="preserve">está constituido fundamentalmente por: </w:t>
      </w:r>
    </w:p>
    <w:p w14:paraId="751E619D"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 Foral 1/1984, de 2 de enero, sobre creación de la Sociedad de Desarrollo de Navarra, S.A.</w:t>
      </w:r>
    </w:p>
    <w:p w14:paraId="2993A9B7"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 Foral 17/1985, de 27 de septiembre, del Patrimonio de Navarra</w:t>
      </w:r>
      <w:r w:rsidR="00886F83">
        <w:rPr>
          <w:rFonts w:cs="Arial"/>
        </w:rPr>
        <w:t>.</w:t>
      </w:r>
      <w:r w:rsidRPr="00D11B5E">
        <w:rPr>
          <w:rFonts w:cs="Arial"/>
        </w:rPr>
        <w:t xml:space="preserve"> </w:t>
      </w:r>
    </w:p>
    <w:p w14:paraId="20E297B1"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 Foral 14/2007, de 4 de abril, del Patrimonio de Navarra</w:t>
      </w:r>
      <w:r w:rsidR="00886F83">
        <w:rPr>
          <w:rFonts w:cs="Arial"/>
        </w:rPr>
        <w:t>.</w:t>
      </w:r>
      <w:r w:rsidRPr="00D11B5E">
        <w:rPr>
          <w:rFonts w:cs="Arial"/>
        </w:rPr>
        <w:t xml:space="preserve"> </w:t>
      </w:r>
    </w:p>
    <w:p w14:paraId="2FE21C58"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 Foral 13/2007, de 4 de abril, de la Hacienda Pública de Navarra</w:t>
      </w:r>
      <w:r w:rsidR="00886F83">
        <w:rPr>
          <w:rFonts w:cs="Arial"/>
        </w:rPr>
        <w:t>.</w:t>
      </w:r>
      <w:r w:rsidRPr="00D11B5E">
        <w:rPr>
          <w:rFonts w:cs="Arial"/>
        </w:rPr>
        <w:t xml:space="preserve"> </w:t>
      </w:r>
    </w:p>
    <w:p w14:paraId="10663AE8"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 Foral 15/2004, de 3 de diciembre, de la Administración de la Comunidad Foral de Navarra.</w:t>
      </w:r>
    </w:p>
    <w:p w14:paraId="3CEE8F14"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 Foral 11/2019, de 11 de marzo, de la Administración de la Comunidad Foral de Navarra y del sector público institucional foral.</w:t>
      </w:r>
    </w:p>
    <w:p w14:paraId="26F3BFF8"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 Foral 8/2009, de 18 de junio, de creación de la sociedad Corporación Pública Empresarial de Navarra, S.L.U.</w:t>
      </w:r>
    </w:p>
    <w:p w14:paraId="70184E6E"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 Foral 10/2014, de 16 de mayo, de modificación de la LFHP</w:t>
      </w:r>
      <w:r w:rsidR="00886F83">
        <w:rPr>
          <w:rFonts w:cs="Arial"/>
        </w:rPr>
        <w:t>.</w:t>
      </w:r>
    </w:p>
    <w:p w14:paraId="6F85BAC8"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 Foral 19/2014, de 28 de octubre, que añadió a la misma una disposición transitoria única a la LF 10/2014</w:t>
      </w:r>
      <w:r w:rsidR="00886F83">
        <w:rPr>
          <w:rFonts w:cs="Arial"/>
        </w:rPr>
        <w:t>.</w:t>
      </w:r>
    </w:p>
    <w:p w14:paraId="785B8F5A"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Leyes forales de presupuestos generales de Navarra, principalmente de los años 2014 a 202</w:t>
      </w:r>
      <w:r>
        <w:rPr>
          <w:rFonts w:cs="Arial"/>
        </w:rPr>
        <w:t>3</w:t>
      </w:r>
      <w:r w:rsidRPr="00D11B5E">
        <w:rPr>
          <w:rFonts w:cs="Arial"/>
        </w:rPr>
        <w:t xml:space="preserve"> y sus modificaciones.</w:t>
      </w:r>
    </w:p>
    <w:p w14:paraId="6B9763E8" w14:textId="77777777" w:rsidR="00F87E58" w:rsidRPr="00F7326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 xml:space="preserve">Decreto Foral 68/1984 de constitución de Sodena, S.A., modificado por </w:t>
      </w:r>
      <w:r>
        <w:rPr>
          <w:rFonts w:cs="Arial"/>
        </w:rPr>
        <w:t xml:space="preserve">el </w:t>
      </w:r>
      <w:r w:rsidRPr="00D11B5E">
        <w:rPr>
          <w:rFonts w:cs="Arial"/>
        </w:rPr>
        <w:t xml:space="preserve">Decreto Foral 109/1984. </w:t>
      </w:r>
    </w:p>
    <w:p w14:paraId="29E0B0FF"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 xml:space="preserve">Decreto Foral 216/2019, de 11 de septiembre, por el que se regula el procedimiento de autorización individual del Gobierno de Navarra para el otorgamiento de avales y concesión de préstamos por parte de las sociedades públicas. </w:t>
      </w:r>
    </w:p>
    <w:p w14:paraId="2BF2E7E7"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 xml:space="preserve">Real Decreto de 22 de agosto de 1885, por el que se publica el Código de Comercio. </w:t>
      </w:r>
    </w:p>
    <w:p w14:paraId="20B7446A"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 xml:space="preserve">Real Decreto Legislativo 1564/1989, de 22 de diciembre, por el que se aprueba el Texto Refundido de la Ley de Sociedades Anónimas (vigente hasta el 01 de septiembre de 2010). </w:t>
      </w:r>
    </w:p>
    <w:p w14:paraId="31C85287" w14:textId="77777777" w:rsidR="00F87E58" w:rsidRPr="00F7326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 xml:space="preserve">Real Decreto Legislativo 1/2010, de 2 de julio, por el que se aprueba el texto refundido de la Ley de Sociedades de Capital (vigente desde el 01 de septiembre de 2010). </w:t>
      </w:r>
    </w:p>
    <w:p w14:paraId="6D12CB79"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lastRenderedPageBreak/>
        <w:t xml:space="preserve">Real Decreto 1643/1990, de 20 de diciembre, por el que se aprueba el Plan General de Contabilidad, en los ejercicios 2002 a 2007. </w:t>
      </w:r>
    </w:p>
    <w:p w14:paraId="0514D746"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 xml:space="preserve">Real Decreto 1514/2007, de 16 de noviembre, por el que se aprueba el Plan General de Contabilidad a partir del ejercicio 2008. </w:t>
      </w:r>
    </w:p>
    <w:p w14:paraId="0B9344B7" w14:textId="77777777" w:rsidR="00F87E58" w:rsidRPr="00D11B5E"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D11B5E">
        <w:rPr>
          <w:rFonts w:cs="Arial"/>
        </w:rPr>
        <w:t xml:space="preserve">Estatutos de la sociedad Parque de la Naturaleza S.A. </w:t>
      </w:r>
    </w:p>
    <w:p w14:paraId="2BBFE15F" w14:textId="77777777" w:rsidR="00F87E58" w:rsidRPr="009C44C1"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Pr>
          <w:rFonts w:cs="Arial"/>
        </w:rPr>
        <w:t xml:space="preserve">Acuerdos </w:t>
      </w:r>
      <w:r w:rsidRPr="00D11B5E">
        <w:rPr>
          <w:rFonts w:cs="Arial"/>
        </w:rPr>
        <w:t>firmados entre los socios de la sociedad Parque de la Naturaleza S.A.</w:t>
      </w:r>
      <w:r>
        <w:rPr>
          <w:rFonts w:cs="Arial"/>
        </w:rPr>
        <w:t xml:space="preserve"> y los contratos de financiación entre Sodena y Parquenasa.</w:t>
      </w:r>
    </w:p>
    <w:p w14:paraId="7B35B886" w14:textId="77777777" w:rsidR="00F87E58" w:rsidRDefault="00F87E58" w:rsidP="00F87E58">
      <w:pPr>
        <w:pStyle w:val="atitulo1"/>
      </w:pPr>
      <w:bookmarkStart w:id="17" w:name="_Toc133322335"/>
      <w:r>
        <w:br w:type="page"/>
      </w:r>
      <w:r>
        <w:lastRenderedPageBreak/>
        <w:t xml:space="preserve"> </w:t>
      </w:r>
      <w:bookmarkStart w:id="18" w:name="_Toc146017571"/>
      <w:bookmarkStart w:id="19" w:name="_Toc149803649"/>
      <w:r>
        <w:t>Apéndice 2. Observaciones y hallazgos adicionales de la fiscalización</w:t>
      </w:r>
      <w:bookmarkEnd w:id="17"/>
      <w:r>
        <w:t>.</w:t>
      </w:r>
      <w:bookmarkEnd w:id="18"/>
      <w:bookmarkEnd w:id="19"/>
      <w:r>
        <w:t xml:space="preserve"> </w:t>
      </w:r>
    </w:p>
    <w:p w14:paraId="56F4E3AA" w14:textId="77777777" w:rsidR="00F87E58" w:rsidRPr="00421BE3" w:rsidRDefault="00F87E58" w:rsidP="00F87E58">
      <w:pPr>
        <w:pStyle w:val="atitulo2"/>
      </w:pPr>
      <w:bookmarkStart w:id="20" w:name="_Toc146017572"/>
      <w:bookmarkStart w:id="21" w:name="_Toc149803650"/>
      <w:r>
        <w:t>2.1</w:t>
      </w:r>
      <w:r w:rsidRPr="00421BE3">
        <w:t xml:space="preserve"> Sociedad de Desarrollo de Navarra S.L.</w:t>
      </w:r>
      <w:bookmarkEnd w:id="20"/>
      <w:bookmarkEnd w:id="21"/>
    </w:p>
    <w:p w14:paraId="0BCEDBAF" w14:textId="77777777" w:rsidR="00F87E58" w:rsidRPr="00E52DFC" w:rsidRDefault="00F87E58" w:rsidP="00F87E58">
      <w:pPr>
        <w:pStyle w:val="atitulo3"/>
      </w:pPr>
      <w:r w:rsidRPr="00E52DFC">
        <w:t>2.1.1 Aspectos generales.</w:t>
      </w:r>
    </w:p>
    <w:p w14:paraId="19CE83C5" w14:textId="77777777" w:rsidR="00F87E58" w:rsidRPr="00E52DFC" w:rsidRDefault="00F87E58" w:rsidP="00F87E58">
      <w:pPr>
        <w:pStyle w:val="texto"/>
      </w:pPr>
      <w:bookmarkStart w:id="22" w:name="_Toc19535157"/>
      <w:r w:rsidRPr="00E52DFC">
        <w:t>Sodena es el instrumento de apoyo financiero del Gobierno de Navarra para la captación y desarrollo de proyectos empresariales de valor añadido para la Comunidad Foral.</w:t>
      </w:r>
    </w:p>
    <w:p w14:paraId="22A1E313" w14:textId="77777777" w:rsidR="00F87E58" w:rsidRDefault="00F87E58" w:rsidP="00F87E58">
      <w:pPr>
        <w:pStyle w:val="texto"/>
      </w:pPr>
      <w:r>
        <w:t>S</w:t>
      </w:r>
      <w:r w:rsidRPr="00E52DFC">
        <w:t xml:space="preserve">u creación como sociedad mercantil se realizó en 1984 con la aprobación de la Ley Foral 1/1984, de 2 de enero, sobre creación de la </w:t>
      </w:r>
      <w:r>
        <w:t>Sociedad de Desarrollo de N</w:t>
      </w:r>
      <w:r w:rsidRPr="00E52DFC">
        <w:t>avarra (inicialmente con forma</w:t>
      </w:r>
      <w:r>
        <w:t xml:space="preserve"> jurídica de sociedad anónima). </w:t>
      </w:r>
    </w:p>
    <w:p w14:paraId="379126D2" w14:textId="77777777" w:rsidR="00F87E58" w:rsidRPr="00E52DFC" w:rsidRDefault="00F87E58" w:rsidP="00F87E58">
      <w:pPr>
        <w:pStyle w:val="texto"/>
      </w:pPr>
      <w:r>
        <w:t>T</w:t>
      </w:r>
      <w:r w:rsidRPr="00E52DFC">
        <w:t>ras el proceso de reestructuración del sector público en Navarra, es la compañía resultante en noviembre de 2011 de un proceso de fusión de cuatro sociedades p</w:t>
      </w:r>
      <w:r>
        <w:t xml:space="preserve">úblicas del Gobierno de Navarra, y realiza </w:t>
      </w:r>
      <w:r w:rsidRPr="00E52DFC">
        <w:t xml:space="preserve">su actividad bajo la forma jurídica de sociedad de responsabilidad limitada, participada por su socio único, </w:t>
      </w:r>
      <w:r>
        <w:t>CPEN</w:t>
      </w:r>
      <w:r w:rsidRPr="00E52DFC">
        <w:t xml:space="preserve">. </w:t>
      </w:r>
    </w:p>
    <w:p w14:paraId="568B14BD" w14:textId="77777777" w:rsidR="00F87E58" w:rsidRPr="003B7F55" w:rsidRDefault="00F87E58" w:rsidP="00F87E58">
      <w:pPr>
        <w:pStyle w:val="atitulo3"/>
        <w:spacing w:before="240"/>
      </w:pPr>
      <w:r>
        <w:t>2.1</w:t>
      </w:r>
      <w:r w:rsidRPr="003B7F55">
        <w:t>.2 Instrumentos financieros</w:t>
      </w:r>
    </w:p>
    <w:p w14:paraId="30A77752" w14:textId="77777777" w:rsidR="00F87E58" w:rsidRDefault="00F87E58" w:rsidP="00F87E58">
      <w:pPr>
        <w:pStyle w:val="texto"/>
      </w:pPr>
      <w:r w:rsidRPr="000143EB">
        <w:t xml:space="preserve">Los principales instrumentos financieros </w:t>
      </w:r>
      <w:r>
        <w:t>empleados por Sodena para finan</w:t>
      </w:r>
      <w:r w:rsidRPr="000143EB">
        <w:t>ciar proyectos de inversión son los siguientes:</w:t>
      </w:r>
    </w:p>
    <w:p w14:paraId="23994468" w14:textId="77777777" w:rsidR="006F6FD3" w:rsidRPr="00C372CC" w:rsidRDefault="006F6FD3" w:rsidP="006F6FD3">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bCs/>
          <w:szCs w:val="26"/>
        </w:rPr>
      </w:pPr>
      <w:r w:rsidRPr="00C372CC">
        <w:rPr>
          <w:bCs/>
          <w:szCs w:val="26"/>
        </w:rPr>
        <w:t>Participación en el capital de empresas cuya creación promueva o en aquellas ya existentes que lo amplíen, así como en las que se fusionen o reestructuren.</w:t>
      </w:r>
    </w:p>
    <w:p w14:paraId="49E2056D" w14:textId="77777777" w:rsidR="00F87E58" w:rsidRPr="00C372CC" w:rsidRDefault="006F6FD3" w:rsidP="00B946F5">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pPr>
      <w:r w:rsidRPr="00C372CC">
        <w:rPr>
          <w:bCs/>
          <w:szCs w:val="26"/>
        </w:rPr>
        <w:t xml:space="preserve">Concesión de préstamos simples y préstamos participativos. Las principales características de estos últimos son: </w:t>
      </w:r>
      <w:r w:rsidR="00F87E58" w:rsidRPr="00C372CC">
        <w:t xml:space="preserve"> </w:t>
      </w:r>
    </w:p>
    <w:p w14:paraId="7EF6F08C" w14:textId="77777777" w:rsidR="00F87E58" w:rsidRPr="000F4C92"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sidRPr="000C009C">
        <w:rPr>
          <w:color w:val="000000"/>
          <w:szCs w:val="26"/>
        </w:rPr>
        <w:t xml:space="preserve">Interés compuesto por un </w:t>
      </w:r>
      <w:r w:rsidRPr="000F4C92">
        <w:rPr>
          <w:szCs w:val="26"/>
        </w:rPr>
        <w:t xml:space="preserve">componente fijo y un componente variable ligado a indicadores del negocio de la empresa. </w:t>
      </w:r>
    </w:p>
    <w:p w14:paraId="627735C6" w14:textId="77777777" w:rsidR="00F87E58" w:rsidRPr="000F4C92"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Pr>
          <w:szCs w:val="26"/>
        </w:rPr>
        <w:t xml:space="preserve">Posibilidad de ser amortizados de forma anticipada mediante su capitalización, es decir si dicha amortización se compensa con una ampliación de igual cuantía de sus fondos propios. </w:t>
      </w:r>
    </w:p>
    <w:p w14:paraId="1256E425" w14:textId="77777777" w:rsidR="00F87E58" w:rsidRPr="000F4C92"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sidRPr="000F4C92">
        <w:rPr>
          <w:szCs w:val="26"/>
        </w:rPr>
        <w:t>Se sitúan, en orden a la prelación de créditos, desp</w:t>
      </w:r>
      <w:r>
        <w:rPr>
          <w:szCs w:val="26"/>
        </w:rPr>
        <w:t xml:space="preserve">ués de los acreedores comunes. </w:t>
      </w:r>
    </w:p>
    <w:p w14:paraId="2A7B128B" w14:textId="77777777" w:rsidR="00F87E58" w:rsidRPr="003E759E"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color w:val="000000"/>
          <w:szCs w:val="26"/>
        </w:rPr>
      </w:pPr>
      <w:r>
        <w:rPr>
          <w:szCs w:val="26"/>
        </w:rPr>
        <w:t>Se consideran patrimonio neto a los efectos de la obligación de reducir capital, o de disolución de la sociedad, previstos en la legislación mercantil.</w:t>
      </w:r>
    </w:p>
    <w:p w14:paraId="4E8333B0" w14:textId="77777777" w:rsidR="00F87E58" w:rsidRPr="00421BE3" w:rsidRDefault="00F87E58" w:rsidP="00F87E58">
      <w:pPr>
        <w:pStyle w:val="atitulo2"/>
      </w:pPr>
      <w:bookmarkStart w:id="23" w:name="_Toc146017573"/>
      <w:bookmarkStart w:id="24" w:name="_Toc149803651"/>
      <w:r w:rsidRPr="00421BE3">
        <w:lastRenderedPageBreak/>
        <w:t>2.2 Parque de la Naturaleza S.A.</w:t>
      </w:r>
      <w:bookmarkEnd w:id="23"/>
      <w:bookmarkEnd w:id="24"/>
      <w:r w:rsidRPr="00421BE3">
        <w:t xml:space="preserve"> </w:t>
      </w:r>
    </w:p>
    <w:p w14:paraId="1A62D4EF" w14:textId="77777777" w:rsidR="00F87E58" w:rsidRPr="00D5571A" w:rsidRDefault="00F87E58" w:rsidP="00F87E58">
      <w:pPr>
        <w:pStyle w:val="atitulo3"/>
      </w:pPr>
      <w:r>
        <w:t>2.2.1</w:t>
      </w:r>
      <w:r w:rsidRPr="00D5571A">
        <w:t xml:space="preserve"> </w:t>
      </w:r>
      <w:r>
        <w:t xml:space="preserve">Antecedentes del proyecto del parque y aspectos generales de la sociedad </w:t>
      </w:r>
    </w:p>
    <w:p w14:paraId="5C8FA12D" w14:textId="77777777" w:rsidR="00F87E58" w:rsidRDefault="00F87E58" w:rsidP="00F87E58">
      <w:pPr>
        <w:pStyle w:val="texto"/>
        <w:spacing w:after="240"/>
      </w:pPr>
      <w:r w:rsidRPr="000143EB">
        <w:t xml:space="preserve">El proyecto de un parque de la naturaleza </w:t>
      </w:r>
      <w:r>
        <w:t xml:space="preserve">(Senda Viva) </w:t>
      </w:r>
      <w:r w:rsidRPr="000143EB">
        <w:t>en el municipio de Arguedas fue iniciado y promovido por el Gobierno de Navarra con el objetivo de fortalecer el sector turístico de Navarra. Para la implantación de este proyecto</w:t>
      </w:r>
      <w:r w:rsidRPr="002952F1">
        <w:t xml:space="preserve">, </w:t>
      </w:r>
      <w:r>
        <w:t xml:space="preserve">con una inversión prevista inicialmente </w:t>
      </w:r>
      <w:r w:rsidRPr="002952F1">
        <w:t>en 18,65 millones, se constituyó el 23 de noviembre de 2001 la sociedad mer</w:t>
      </w:r>
      <w:r>
        <w:t xml:space="preserve">cantil con forma de sociedad anónima Parquenasa, </w:t>
      </w:r>
      <w:r w:rsidRPr="000143EB">
        <w:t>c</w:t>
      </w:r>
      <w:r>
        <w:t>on un capital de nueve millones</w:t>
      </w:r>
      <w:r w:rsidRPr="000143EB">
        <w:t xml:space="preserve">. </w:t>
      </w:r>
    </w:p>
    <w:p w14:paraId="0D2718B6" w14:textId="77777777" w:rsidR="00F87E58" w:rsidRPr="002C505E" w:rsidRDefault="00F87E58" w:rsidP="00F87E58">
      <w:pPr>
        <w:pStyle w:val="atitulo3"/>
        <w:spacing w:before="240"/>
        <w:rPr>
          <w:szCs w:val="25"/>
        </w:rPr>
      </w:pPr>
      <w:r w:rsidRPr="002C505E">
        <w:rPr>
          <w:szCs w:val="25"/>
        </w:rPr>
        <w:t>Capital social y composición societaria</w:t>
      </w:r>
    </w:p>
    <w:p w14:paraId="2FEBBE08" w14:textId="77777777" w:rsidR="00F87E58" w:rsidRDefault="00F87E58" w:rsidP="00F87E58">
      <w:pPr>
        <w:pStyle w:val="texto"/>
      </w:pPr>
      <w:r w:rsidRPr="000143EB">
        <w:t>Sodena participó en su constitución junto con otros cuatro socios, apo</w:t>
      </w:r>
      <w:r>
        <w:t>rtando 4,05 millones</w:t>
      </w:r>
      <w:r w:rsidRPr="000143EB">
        <w:t>, el 45 por ciento del capital</w:t>
      </w:r>
      <w:r>
        <w:t>,</w:t>
      </w:r>
      <w:r w:rsidRPr="000143EB">
        <w:t xml:space="preserve"> y firmó un compromiso de permanencia en la empresa de ocho años, hasta 2009. </w:t>
      </w:r>
    </w:p>
    <w:p w14:paraId="01E6106D" w14:textId="77777777" w:rsidR="00F87E58" w:rsidRDefault="00F87E58" w:rsidP="00F87E58">
      <w:pPr>
        <w:pStyle w:val="texto"/>
      </w:pPr>
      <w:r>
        <w:t xml:space="preserve">El límite </w:t>
      </w:r>
      <w:r w:rsidRPr="009529FA">
        <w:t>máximo</w:t>
      </w:r>
      <w:r>
        <w:t xml:space="preserve"> de participación en el capital de las empresas y la permanencia como socio se establecen en la </w:t>
      </w:r>
      <w:r w:rsidRPr="00686962">
        <w:t>L</w:t>
      </w:r>
      <w:r>
        <w:t xml:space="preserve">ey </w:t>
      </w:r>
      <w:r w:rsidRPr="00686962">
        <w:t>F</w:t>
      </w:r>
      <w:r>
        <w:t>oral</w:t>
      </w:r>
      <w:r w:rsidRPr="00686962">
        <w:t xml:space="preserve"> 1/1984 de 2 de enero, </w:t>
      </w:r>
      <w:r>
        <w:t xml:space="preserve">en concreto, en su artículo 6.1. que establece lo siguiente </w:t>
      </w:r>
      <w:r w:rsidRPr="00686962">
        <w:t>“</w:t>
      </w:r>
      <w:r w:rsidRPr="00686962">
        <w:rPr>
          <w:i/>
        </w:rPr>
        <w:t>Sodena podrá participar en el ca</w:t>
      </w:r>
      <w:r>
        <w:rPr>
          <w:i/>
        </w:rPr>
        <w:t>pital de las sociedades.</w:t>
      </w:r>
      <w:r w:rsidRPr="00686962">
        <w:rPr>
          <w:i/>
        </w:rPr>
        <w:t>.. en un porcentaje comprendido entre un 5% como mínimo y un 45% como máximo y durante un plazo máximo de 10 años</w:t>
      </w:r>
      <w:r>
        <w:rPr>
          <w:rStyle w:val="Refdenotaalpie"/>
          <w:i/>
        </w:rPr>
        <w:footnoteReference w:id="1"/>
      </w:r>
      <w:r w:rsidRPr="00686962">
        <w:t>.</w:t>
      </w:r>
      <w:r>
        <w:t xml:space="preserve">” Señala en su punto 3 que estas </w:t>
      </w:r>
      <w:r w:rsidRPr="00686962">
        <w:t>limitaci</w:t>
      </w:r>
      <w:r>
        <w:t>ones</w:t>
      </w:r>
      <w:r w:rsidRPr="00686962">
        <w:t xml:space="preserve"> </w:t>
      </w:r>
      <w:r>
        <w:t>“</w:t>
      </w:r>
      <w:r w:rsidRPr="00551C07">
        <w:rPr>
          <w:i/>
        </w:rPr>
        <w:t>podrán ser alterada en casos excepcionales, con la expresa aprobación de la Diputación Foral</w:t>
      </w:r>
      <w:r>
        <w:t>” (actualmente el Gobierno de Navarra).</w:t>
      </w:r>
    </w:p>
    <w:p w14:paraId="7210DF11" w14:textId="77777777" w:rsidR="00F87E58" w:rsidRDefault="00F87E58" w:rsidP="00F87E58">
      <w:pPr>
        <w:pStyle w:val="texto"/>
      </w:pPr>
      <w:r>
        <w:t xml:space="preserve">La primera aprobación expresa sobre una permanencia mayor a diez años no se produjo hasta noviembre de 2016, debiéndose haberse solicitado en el </w:t>
      </w:r>
      <w:r w:rsidRPr="00F011A2">
        <w:t>ejercicio 2</w:t>
      </w:r>
      <w:r w:rsidR="006F6FD3" w:rsidRPr="00F011A2">
        <w:t>011</w:t>
      </w:r>
      <w:r w:rsidRPr="00F011A2">
        <w:t xml:space="preserve">. </w:t>
      </w:r>
      <w:r>
        <w:t xml:space="preserve">La citada autorización se aprobó mediante Acuerdo del Gobierno de Navarra, por el que se autorizó que Sodena permaneciese como accionista diez años más, es decir hasta 2026, sin perjuicio de la posibilidad de una nueva prórroga. </w:t>
      </w:r>
    </w:p>
    <w:p w14:paraId="0C4A753C" w14:textId="77777777" w:rsidR="00F87E58" w:rsidRDefault="00F87E58">
      <w:pPr>
        <w:spacing w:after="0"/>
        <w:ind w:firstLine="0"/>
        <w:jc w:val="left"/>
        <w:rPr>
          <w:spacing w:val="6"/>
          <w:sz w:val="26"/>
          <w:szCs w:val="24"/>
        </w:rPr>
      </w:pPr>
      <w:r>
        <w:br w:type="page"/>
      </w:r>
    </w:p>
    <w:p w14:paraId="1F803220" w14:textId="77777777" w:rsidR="00F87E58" w:rsidRDefault="00F87E58" w:rsidP="00F87E58">
      <w:pPr>
        <w:pStyle w:val="texto"/>
        <w:spacing w:after="240"/>
      </w:pPr>
      <w:r>
        <w:lastRenderedPageBreak/>
        <w:t>La composición societaria en el momento de la constitución de la sociedad, fue la siguiente:</w:t>
      </w:r>
    </w:p>
    <w:tbl>
      <w:tblPr>
        <w:tblW w:w="8505"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095"/>
        <w:gridCol w:w="1276"/>
        <w:gridCol w:w="1134"/>
      </w:tblGrid>
      <w:tr w:rsidR="00F87E58" w:rsidRPr="00BB5B2C" w14:paraId="586550C5" w14:textId="77777777" w:rsidTr="00F87E58">
        <w:trPr>
          <w:trHeight w:val="255"/>
          <w:jc w:val="center"/>
        </w:trPr>
        <w:tc>
          <w:tcPr>
            <w:tcW w:w="6095" w:type="dxa"/>
            <w:tcBorders>
              <w:bottom w:val="single" w:sz="4" w:space="0" w:color="auto"/>
            </w:tcBorders>
            <w:shd w:val="clear" w:color="000000" w:fill="9CC2E5"/>
            <w:noWrap/>
            <w:vAlign w:val="center"/>
            <w:hideMark/>
          </w:tcPr>
          <w:p w14:paraId="140FB95D" w14:textId="77777777" w:rsidR="00F87E58" w:rsidRPr="00BB5B2C" w:rsidRDefault="00F87E58" w:rsidP="00F87E58">
            <w:pPr>
              <w:pStyle w:val="cuadroCabe"/>
              <w:jc w:val="left"/>
            </w:pPr>
            <w:r w:rsidRPr="00BB5B2C">
              <w:t>Accionistas 2001</w:t>
            </w:r>
          </w:p>
        </w:tc>
        <w:tc>
          <w:tcPr>
            <w:tcW w:w="1276" w:type="dxa"/>
            <w:tcBorders>
              <w:bottom w:val="single" w:sz="4" w:space="0" w:color="auto"/>
            </w:tcBorders>
            <w:shd w:val="clear" w:color="000000" w:fill="9CC2E5"/>
            <w:noWrap/>
            <w:vAlign w:val="center"/>
            <w:hideMark/>
          </w:tcPr>
          <w:p w14:paraId="3A46E00E" w14:textId="77777777" w:rsidR="00F87E58" w:rsidRDefault="00F87E58" w:rsidP="00F87E58">
            <w:pPr>
              <w:pStyle w:val="cuadroCabe"/>
              <w:jc w:val="right"/>
            </w:pPr>
            <w:r w:rsidRPr="00BB5B2C">
              <w:t xml:space="preserve">Porcentaje </w:t>
            </w:r>
          </w:p>
          <w:p w14:paraId="4C0E4690" w14:textId="77777777" w:rsidR="00F87E58" w:rsidRPr="00BB5B2C" w:rsidRDefault="00F87E58" w:rsidP="00F87E58">
            <w:pPr>
              <w:pStyle w:val="cuadroCabe"/>
              <w:jc w:val="right"/>
            </w:pPr>
            <w:r w:rsidRPr="00BB5B2C">
              <w:t>participación</w:t>
            </w:r>
          </w:p>
        </w:tc>
        <w:tc>
          <w:tcPr>
            <w:tcW w:w="1134" w:type="dxa"/>
            <w:tcBorders>
              <w:bottom w:val="single" w:sz="4" w:space="0" w:color="auto"/>
            </w:tcBorders>
            <w:shd w:val="clear" w:color="000000" w:fill="9CC2E5"/>
            <w:vAlign w:val="center"/>
          </w:tcPr>
          <w:p w14:paraId="5AB5D51B" w14:textId="77777777" w:rsidR="00F87E58" w:rsidRDefault="00F87E58" w:rsidP="00F87E58">
            <w:pPr>
              <w:pStyle w:val="cuadroCabe"/>
              <w:jc w:val="right"/>
            </w:pPr>
            <w:r w:rsidRPr="00BB5B2C">
              <w:t xml:space="preserve">Capital </w:t>
            </w:r>
          </w:p>
          <w:p w14:paraId="0CBD6200" w14:textId="77777777" w:rsidR="00F87E58" w:rsidRPr="00BB5B2C" w:rsidRDefault="00F87E58" w:rsidP="00F87E58">
            <w:pPr>
              <w:pStyle w:val="cuadroCabe"/>
              <w:jc w:val="right"/>
            </w:pPr>
            <w:r w:rsidRPr="00BB5B2C">
              <w:t>social</w:t>
            </w:r>
          </w:p>
        </w:tc>
      </w:tr>
      <w:tr w:rsidR="00C372CC" w:rsidRPr="00C372CC" w14:paraId="0D19A98A" w14:textId="77777777" w:rsidTr="00F87E58">
        <w:trPr>
          <w:trHeight w:val="198"/>
          <w:jc w:val="center"/>
        </w:trPr>
        <w:tc>
          <w:tcPr>
            <w:tcW w:w="6095" w:type="dxa"/>
            <w:tcBorders>
              <w:bottom w:val="single" w:sz="2" w:space="0" w:color="auto"/>
            </w:tcBorders>
            <w:shd w:val="clear" w:color="auto" w:fill="auto"/>
            <w:noWrap/>
            <w:vAlign w:val="center"/>
            <w:hideMark/>
          </w:tcPr>
          <w:p w14:paraId="41D88D4D" w14:textId="77777777" w:rsidR="00F87E58" w:rsidRPr="00C372CC" w:rsidRDefault="00F87E58" w:rsidP="00F87E58">
            <w:pPr>
              <w:pStyle w:val="cuatexto"/>
              <w:jc w:val="left"/>
            </w:pPr>
            <w:r w:rsidRPr="00C372CC">
              <w:t>Sociedad de Desarrollo de Navarra S.A.</w:t>
            </w:r>
          </w:p>
        </w:tc>
        <w:tc>
          <w:tcPr>
            <w:tcW w:w="1276" w:type="dxa"/>
            <w:tcBorders>
              <w:bottom w:val="single" w:sz="2" w:space="0" w:color="auto"/>
            </w:tcBorders>
            <w:shd w:val="clear" w:color="auto" w:fill="auto"/>
            <w:noWrap/>
            <w:vAlign w:val="center"/>
            <w:hideMark/>
          </w:tcPr>
          <w:p w14:paraId="2BB1A6DB" w14:textId="77777777" w:rsidR="00F87E58" w:rsidRPr="00C372CC" w:rsidRDefault="00F87E58" w:rsidP="00F87E58">
            <w:pPr>
              <w:pStyle w:val="cuatexto"/>
              <w:jc w:val="right"/>
            </w:pPr>
            <w:r w:rsidRPr="00C372CC">
              <w:t>45</w:t>
            </w:r>
          </w:p>
        </w:tc>
        <w:tc>
          <w:tcPr>
            <w:tcW w:w="1134" w:type="dxa"/>
            <w:tcBorders>
              <w:bottom w:val="single" w:sz="2" w:space="0" w:color="auto"/>
            </w:tcBorders>
            <w:vAlign w:val="center"/>
          </w:tcPr>
          <w:p w14:paraId="595AD7E7" w14:textId="77777777" w:rsidR="00F87E58" w:rsidRPr="00C372CC" w:rsidRDefault="00F87E58" w:rsidP="00F87E58">
            <w:pPr>
              <w:pStyle w:val="cuatexto"/>
              <w:jc w:val="right"/>
            </w:pPr>
            <w:r w:rsidRPr="00C372CC">
              <w:t>4.050.000</w:t>
            </w:r>
          </w:p>
        </w:tc>
      </w:tr>
      <w:tr w:rsidR="00C372CC" w:rsidRPr="00C372CC" w14:paraId="6480ED41" w14:textId="77777777" w:rsidTr="00F87E58">
        <w:trPr>
          <w:trHeight w:val="198"/>
          <w:jc w:val="center"/>
        </w:trPr>
        <w:tc>
          <w:tcPr>
            <w:tcW w:w="6095" w:type="dxa"/>
            <w:tcBorders>
              <w:top w:val="single" w:sz="2" w:space="0" w:color="auto"/>
              <w:bottom w:val="single" w:sz="2" w:space="0" w:color="auto"/>
            </w:tcBorders>
            <w:shd w:val="clear" w:color="auto" w:fill="auto"/>
            <w:noWrap/>
            <w:vAlign w:val="center"/>
            <w:hideMark/>
          </w:tcPr>
          <w:p w14:paraId="2C89C6D6" w14:textId="77777777" w:rsidR="00F87E58" w:rsidRPr="00C372CC" w:rsidRDefault="006F6FD3" w:rsidP="00F87E58">
            <w:pPr>
              <w:pStyle w:val="cuatexto"/>
              <w:jc w:val="left"/>
            </w:pPr>
            <w:r w:rsidRPr="00C372CC">
              <w:t>Grupo Corporativo Empresarial de la Caja de Ahorros y Monte de Piedad de Navarra, S.A.</w:t>
            </w:r>
          </w:p>
        </w:tc>
        <w:tc>
          <w:tcPr>
            <w:tcW w:w="1276" w:type="dxa"/>
            <w:tcBorders>
              <w:top w:val="single" w:sz="2" w:space="0" w:color="auto"/>
              <w:bottom w:val="single" w:sz="2" w:space="0" w:color="auto"/>
            </w:tcBorders>
            <w:shd w:val="clear" w:color="auto" w:fill="auto"/>
            <w:noWrap/>
            <w:vAlign w:val="center"/>
          </w:tcPr>
          <w:p w14:paraId="3C9DBFF5" w14:textId="77777777" w:rsidR="00F87E58" w:rsidRPr="00C372CC" w:rsidRDefault="00F87E58" w:rsidP="00F87E58">
            <w:pPr>
              <w:pStyle w:val="cuatexto"/>
              <w:jc w:val="right"/>
            </w:pPr>
            <w:r w:rsidRPr="00C372CC">
              <w:t>15</w:t>
            </w:r>
          </w:p>
        </w:tc>
        <w:tc>
          <w:tcPr>
            <w:tcW w:w="1134" w:type="dxa"/>
            <w:tcBorders>
              <w:top w:val="single" w:sz="2" w:space="0" w:color="auto"/>
              <w:bottom w:val="single" w:sz="2" w:space="0" w:color="auto"/>
            </w:tcBorders>
            <w:vAlign w:val="center"/>
          </w:tcPr>
          <w:p w14:paraId="0AD9E709" w14:textId="77777777" w:rsidR="00F87E58" w:rsidRPr="00C372CC" w:rsidRDefault="00F87E58" w:rsidP="00F87E58">
            <w:pPr>
              <w:pStyle w:val="cuatexto"/>
              <w:jc w:val="right"/>
            </w:pPr>
            <w:r w:rsidRPr="00C372CC">
              <w:t>1.350.000</w:t>
            </w:r>
          </w:p>
        </w:tc>
      </w:tr>
      <w:tr w:rsidR="00F87E58" w:rsidRPr="00BB5B2C" w14:paraId="30B6A2F9" w14:textId="77777777" w:rsidTr="00F87E58">
        <w:trPr>
          <w:trHeight w:val="198"/>
          <w:jc w:val="center"/>
        </w:trPr>
        <w:tc>
          <w:tcPr>
            <w:tcW w:w="6095" w:type="dxa"/>
            <w:tcBorders>
              <w:top w:val="single" w:sz="2" w:space="0" w:color="auto"/>
              <w:bottom w:val="single" w:sz="2" w:space="0" w:color="auto"/>
            </w:tcBorders>
            <w:shd w:val="clear" w:color="auto" w:fill="auto"/>
            <w:noWrap/>
            <w:vAlign w:val="center"/>
          </w:tcPr>
          <w:p w14:paraId="411ABE2A" w14:textId="77777777" w:rsidR="00F87E58" w:rsidRPr="00BB5B2C" w:rsidRDefault="00F87E58" w:rsidP="00F87E58">
            <w:pPr>
              <w:pStyle w:val="cuatexto"/>
              <w:jc w:val="left"/>
            </w:pPr>
            <w:r>
              <w:t>Parque de Atracciones,</w:t>
            </w:r>
            <w:r w:rsidRPr="00BB5B2C">
              <w:t>Turismo y Actividades lúdicas internacionales S.L.(Patali)</w:t>
            </w:r>
          </w:p>
        </w:tc>
        <w:tc>
          <w:tcPr>
            <w:tcW w:w="1276" w:type="dxa"/>
            <w:tcBorders>
              <w:top w:val="single" w:sz="2" w:space="0" w:color="auto"/>
              <w:bottom w:val="single" w:sz="2" w:space="0" w:color="auto"/>
            </w:tcBorders>
            <w:shd w:val="clear" w:color="auto" w:fill="auto"/>
            <w:noWrap/>
            <w:vAlign w:val="center"/>
          </w:tcPr>
          <w:p w14:paraId="39FE2C26" w14:textId="77777777" w:rsidR="00F87E58" w:rsidRPr="00BB5B2C" w:rsidRDefault="00F87E58" w:rsidP="00F87E58">
            <w:pPr>
              <w:pStyle w:val="cuatexto"/>
              <w:jc w:val="right"/>
            </w:pPr>
            <w:r w:rsidRPr="00BB5B2C">
              <w:t>25</w:t>
            </w:r>
          </w:p>
        </w:tc>
        <w:tc>
          <w:tcPr>
            <w:tcW w:w="1134" w:type="dxa"/>
            <w:tcBorders>
              <w:top w:val="single" w:sz="2" w:space="0" w:color="auto"/>
              <w:bottom w:val="single" w:sz="2" w:space="0" w:color="auto"/>
            </w:tcBorders>
            <w:vAlign w:val="center"/>
          </w:tcPr>
          <w:p w14:paraId="66F06DF1" w14:textId="77777777" w:rsidR="00F87E58" w:rsidRPr="00BB5B2C" w:rsidRDefault="00F87E58" w:rsidP="00F87E58">
            <w:pPr>
              <w:pStyle w:val="cuatexto"/>
              <w:jc w:val="right"/>
            </w:pPr>
            <w:r w:rsidRPr="00BB5B2C">
              <w:t>2.250.000</w:t>
            </w:r>
          </w:p>
        </w:tc>
      </w:tr>
      <w:tr w:rsidR="00F87E58" w:rsidRPr="00BB5B2C" w14:paraId="63C90FD9" w14:textId="77777777" w:rsidTr="00F87E58">
        <w:trPr>
          <w:trHeight w:val="198"/>
          <w:jc w:val="center"/>
        </w:trPr>
        <w:tc>
          <w:tcPr>
            <w:tcW w:w="6095" w:type="dxa"/>
            <w:tcBorders>
              <w:top w:val="single" w:sz="2" w:space="0" w:color="auto"/>
              <w:bottom w:val="single" w:sz="2" w:space="0" w:color="auto"/>
            </w:tcBorders>
            <w:shd w:val="clear" w:color="auto" w:fill="auto"/>
            <w:noWrap/>
            <w:vAlign w:val="center"/>
            <w:hideMark/>
          </w:tcPr>
          <w:p w14:paraId="6996FDED" w14:textId="77777777" w:rsidR="00F87E58" w:rsidRPr="00BB5B2C" w:rsidRDefault="00F87E58" w:rsidP="00F87E58">
            <w:pPr>
              <w:pStyle w:val="cuatexto"/>
              <w:jc w:val="left"/>
            </w:pPr>
            <w:r w:rsidRPr="00BB5B2C">
              <w:t>Construcciones Sanzol S.A.</w:t>
            </w:r>
          </w:p>
        </w:tc>
        <w:tc>
          <w:tcPr>
            <w:tcW w:w="1276" w:type="dxa"/>
            <w:tcBorders>
              <w:top w:val="single" w:sz="2" w:space="0" w:color="auto"/>
              <w:bottom w:val="single" w:sz="2" w:space="0" w:color="auto"/>
            </w:tcBorders>
            <w:shd w:val="clear" w:color="auto" w:fill="auto"/>
            <w:noWrap/>
            <w:vAlign w:val="center"/>
          </w:tcPr>
          <w:p w14:paraId="60985446" w14:textId="77777777" w:rsidR="00F87E58" w:rsidRPr="00BB5B2C" w:rsidRDefault="00F87E58" w:rsidP="00F87E58">
            <w:pPr>
              <w:pStyle w:val="cuatexto"/>
              <w:jc w:val="right"/>
            </w:pPr>
            <w:r w:rsidRPr="00BB5B2C">
              <w:t>10</w:t>
            </w:r>
          </w:p>
        </w:tc>
        <w:tc>
          <w:tcPr>
            <w:tcW w:w="1134" w:type="dxa"/>
            <w:tcBorders>
              <w:top w:val="single" w:sz="2" w:space="0" w:color="auto"/>
              <w:bottom w:val="single" w:sz="2" w:space="0" w:color="auto"/>
            </w:tcBorders>
            <w:vAlign w:val="center"/>
          </w:tcPr>
          <w:p w14:paraId="4EE5DFD7" w14:textId="77777777" w:rsidR="00F87E58" w:rsidRPr="00BB5B2C" w:rsidRDefault="00F87E58" w:rsidP="00F87E58">
            <w:pPr>
              <w:pStyle w:val="cuatexto"/>
              <w:jc w:val="right"/>
            </w:pPr>
            <w:r w:rsidRPr="00BB5B2C">
              <w:t>900.000</w:t>
            </w:r>
          </w:p>
        </w:tc>
      </w:tr>
      <w:tr w:rsidR="00F87E58" w:rsidRPr="00BB5B2C" w14:paraId="0372912E" w14:textId="77777777" w:rsidTr="00F87E58">
        <w:trPr>
          <w:trHeight w:val="198"/>
          <w:jc w:val="center"/>
        </w:trPr>
        <w:tc>
          <w:tcPr>
            <w:tcW w:w="6095" w:type="dxa"/>
            <w:tcBorders>
              <w:top w:val="single" w:sz="2" w:space="0" w:color="auto"/>
              <w:bottom w:val="single" w:sz="4" w:space="0" w:color="auto"/>
            </w:tcBorders>
            <w:shd w:val="clear" w:color="auto" w:fill="auto"/>
            <w:noWrap/>
            <w:vAlign w:val="center"/>
            <w:hideMark/>
          </w:tcPr>
          <w:p w14:paraId="3371E262" w14:textId="77777777" w:rsidR="00F87E58" w:rsidRPr="00BB5B2C" w:rsidRDefault="00F87E58" w:rsidP="00F87E58">
            <w:pPr>
              <w:pStyle w:val="cuatexto"/>
              <w:jc w:val="left"/>
            </w:pPr>
            <w:r w:rsidRPr="00BB5B2C">
              <w:t>La información S.A.</w:t>
            </w:r>
          </w:p>
        </w:tc>
        <w:tc>
          <w:tcPr>
            <w:tcW w:w="1276" w:type="dxa"/>
            <w:tcBorders>
              <w:top w:val="single" w:sz="2" w:space="0" w:color="auto"/>
              <w:bottom w:val="single" w:sz="4" w:space="0" w:color="auto"/>
            </w:tcBorders>
            <w:shd w:val="clear" w:color="auto" w:fill="auto"/>
            <w:noWrap/>
            <w:vAlign w:val="center"/>
          </w:tcPr>
          <w:p w14:paraId="33068851" w14:textId="77777777" w:rsidR="00F87E58" w:rsidRPr="00BB5B2C" w:rsidRDefault="00F87E58" w:rsidP="00F87E58">
            <w:pPr>
              <w:pStyle w:val="cuatexto"/>
              <w:jc w:val="right"/>
            </w:pPr>
            <w:r w:rsidRPr="00BB5B2C">
              <w:t>5</w:t>
            </w:r>
          </w:p>
        </w:tc>
        <w:tc>
          <w:tcPr>
            <w:tcW w:w="1134" w:type="dxa"/>
            <w:tcBorders>
              <w:top w:val="single" w:sz="2" w:space="0" w:color="auto"/>
              <w:bottom w:val="single" w:sz="4" w:space="0" w:color="auto"/>
            </w:tcBorders>
            <w:vAlign w:val="center"/>
          </w:tcPr>
          <w:p w14:paraId="1CA8668B" w14:textId="77777777" w:rsidR="00F87E58" w:rsidRPr="00BB5B2C" w:rsidRDefault="00F87E58" w:rsidP="00F87E58">
            <w:pPr>
              <w:pStyle w:val="cuatexto"/>
              <w:jc w:val="right"/>
            </w:pPr>
            <w:r w:rsidRPr="00BB5B2C">
              <w:t>450.000</w:t>
            </w:r>
          </w:p>
        </w:tc>
      </w:tr>
      <w:tr w:rsidR="00F87E58" w:rsidRPr="00BB5B2C" w14:paraId="76A2165D" w14:textId="77777777" w:rsidTr="00F87E58">
        <w:trPr>
          <w:trHeight w:val="255"/>
          <w:jc w:val="center"/>
        </w:trPr>
        <w:tc>
          <w:tcPr>
            <w:tcW w:w="6095" w:type="dxa"/>
            <w:shd w:val="clear" w:color="auto" w:fill="9CC2E5"/>
            <w:noWrap/>
            <w:vAlign w:val="bottom"/>
            <w:hideMark/>
          </w:tcPr>
          <w:p w14:paraId="5D384B67" w14:textId="77777777" w:rsidR="00F87E58" w:rsidRPr="00BB5B2C" w:rsidRDefault="00F87E58" w:rsidP="00F87E58">
            <w:pPr>
              <w:pStyle w:val="cuadroCabe"/>
              <w:jc w:val="left"/>
            </w:pPr>
          </w:p>
        </w:tc>
        <w:tc>
          <w:tcPr>
            <w:tcW w:w="1276" w:type="dxa"/>
            <w:shd w:val="clear" w:color="auto" w:fill="9CC2E5"/>
            <w:noWrap/>
            <w:vAlign w:val="bottom"/>
            <w:hideMark/>
          </w:tcPr>
          <w:p w14:paraId="53B1A960" w14:textId="77777777" w:rsidR="00F87E58" w:rsidRPr="00BB5B2C" w:rsidRDefault="00F87E58" w:rsidP="00F87E58">
            <w:pPr>
              <w:pStyle w:val="cuadroCabe"/>
              <w:jc w:val="right"/>
            </w:pPr>
            <w:r w:rsidRPr="00BB5B2C">
              <w:t>100</w:t>
            </w:r>
          </w:p>
        </w:tc>
        <w:tc>
          <w:tcPr>
            <w:tcW w:w="1134" w:type="dxa"/>
            <w:shd w:val="clear" w:color="auto" w:fill="9CC2E5"/>
          </w:tcPr>
          <w:p w14:paraId="61BBA47C" w14:textId="77777777" w:rsidR="00F87E58" w:rsidRPr="00BB5B2C" w:rsidRDefault="00F87E58" w:rsidP="00F87E58">
            <w:pPr>
              <w:pStyle w:val="cuadroCabe"/>
              <w:jc w:val="right"/>
            </w:pPr>
            <w:r w:rsidRPr="00BB5B2C">
              <w:t>9.000.000</w:t>
            </w:r>
          </w:p>
        </w:tc>
      </w:tr>
    </w:tbl>
    <w:p w14:paraId="4340EE83" w14:textId="77777777" w:rsidR="004E7FEB" w:rsidRDefault="006A2ACC" w:rsidP="006A2ACC">
      <w:pPr>
        <w:pStyle w:val="texto"/>
        <w:spacing w:before="360" w:after="240"/>
      </w:pPr>
      <w:r>
        <w:t>Posteriormente se produjo un cambio en el accionariado, que se refleja de forma resumida en el siguiente cuadro:</w:t>
      </w:r>
    </w:p>
    <w:tbl>
      <w:tblPr>
        <w:tblW w:w="1034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276"/>
        <w:gridCol w:w="836"/>
        <w:gridCol w:w="922"/>
        <w:gridCol w:w="992"/>
        <w:gridCol w:w="851"/>
        <w:gridCol w:w="425"/>
        <w:gridCol w:w="993"/>
        <w:gridCol w:w="850"/>
        <w:gridCol w:w="652"/>
        <w:gridCol w:w="992"/>
        <w:gridCol w:w="766"/>
        <w:gridCol w:w="793"/>
      </w:tblGrid>
      <w:tr w:rsidR="00F87E58" w:rsidRPr="000E1539" w14:paraId="4A7C2422" w14:textId="77777777" w:rsidTr="009B18F4">
        <w:trPr>
          <w:trHeight w:val="255"/>
          <w:jc w:val="center"/>
        </w:trPr>
        <w:tc>
          <w:tcPr>
            <w:tcW w:w="1276" w:type="dxa"/>
            <w:tcBorders>
              <w:bottom w:val="nil"/>
            </w:tcBorders>
            <w:shd w:val="clear" w:color="auto" w:fill="9CC2E5"/>
            <w:noWrap/>
            <w:vAlign w:val="center"/>
            <w:hideMark/>
          </w:tcPr>
          <w:p w14:paraId="2D0AF3D4" w14:textId="77777777" w:rsidR="00F87E58" w:rsidRPr="000E1539" w:rsidRDefault="00F87E58" w:rsidP="00F87E58">
            <w:pPr>
              <w:pStyle w:val="cuadroCabe"/>
              <w:jc w:val="right"/>
              <w:rPr>
                <w:sz w:val="16"/>
                <w:szCs w:val="16"/>
              </w:rPr>
            </w:pPr>
          </w:p>
        </w:tc>
        <w:tc>
          <w:tcPr>
            <w:tcW w:w="1758" w:type="dxa"/>
            <w:gridSpan w:val="2"/>
            <w:tcBorders>
              <w:bottom w:val="nil"/>
              <w:right w:val="single" w:sz="4" w:space="0" w:color="auto"/>
            </w:tcBorders>
            <w:shd w:val="clear" w:color="auto" w:fill="9CC2E5"/>
            <w:noWrap/>
            <w:vAlign w:val="center"/>
            <w:hideMark/>
          </w:tcPr>
          <w:p w14:paraId="1838D67F" w14:textId="77777777" w:rsidR="00F87E58" w:rsidRPr="000E1539" w:rsidRDefault="00F87E58" w:rsidP="008C3C03">
            <w:pPr>
              <w:pStyle w:val="cuadroCabe"/>
              <w:ind w:left="-71"/>
              <w:jc w:val="center"/>
              <w:rPr>
                <w:sz w:val="16"/>
                <w:szCs w:val="16"/>
              </w:rPr>
            </w:pPr>
            <w:r w:rsidRPr="000E1539">
              <w:rPr>
                <w:sz w:val="16"/>
                <w:szCs w:val="16"/>
              </w:rPr>
              <w:t>Suscripción de acciones</w:t>
            </w:r>
            <w:r>
              <w:rPr>
                <w:sz w:val="16"/>
                <w:szCs w:val="16"/>
              </w:rPr>
              <w:t xml:space="preserve"> </w:t>
            </w:r>
            <w:r w:rsidRPr="000E1539">
              <w:rPr>
                <w:sz w:val="16"/>
                <w:szCs w:val="16"/>
              </w:rPr>
              <w:t>en la constitución</w:t>
            </w:r>
          </w:p>
        </w:tc>
        <w:tc>
          <w:tcPr>
            <w:tcW w:w="2268" w:type="dxa"/>
            <w:gridSpan w:val="3"/>
            <w:tcBorders>
              <w:left w:val="single" w:sz="4" w:space="0" w:color="auto"/>
              <w:bottom w:val="nil"/>
              <w:right w:val="single" w:sz="4" w:space="0" w:color="auto"/>
            </w:tcBorders>
            <w:shd w:val="clear" w:color="auto" w:fill="9CC2E5"/>
            <w:noWrap/>
            <w:vAlign w:val="center"/>
            <w:hideMark/>
          </w:tcPr>
          <w:p w14:paraId="57898EBE" w14:textId="77777777" w:rsidR="00F87E58" w:rsidRDefault="00F87E58" w:rsidP="008C3C03">
            <w:pPr>
              <w:pStyle w:val="cuadroCabe"/>
              <w:jc w:val="center"/>
              <w:rPr>
                <w:sz w:val="16"/>
                <w:szCs w:val="16"/>
              </w:rPr>
            </w:pPr>
            <w:r w:rsidRPr="000E1539">
              <w:rPr>
                <w:sz w:val="16"/>
                <w:szCs w:val="16"/>
              </w:rPr>
              <w:t>Compra venta de</w:t>
            </w:r>
          </w:p>
          <w:p w14:paraId="5335E93C" w14:textId="77777777" w:rsidR="00F87E58" w:rsidRPr="000E1539" w:rsidRDefault="00F87E58" w:rsidP="008C3C03">
            <w:pPr>
              <w:pStyle w:val="cuadroCabe"/>
              <w:jc w:val="center"/>
              <w:rPr>
                <w:sz w:val="16"/>
                <w:szCs w:val="16"/>
              </w:rPr>
            </w:pPr>
            <w:r w:rsidRPr="000E1539">
              <w:rPr>
                <w:sz w:val="16"/>
                <w:szCs w:val="16"/>
              </w:rPr>
              <w:t>Patali a GCAN</w:t>
            </w:r>
          </w:p>
        </w:tc>
        <w:tc>
          <w:tcPr>
            <w:tcW w:w="2495" w:type="dxa"/>
            <w:gridSpan w:val="3"/>
            <w:tcBorders>
              <w:left w:val="single" w:sz="4" w:space="0" w:color="auto"/>
              <w:bottom w:val="nil"/>
              <w:right w:val="single" w:sz="4" w:space="0" w:color="auto"/>
            </w:tcBorders>
            <w:shd w:val="clear" w:color="auto" w:fill="9CC2E5"/>
            <w:noWrap/>
            <w:vAlign w:val="center"/>
            <w:hideMark/>
          </w:tcPr>
          <w:p w14:paraId="5641974F" w14:textId="77777777" w:rsidR="008C3C03" w:rsidRDefault="008C3C03" w:rsidP="008C3C03">
            <w:pPr>
              <w:pStyle w:val="cuadroCabe"/>
              <w:jc w:val="left"/>
              <w:rPr>
                <w:sz w:val="16"/>
                <w:szCs w:val="16"/>
              </w:rPr>
            </w:pPr>
          </w:p>
          <w:p w14:paraId="2D569CD9" w14:textId="77777777" w:rsidR="00F87E58" w:rsidRPr="000E1539" w:rsidRDefault="00F87E58" w:rsidP="008C3C03">
            <w:pPr>
              <w:pStyle w:val="cuadroCabe"/>
              <w:jc w:val="right"/>
              <w:rPr>
                <w:sz w:val="16"/>
                <w:szCs w:val="16"/>
              </w:rPr>
            </w:pPr>
            <w:r w:rsidRPr="000E1539">
              <w:rPr>
                <w:sz w:val="16"/>
                <w:szCs w:val="16"/>
              </w:rPr>
              <w:t>Venta CAN</w:t>
            </w:r>
            <w:r w:rsidR="008C3C03">
              <w:rPr>
                <w:sz w:val="16"/>
                <w:szCs w:val="16"/>
              </w:rPr>
              <w:t xml:space="preserve"> 16/12/2023</w:t>
            </w:r>
          </w:p>
        </w:tc>
        <w:tc>
          <w:tcPr>
            <w:tcW w:w="2551" w:type="dxa"/>
            <w:gridSpan w:val="3"/>
            <w:tcBorders>
              <w:left w:val="single" w:sz="4" w:space="0" w:color="auto"/>
              <w:bottom w:val="nil"/>
            </w:tcBorders>
            <w:shd w:val="clear" w:color="auto" w:fill="9CC2E5"/>
            <w:noWrap/>
            <w:vAlign w:val="center"/>
            <w:hideMark/>
          </w:tcPr>
          <w:p w14:paraId="6ECC00EE" w14:textId="77777777" w:rsidR="008C3C03" w:rsidRDefault="008C3C03" w:rsidP="008C3C03">
            <w:pPr>
              <w:pStyle w:val="cuadroCabe"/>
              <w:jc w:val="right"/>
              <w:rPr>
                <w:sz w:val="16"/>
                <w:szCs w:val="16"/>
              </w:rPr>
            </w:pPr>
          </w:p>
          <w:p w14:paraId="234C8AF8" w14:textId="77777777" w:rsidR="00F87E58" w:rsidRPr="000E1539" w:rsidRDefault="00F87E58" w:rsidP="008C3C03">
            <w:pPr>
              <w:pStyle w:val="cuadroCabe"/>
              <w:jc w:val="right"/>
              <w:rPr>
                <w:sz w:val="16"/>
                <w:szCs w:val="16"/>
              </w:rPr>
            </w:pPr>
            <w:r w:rsidRPr="000E1539">
              <w:rPr>
                <w:sz w:val="16"/>
                <w:szCs w:val="16"/>
              </w:rPr>
              <w:t>Salida Patal</w:t>
            </w:r>
            <w:r w:rsidR="008C3C03">
              <w:rPr>
                <w:sz w:val="16"/>
                <w:szCs w:val="16"/>
              </w:rPr>
              <w:t xml:space="preserve"> 18/06/2007</w:t>
            </w:r>
            <w:r w:rsidRPr="000E1539">
              <w:rPr>
                <w:sz w:val="16"/>
                <w:szCs w:val="16"/>
              </w:rPr>
              <w:t>i</w:t>
            </w:r>
          </w:p>
        </w:tc>
      </w:tr>
      <w:tr w:rsidR="00F87E58" w:rsidRPr="000E1539" w14:paraId="7000C8BF" w14:textId="77777777" w:rsidTr="009B18F4">
        <w:trPr>
          <w:trHeight w:val="255"/>
          <w:jc w:val="center"/>
        </w:trPr>
        <w:tc>
          <w:tcPr>
            <w:tcW w:w="1276" w:type="dxa"/>
            <w:tcBorders>
              <w:top w:val="nil"/>
            </w:tcBorders>
            <w:shd w:val="clear" w:color="auto" w:fill="9CC2E5"/>
            <w:noWrap/>
            <w:vAlign w:val="center"/>
            <w:hideMark/>
          </w:tcPr>
          <w:p w14:paraId="1783169A" w14:textId="77777777" w:rsidR="00F87E58" w:rsidRPr="000E1539" w:rsidRDefault="00F87E58" w:rsidP="00F87E58">
            <w:pPr>
              <w:pStyle w:val="cuadroCabe"/>
              <w:jc w:val="right"/>
              <w:rPr>
                <w:sz w:val="16"/>
                <w:szCs w:val="16"/>
              </w:rPr>
            </w:pPr>
          </w:p>
        </w:tc>
        <w:tc>
          <w:tcPr>
            <w:tcW w:w="1758" w:type="dxa"/>
            <w:gridSpan w:val="2"/>
            <w:tcBorders>
              <w:top w:val="nil"/>
              <w:right w:val="single" w:sz="4" w:space="0" w:color="auto"/>
            </w:tcBorders>
            <w:shd w:val="clear" w:color="auto" w:fill="9CC2E5"/>
            <w:noWrap/>
            <w:vAlign w:val="center"/>
            <w:hideMark/>
          </w:tcPr>
          <w:p w14:paraId="1B06DB27" w14:textId="77777777" w:rsidR="00F87E58" w:rsidRPr="000E1539" w:rsidRDefault="00F87E58" w:rsidP="008C3C03">
            <w:pPr>
              <w:pStyle w:val="cuadroCabe"/>
              <w:jc w:val="center"/>
              <w:rPr>
                <w:sz w:val="16"/>
                <w:szCs w:val="16"/>
              </w:rPr>
            </w:pPr>
            <w:r w:rsidRPr="000E1539">
              <w:rPr>
                <w:sz w:val="16"/>
                <w:szCs w:val="16"/>
              </w:rPr>
              <w:t>23/11/2001</w:t>
            </w:r>
          </w:p>
        </w:tc>
        <w:tc>
          <w:tcPr>
            <w:tcW w:w="2268" w:type="dxa"/>
            <w:gridSpan w:val="3"/>
            <w:tcBorders>
              <w:top w:val="nil"/>
              <w:left w:val="single" w:sz="4" w:space="0" w:color="auto"/>
              <w:right w:val="single" w:sz="4" w:space="0" w:color="auto"/>
            </w:tcBorders>
            <w:shd w:val="clear" w:color="auto" w:fill="9CC2E5"/>
            <w:noWrap/>
            <w:vAlign w:val="center"/>
            <w:hideMark/>
          </w:tcPr>
          <w:p w14:paraId="71122C66" w14:textId="77777777" w:rsidR="00F87E58" w:rsidRPr="000E1539" w:rsidRDefault="00F87E58" w:rsidP="008C3C03">
            <w:pPr>
              <w:pStyle w:val="cuadroCabe"/>
              <w:jc w:val="center"/>
              <w:rPr>
                <w:sz w:val="16"/>
                <w:szCs w:val="16"/>
              </w:rPr>
            </w:pPr>
            <w:r w:rsidRPr="000E1539">
              <w:rPr>
                <w:sz w:val="16"/>
                <w:szCs w:val="16"/>
              </w:rPr>
              <w:t>29/04/2002</w:t>
            </w:r>
          </w:p>
        </w:tc>
        <w:tc>
          <w:tcPr>
            <w:tcW w:w="2495" w:type="dxa"/>
            <w:gridSpan w:val="3"/>
            <w:tcBorders>
              <w:top w:val="nil"/>
              <w:left w:val="single" w:sz="4" w:space="0" w:color="auto"/>
              <w:right w:val="single" w:sz="4" w:space="0" w:color="auto"/>
            </w:tcBorders>
            <w:shd w:val="clear" w:color="auto" w:fill="9CC2E5"/>
            <w:noWrap/>
            <w:vAlign w:val="center"/>
            <w:hideMark/>
          </w:tcPr>
          <w:p w14:paraId="613E3EF6" w14:textId="77777777" w:rsidR="00F87E58" w:rsidRPr="000E1539" w:rsidRDefault="00F87E58" w:rsidP="008C3C03">
            <w:pPr>
              <w:pStyle w:val="cuadroCabe"/>
              <w:jc w:val="left"/>
              <w:rPr>
                <w:sz w:val="16"/>
                <w:szCs w:val="16"/>
              </w:rPr>
            </w:pPr>
          </w:p>
        </w:tc>
        <w:tc>
          <w:tcPr>
            <w:tcW w:w="2551" w:type="dxa"/>
            <w:gridSpan w:val="3"/>
            <w:tcBorders>
              <w:top w:val="nil"/>
              <w:left w:val="single" w:sz="4" w:space="0" w:color="auto"/>
            </w:tcBorders>
            <w:shd w:val="clear" w:color="auto" w:fill="9CC2E5"/>
            <w:noWrap/>
            <w:vAlign w:val="center"/>
            <w:hideMark/>
          </w:tcPr>
          <w:p w14:paraId="2C025197" w14:textId="77777777" w:rsidR="00F87E58" w:rsidRPr="000E1539" w:rsidRDefault="00F87E58" w:rsidP="008C3C03">
            <w:pPr>
              <w:pStyle w:val="cuadroCabe"/>
              <w:jc w:val="right"/>
              <w:rPr>
                <w:sz w:val="16"/>
                <w:szCs w:val="16"/>
              </w:rPr>
            </w:pPr>
          </w:p>
        </w:tc>
      </w:tr>
      <w:tr w:rsidR="00F87E58" w:rsidRPr="009C44C1" w14:paraId="2417B47A" w14:textId="77777777" w:rsidTr="009B18F4">
        <w:trPr>
          <w:trHeight w:val="198"/>
          <w:jc w:val="center"/>
        </w:trPr>
        <w:tc>
          <w:tcPr>
            <w:tcW w:w="1276" w:type="dxa"/>
            <w:shd w:val="clear" w:color="auto" w:fill="8DB3E2" w:themeFill="text2" w:themeFillTint="66"/>
            <w:noWrap/>
            <w:vAlign w:val="center"/>
            <w:hideMark/>
          </w:tcPr>
          <w:p w14:paraId="69223EBF" w14:textId="77777777" w:rsidR="00F87E58" w:rsidRPr="009C44C1" w:rsidRDefault="00F87E58" w:rsidP="00F87E58">
            <w:pPr>
              <w:pStyle w:val="cuatexto"/>
              <w:rPr>
                <w:sz w:val="16"/>
                <w:szCs w:val="16"/>
              </w:rPr>
            </w:pPr>
          </w:p>
        </w:tc>
        <w:tc>
          <w:tcPr>
            <w:tcW w:w="836" w:type="dxa"/>
            <w:shd w:val="clear" w:color="auto" w:fill="8DB3E2" w:themeFill="text2" w:themeFillTint="66"/>
            <w:noWrap/>
            <w:vAlign w:val="center"/>
            <w:hideMark/>
          </w:tcPr>
          <w:p w14:paraId="61CE0CDC" w14:textId="77777777" w:rsidR="00F87E58" w:rsidRPr="009C44C1" w:rsidRDefault="00F87E58" w:rsidP="00F87E58">
            <w:pPr>
              <w:pStyle w:val="cuatexto"/>
              <w:jc w:val="right"/>
              <w:rPr>
                <w:sz w:val="16"/>
                <w:szCs w:val="16"/>
              </w:rPr>
            </w:pPr>
            <w:r w:rsidRPr="009C44C1">
              <w:rPr>
                <w:sz w:val="16"/>
                <w:szCs w:val="16"/>
              </w:rPr>
              <w:t>Participaciones</w:t>
            </w:r>
          </w:p>
        </w:tc>
        <w:tc>
          <w:tcPr>
            <w:tcW w:w="922" w:type="dxa"/>
            <w:tcBorders>
              <w:right w:val="single" w:sz="4" w:space="0" w:color="auto"/>
            </w:tcBorders>
            <w:shd w:val="clear" w:color="auto" w:fill="8DB3E2" w:themeFill="text2" w:themeFillTint="66"/>
            <w:noWrap/>
            <w:vAlign w:val="center"/>
            <w:hideMark/>
          </w:tcPr>
          <w:p w14:paraId="38D04E35" w14:textId="77777777" w:rsidR="00F87E58" w:rsidRPr="009C44C1" w:rsidRDefault="00F87E58" w:rsidP="00F87E58">
            <w:pPr>
              <w:pStyle w:val="cuatexto"/>
              <w:jc w:val="right"/>
              <w:rPr>
                <w:sz w:val="16"/>
                <w:szCs w:val="16"/>
              </w:rPr>
            </w:pPr>
            <w:r w:rsidRPr="009C44C1">
              <w:rPr>
                <w:sz w:val="16"/>
                <w:szCs w:val="16"/>
              </w:rPr>
              <w:t>%</w:t>
            </w:r>
          </w:p>
        </w:tc>
        <w:tc>
          <w:tcPr>
            <w:tcW w:w="992" w:type="dxa"/>
            <w:tcBorders>
              <w:left w:val="single" w:sz="4" w:space="0" w:color="auto"/>
            </w:tcBorders>
            <w:shd w:val="clear" w:color="auto" w:fill="8DB3E2" w:themeFill="text2" w:themeFillTint="66"/>
            <w:noWrap/>
            <w:vAlign w:val="center"/>
            <w:hideMark/>
          </w:tcPr>
          <w:p w14:paraId="2A550B84" w14:textId="77777777" w:rsidR="00F87E58" w:rsidRPr="009C44C1" w:rsidRDefault="00F87E58" w:rsidP="00F87E58">
            <w:pPr>
              <w:pStyle w:val="cuatexto"/>
              <w:jc w:val="right"/>
              <w:rPr>
                <w:sz w:val="16"/>
                <w:szCs w:val="16"/>
              </w:rPr>
            </w:pPr>
            <w:r w:rsidRPr="009C44C1">
              <w:rPr>
                <w:sz w:val="16"/>
                <w:szCs w:val="16"/>
              </w:rPr>
              <w:t>Transmisión</w:t>
            </w:r>
          </w:p>
        </w:tc>
        <w:tc>
          <w:tcPr>
            <w:tcW w:w="851" w:type="dxa"/>
            <w:shd w:val="clear" w:color="auto" w:fill="8DB3E2" w:themeFill="text2" w:themeFillTint="66"/>
            <w:noWrap/>
            <w:vAlign w:val="center"/>
            <w:hideMark/>
          </w:tcPr>
          <w:p w14:paraId="1BA78CA4" w14:textId="77777777" w:rsidR="00F87E58" w:rsidRPr="009C44C1" w:rsidRDefault="00886F83" w:rsidP="00886F83">
            <w:pPr>
              <w:pStyle w:val="cuatexto"/>
              <w:jc w:val="right"/>
              <w:rPr>
                <w:sz w:val="16"/>
                <w:szCs w:val="16"/>
              </w:rPr>
            </w:pPr>
            <w:r>
              <w:rPr>
                <w:sz w:val="16"/>
                <w:szCs w:val="16"/>
              </w:rPr>
              <w:t>F</w:t>
            </w:r>
            <w:r w:rsidR="00F87E58" w:rsidRPr="009C44C1">
              <w:rPr>
                <w:sz w:val="16"/>
                <w:szCs w:val="16"/>
              </w:rPr>
              <w:t>inales</w:t>
            </w:r>
          </w:p>
        </w:tc>
        <w:tc>
          <w:tcPr>
            <w:tcW w:w="425" w:type="dxa"/>
            <w:tcBorders>
              <w:right w:val="single" w:sz="4" w:space="0" w:color="auto"/>
            </w:tcBorders>
            <w:shd w:val="clear" w:color="auto" w:fill="8DB3E2" w:themeFill="text2" w:themeFillTint="66"/>
            <w:noWrap/>
            <w:vAlign w:val="center"/>
            <w:hideMark/>
          </w:tcPr>
          <w:p w14:paraId="05CB2036" w14:textId="77777777" w:rsidR="00F87E58" w:rsidRPr="009C44C1" w:rsidRDefault="00F87E58" w:rsidP="00F87E58">
            <w:pPr>
              <w:pStyle w:val="cuatexto"/>
              <w:jc w:val="right"/>
              <w:rPr>
                <w:sz w:val="16"/>
                <w:szCs w:val="16"/>
              </w:rPr>
            </w:pPr>
            <w:r w:rsidRPr="009C44C1">
              <w:rPr>
                <w:sz w:val="16"/>
                <w:szCs w:val="16"/>
              </w:rPr>
              <w:t>%</w:t>
            </w:r>
          </w:p>
        </w:tc>
        <w:tc>
          <w:tcPr>
            <w:tcW w:w="993" w:type="dxa"/>
            <w:tcBorders>
              <w:left w:val="single" w:sz="4" w:space="0" w:color="auto"/>
            </w:tcBorders>
            <w:shd w:val="clear" w:color="auto" w:fill="8DB3E2" w:themeFill="text2" w:themeFillTint="66"/>
            <w:noWrap/>
            <w:vAlign w:val="center"/>
            <w:hideMark/>
          </w:tcPr>
          <w:p w14:paraId="5C9F66AC" w14:textId="77777777" w:rsidR="00F87E58" w:rsidRPr="009C44C1" w:rsidRDefault="00F87E58" w:rsidP="00F87E58">
            <w:pPr>
              <w:pStyle w:val="cuatexto"/>
              <w:jc w:val="right"/>
              <w:rPr>
                <w:sz w:val="16"/>
                <w:szCs w:val="16"/>
              </w:rPr>
            </w:pPr>
            <w:r w:rsidRPr="009C44C1">
              <w:rPr>
                <w:sz w:val="16"/>
                <w:szCs w:val="16"/>
              </w:rPr>
              <w:t>Transmisión</w:t>
            </w:r>
          </w:p>
        </w:tc>
        <w:tc>
          <w:tcPr>
            <w:tcW w:w="850" w:type="dxa"/>
            <w:shd w:val="clear" w:color="auto" w:fill="8DB3E2" w:themeFill="text2" w:themeFillTint="66"/>
            <w:noWrap/>
            <w:vAlign w:val="center"/>
            <w:hideMark/>
          </w:tcPr>
          <w:p w14:paraId="6A32B105" w14:textId="77777777" w:rsidR="00F87E58" w:rsidRPr="009C44C1" w:rsidRDefault="00886F83" w:rsidP="00886F83">
            <w:pPr>
              <w:pStyle w:val="cuatexto"/>
              <w:jc w:val="right"/>
              <w:rPr>
                <w:sz w:val="16"/>
                <w:szCs w:val="16"/>
              </w:rPr>
            </w:pPr>
            <w:r>
              <w:rPr>
                <w:sz w:val="16"/>
                <w:szCs w:val="16"/>
              </w:rPr>
              <w:t>F</w:t>
            </w:r>
            <w:r w:rsidR="00F87E58" w:rsidRPr="009C44C1">
              <w:rPr>
                <w:sz w:val="16"/>
                <w:szCs w:val="16"/>
              </w:rPr>
              <w:t>inales</w:t>
            </w:r>
          </w:p>
        </w:tc>
        <w:tc>
          <w:tcPr>
            <w:tcW w:w="652" w:type="dxa"/>
            <w:tcBorders>
              <w:right w:val="single" w:sz="4" w:space="0" w:color="auto"/>
            </w:tcBorders>
            <w:shd w:val="clear" w:color="auto" w:fill="8DB3E2" w:themeFill="text2" w:themeFillTint="66"/>
            <w:noWrap/>
            <w:vAlign w:val="center"/>
            <w:hideMark/>
          </w:tcPr>
          <w:p w14:paraId="35BDF32B" w14:textId="77777777" w:rsidR="00F87E58" w:rsidRPr="009C44C1" w:rsidRDefault="00F87E58" w:rsidP="00F87E58">
            <w:pPr>
              <w:pStyle w:val="cuatexto"/>
              <w:jc w:val="right"/>
              <w:rPr>
                <w:sz w:val="16"/>
                <w:szCs w:val="16"/>
              </w:rPr>
            </w:pPr>
            <w:r w:rsidRPr="009C44C1">
              <w:rPr>
                <w:sz w:val="16"/>
                <w:szCs w:val="16"/>
              </w:rPr>
              <w:t>%</w:t>
            </w:r>
          </w:p>
        </w:tc>
        <w:tc>
          <w:tcPr>
            <w:tcW w:w="992" w:type="dxa"/>
            <w:tcBorders>
              <w:left w:val="single" w:sz="4" w:space="0" w:color="auto"/>
            </w:tcBorders>
            <w:shd w:val="clear" w:color="auto" w:fill="8DB3E2" w:themeFill="text2" w:themeFillTint="66"/>
            <w:noWrap/>
            <w:vAlign w:val="center"/>
            <w:hideMark/>
          </w:tcPr>
          <w:p w14:paraId="5326971B" w14:textId="77777777" w:rsidR="00F87E58" w:rsidRPr="009C44C1" w:rsidRDefault="00F87E58" w:rsidP="00F87E58">
            <w:pPr>
              <w:pStyle w:val="cuatexto"/>
              <w:jc w:val="center"/>
              <w:rPr>
                <w:sz w:val="16"/>
                <w:szCs w:val="16"/>
              </w:rPr>
            </w:pPr>
            <w:r>
              <w:rPr>
                <w:sz w:val="16"/>
                <w:szCs w:val="16"/>
              </w:rPr>
              <w:t>Transmisión</w:t>
            </w:r>
          </w:p>
        </w:tc>
        <w:tc>
          <w:tcPr>
            <w:tcW w:w="766" w:type="dxa"/>
            <w:shd w:val="clear" w:color="auto" w:fill="8DB3E2" w:themeFill="text2" w:themeFillTint="66"/>
            <w:noWrap/>
            <w:vAlign w:val="center"/>
            <w:hideMark/>
          </w:tcPr>
          <w:p w14:paraId="0A7FC286" w14:textId="77777777" w:rsidR="00F87E58" w:rsidRPr="009C44C1" w:rsidRDefault="00886F83" w:rsidP="00886F83">
            <w:pPr>
              <w:pStyle w:val="cuatexto"/>
              <w:jc w:val="right"/>
              <w:rPr>
                <w:sz w:val="16"/>
                <w:szCs w:val="16"/>
              </w:rPr>
            </w:pPr>
            <w:r>
              <w:rPr>
                <w:sz w:val="16"/>
                <w:szCs w:val="16"/>
              </w:rPr>
              <w:t>F</w:t>
            </w:r>
            <w:r w:rsidR="00F87E58" w:rsidRPr="009C44C1">
              <w:rPr>
                <w:sz w:val="16"/>
                <w:szCs w:val="16"/>
              </w:rPr>
              <w:t>inales</w:t>
            </w:r>
          </w:p>
        </w:tc>
        <w:tc>
          <w:tcPr>
            <w:tcW w:w="793" w:type="dxa"/>
            <w:shd w:val="clear" w:color="auto" w:fill="8DB3E2" w:themeFill="text2" w:themeFillTint="66"/>
            <w:noWrap/>
            <w:vAlign w:val="center"/>
            <w:hideMark/>
          </w:tcPr>
          <w:p w14:paraId="62564EBE" w14:textId="77777777" w:rsidR="00F87E58" w:rsidRPr="009C44C1" w:rsidRDefault="00F87E58" w:rsidP="00F87E58">
            <w:pPr>
              <w:pStyle w:val="cuatexto"/>
              <w:jc w:val="right"/>
              <w:rPr>
                <w:sz w:val="16"/>
                <w:szCs w:val="16"/>
              </w:rPr>
            </w:pPr>
            <w:r w:rsidRPr="009C44C1">
              <w:rPr>
                <w:sz w:val="16"/>
                <w:szCs w:val="16"/>
              </w:rPr>
              <w:t>%</w:t>
            </w:r>
          </w:p>
        </w:tc>
      </w:tr>
      <w:tr w:rsidR="00F87E58" w:rsidRPr="009C44C1" w14:paraId="7285B428" w14:textId="77777777" w:rsidTr="009B18F4">
        <w:trPr>
          <w:trHeight w:val="198"/>
          <w:jc w:val="center"/>
        </w:trPr>
        <w:tc>
          <w:tcPr>
            <w:tcW w:w="1276" w:type="dxa"/>
            <w:shd w:val="clear" w:color="auto" w:fill="auto"/>
            <w:noWrap/>
            <w:vAlign w:val="center"/>
            <w:hideMark/>
          </w:tcPr>
          <w:p w14:paraId="3C7383E9" w14:textId="77777777" w:rsidR="00F87E58" w:rsidRPr="009C44C1" w:rsidRDefault="00F87E58" w:rsidP="00F87E58">
            <w:pPr>
              <w:pStyle w:val="cuatexto"/>
              <w:rPr>
                <w:sz w:val="16"/>
                <w:szCs w:val="16"/>
              </w:rPr>
            </w:pPr>
            <w:r w:rsidRPr="009C44C1">
              <w:rPr>
                <w:sz w:val="16"/>
                <w:szCs w:val="16"/>
              </w:rPr>
              <w:t>Sodena SA/SL</w:t>
            </w:r>
          </w:p>
        </w:tc>
        <w:tc>
          <w:tcPr>
            <w:tcW w:w="836" w:type="dxa"/>
            <w:shd w:val="clear" w:color="auto" w:fill="auto"/>
            <w:noWrap/>
            <w:vAlign w:val="center"/>
            <w:hideMark/>
          </w:tcPr>
          <w:p w14:paraId="36986872" w14:textId="77777777" w:rsidR="00F87E58" w:rsidRPr="009C44C1" w:rsidRDefault="00F87E58" w:rsidP="00F87E58">
            <w:pPr>
              <w:pStyle w:val="cuatexto"/>
              <w:jc w:val="right"/>
              <w:rPr>
                <w:sz w:val="16"/>
                <w:szCs w:val="16"/>
              </w:rPr>
            </w:pPr>
            <w:r w:rsidRPr="009C44C1">
              <w:rPr>
                <w:sz w:val="16"/>
                <w:szCs w:val="16"/>
              </w:rPr>
              <w:t>405.000</w:t>
            </w:r>
          </w:p>
        </w:tc>
        <w:tc>
          <w:tcPr>
            <w:tcW w:w="922" w:type="dxa"/>
            <w:tcBorders>
              <w:right w:val="single" w:sz="4" w:space="0" w:color="auto"/>
            </w:tcBorders>
            <w:shd w:val="clear" w:color="auto" w:fill="auto"/>
            <w:noWrap/>
            <w:vAlign w:val="center"/>
            <w:hideMark/>
          </w:tcPr>
          <w:p w14:paraId="0FEBBF59" w14:textId="77777777" w:rsidR="00F87E58" w:rsidRPr="009C44C1" w:rsidRDefault="00F87E58" w:rsidP="00F87E58">
            <w:pPr>
              <w:pStyle w:val="cuatexto"/>
              <w:jc w:val="right"/>
              <w:rPr>
                <w:sz w:val="16"/>
                <w:szCs w:val="16"/>
              </w:rPr>
            </w:pPr>
            <w:r w:rsidRPr="009C44C1">
              <w:rPr>
                <w:sz w:val="16"/>
                <w:szCs w:val="16"/>
              </w:rPr>
              <w:t>45</w:t>
            </w:r>
          </w:p>
        </w:tc>
        <w:tc>
          <w:tcPr>
            <w:tcW w:w="992" w:type="dxa"/>
            <w:tcBorders>
              <w:left w:val="single" w:sz="4" w:space="0" w:color="auto"/>
            </w:tcBorders>
            <w:shd w:val="clear" w:color="auto" w:fill="auto"/>
            <w:noWrap/>
            <w:vAlign w:val="center"/>
            <w:hideMark/>
          </w:tcPr>
          <w:p w14:paraId="62187C51" w14:textId="77777777" w:rsidR="00F87E58" w:rsidRPr="009C44C1" w:rsidRDefault="00F87E58" w:rsidP="00F87E58">
            <w:pPr>
              <w:pStyle w:val="cuatexto"/>
              <w:jc w:val="right"/>
              <w:rPr>
                <w:sz w:val="16"/>
                <w:szCs w:val="16"/>
              </w:rPr>
            </w:pPr>
            <w:r w:rsidRPr="009C44C1">
              <w:rPr>
                <w:sz w:val="16"/>
                <w:szCs w:val="16"/>
              </w:rPr>
              <w:t>0</w:t>
            </w:r>
          </w:p>
        </w:tc>
        <w:tc>
          <w:tcPr>
            <w:tcW w:w="851" w:type="dxa"/>
            <w:shd w:val="clear" w:color="auto" w:fill="auto"/>
            <w:noWrap/>
            <w:vAlign w:val="center"/>
            <w:hideMark/>
          </w:tcPr>
          <w:p w14:paraId="60661819" w14:textId="77777777" w:rsidR="00F87E58" w:rsidRPr="009C44C1" w:rsidRDefault="00F87E58" w:rsidP="00F87E58">
            <w:pPr>
              <w:pStyle w:val="cuatexto"/>
              <w:jc w:val="right"/>
              <w:rPr>
                <w:sz w:val="16"/>
                <w:szCs w:val="16"/>
              </w:rPr>
            </w:pPr>
            <w:r w:rsidRPr="009C44C1">
              <w:rPr>
                <w:sz w:val="16"/>
                <w:szCs w:val="16"/>
              </w:rPr>
              <w:t>405.000</w:t>
            </w:r>
          </w:p>
        </w:tc>
        <w:tc>
          <w:tcPr>
            <w:tcW w:w="425" w:type="dxa"/>
            <w:tcBorders>
              <w:right w:val="single" w:sz="4" w:space="0" w:color="auto"/>
            </w:tcBorders>
            <w:shd w:val="clear" w:color="auto" w:fill="auto"/>
            <w:noWrap/>
            <w:vAlign w:val="center"/>
            <w:hideMark/>
          </w:tcPr>
          <w:p w14:paraId="47B76DC5" w14:textId="77777777" w:rsidR="00F87E58" w:rsidRPr="009C44C1" w:rsidRDefault="00F87E58" w:rsidP="00F87E58">
            <w:pPr>
              <w:pStyle w:val="cuatexto"/>
              <w:jc w:val="right"/>
              <w:rPr>
                <w:sz w:val="16"/>
                <w:szCs w:val="16"/>
              </w:rPr>
            </w:pPr>
            <w:r w:rsidRPr="009C44C1">
              <w:rPr>
                <w:sz w:val="16"/>
                <w:szCs w:val="16"/>
              </w:rPr>
              <w:t>45</w:t>
            </w:r>
          </w:p>
        </w:tc>
        <w:tc>
          <w:tcPr>
            <w:tcW w:w="993" w:type="dxa"/>
            <w:tcBorders>
              <w:left w:val="single" w:sz="4" w:space="0" w:color="auto"/>
            </w:tcBorders>
            <w:shd w:val="clear" w:color="auto" w:fill="auto"/>
            <w:noWrap/>
            <w:vAlign w:val="center"/>
            <w:hideMark/>
          </w:tcPr>
          <w:p w14:paraId="62FAED9D" w14:textId="77777777" w:rsidR="00F87E58" w:rsidRPr="009C44C1" w:rsidRDefault="00F87E58" w:rsidP="00F87E58">
            <w:pPr>
              <w:pStyle w:val="cuatexto"/>
              <w:jc w:val="right"/>
              <w:rPr>
                <w:sz w:val="16"/>
                <w:szCs w:val="16"/>
              </w:rPr>
            </w:pPr>
          </w:p>
        </w:tc>
        <w:tc>
          <w:tcPr>
            <w:tcW w:w="850" w:type="dxa"/>
            <w:shd w:val="clear" w:color="auto" w:fill="auto"/>
            <w:noWrap/>
            <w:vAlign w:val="center"/>
            <w:hideMark/>
          </w:tcPr>
          <w:p w14:paraId="4F7A9213" w14:textId="77777777" w:rsidR="00F87E58" w:rsidRPr="009C44C1" w:rsidRDefault="00F87E58" w:rsidP="00F87E58">
            <w:pPr>
              <w:pStyle w:val="cuatexto"/>
              <w:jc w:val="right"/>
              <w:rPr>
                <w:sz w:val="16"/>
                <w:szCs w:val="16"/>
              </w:rPr>
            </w:pPr>
            <w:r w:rsidRPr="009C44C1">
              <w:rPr>
                <w:sz w:val="16"/>
                <w:szCs w:val="16"/>
              </w:rPr>
              <w:t>405.000</w:t>
            </w:r>
          </w:p>
        </w:tc>
        <w:tc>
          <w:tcPr>
            <w:tcW w:w="652" w:type="dxa"/>
            <w:tcBorders>
              <w:right w:val="single" w:sz="4" w:space="0" w:color="auto"/>
            </w:tcBorders>
            <w:shd w:val="clear" w:color="auto" w:fill="auto"/>
            <w:noWrap/>
            <w:vAlign w:val="center"/>
            <w:hideMark/>
          </w:tcPr>
          <w:p w14:paraId="2C42CE47" w14:textId="77777777" w:rsidR="00F87E58" w:rsidRPr="009C44C1" w:rsidRDefault="00F87E58" w:rsidP="00F87E58">
            <w:pPr>
              <w:pStyle w:val="cuatexto"/>
              <w:jc w:val="right"/>
              <w:rPr>
                <w:sz w:val="16"/>
                <w:szCs w:val="16"/>
              </w:rPr>
            </w:pPr>
            <w:r w:rsidRPr="009C44C1">
              <w:rPr>
                <w:sz w:val="16"/>
                <w:szCs w:val="16"/>
              </w:rPr>
              <w:t>45</w:t>
            </w:r>
          </w:p>
        </w:tc>
        <w:tc>
          <w:tcPr>
            <w:tcW w:w="992" w:type="dxa"/>
            <w:tcBorders>
              <w:left w:val="single" w:sz="4" w:space="0" w:color="auto"/>
            </w:tcBorders>
            <w:shd w:val="clear" w:color="auto" w:fill="auto"/>
            <w:noWrap/>
            <w:vAlign w:val="center"/>
            <w:hideMark/>
          </w:tcPr>
          <w:p w14:paraId="19F03870" w14:textId="77777777" w:rsidR="00F87E58" w:rsidRPr="009C44C1" w:rsidRDefault="00F87E58" w:rsidP="00F87E58">
            <w:pPr>
              <w:pStyle w:val="cuatexto"/>
              <w:jc w:val="right"/>
              <w:rPr>
                <w:sz w:val="16"/>
                <w:szCs w:val="16"/>
              </w:rPr>
            </w:pPr>
            <w:r w:rsidRPr="009C44C1">
              <w:rPr>
                <w:sz w:val="16"/>
                <w:szCs w:val="16"/>
              </w:rPr>
              <w:t> </w:t>
            </w:r>
          </w:p>
        </w:tc>
        <w:tc>
          <w:tcPr>
            <w:tcW w:w="766" w:type="dxa"/>
            <w:shd w:val="clear" w:color="auto" w:fill="auto"/>
            <w:noWrap/>
            <w:vAlign w:val="center"/>
            <w:hideMark/>
          </w:tcPr>
          <w:p w14:paraId="2FB1CE78" w14:textId="77777777" w:rsidR="00F87E58" w:rsidRPr="009C44C1" w:rsidRDefault="00F87E58" w:rsidP="00F87E58">
            <w:pPr>
              <w:pStyle w:val="cuatexto"/>
              <w:jc w:val="right"/>
              <w:rPr>
                <w:sz w:val="16"/>
                <w:szCs w:val="16"/>
              </w:rPr>
            </w:pPr>
            <w:r w:rsidRPr="009C44C1">
              <w:rPr>
                <w:sz w:val="16"/>
                <w:szCs w:val="16"/>
              </w:rPr>
              <w:t>405.000</w:t>
            </w:r>
          </w:p>
        </w:tc>
        <w:tc>
          <w:tcPr>
            <w:tcW w:w="793" w:type="dxa"/>
            <w:shd w:val="clear" w:color="auto" w:fill="auto"/>
            <w:noWrap/>
            <w:vAlign w:val="center"/>
            <w:hideMark/>
          </w:tcPr>
          <w:p w14:paraId="534AAAC2" w14:textId="77777777" w:rsidR="00F87E58" w:rsidRPr="009C44C1" w:rsidRDefault="00F87E58" w:rsidP="00F87E58">
            <w:pPr>
              <w:pStyle w:val="cuatexto"/>
              <w:jc w:val="right"/>
              <w:rPr>
                <w:sz w:val="16"/>
                <w:szCs w:val="16"/>
              </w:rPr>
            </w:pPr>
            <w:r w:rsidRPr="009C44C1">
              <w:rPr>
                <w:sz w:val="16"/>
                <w:szCs w:val="16"/>
              </w:rPr>
              <w:t>45</w:t>
            </w:r>
          </w:p>
        </w:tc>
      </w:tr>
      <w:tr w:rsidR="00F87E58" w:rsidRPr="009C44C1" w14:paraId="0F576F64" w14:textId="77777777" w:rsidTr="009B18F4">
        <w:trPr>
          <w:trHeight w:val="198"/>
          <w:jc w:val="center"/>
        </w:trPr>
        <w:tc>
          <w:tcPr>
            <w:tcW w:w="1276" w:type="dxa"/>
            <w:shd w:val="clear" w:color="auto" w:fill="auto"/>
            <w:noWrap/>
            <w:vAlign w:val="center"/>
            <w:hideMark/>
          </w:tcPr>
          <w:p w14:paraId="0E5D6103" w14:textId="77777777" w:rsidR="00F87E58" w:rsidRPr="009C44C1" w:rsidRDefault="00F87E58" w:rsidP="00F87E58">
            <w:pPr>
              <w:pStyle w:val="cuatexto"/>
              <w:rPr>
                <w:sz w:val="16"/>
                <w:szCs w:val="16"/>
              </w:rPr>
            </w:pPr>
            <w:r w:rsidRPr="009C44C1">
              <w:rPr>
                <w:sz w:val="16"/>
                <w:szCs w:val="16"/>
              </w:rPr>
              <w:t xml:space="preserve">GCAN/Hiscan </w:t>
            </w:r>
          </w:p>
        </w:tc>
        <w:tc>
          <w:tcPr>
            <w:tcW w:w="836" w:type="dxa"/>
            <w:shd w:val="clear" w:color="auto" w:fill="auto"/>
            <w:noWrap/>
            <w:vAlign w:val="center"/>
            <w:hideMark/>
          </w:tcPr>
          <w:p w14:paraId="2F5F7AF2" w14:textId="77777777" w:rsidR="00F87E58" w:rsidRPr="009C44C1" w:rsidRDefault="00F87E58" w:rsidP="00F87E58">
            <w:pPr>
              <w:pStyle w:val="cuatexto"/>
              <w:jc w:val="right"/>
              <w:rPr>
                <w:sz w:val="16"/>
                <w:szCs w:val="16"/>
              </w:rPr>
            </w:pPr>
            <w:r w:rsidRPr="009C44C1">
              <w:rPr>
                <w:sz w:val="16"/>
                <w:szCs w:val="16"/>
              </w:rPr>
              <w:t>135.000</w:t>
            </w:r>
          </w:p>
        </w:tc>
        <w:tc>
          <w:tcPr>
            <w:tcW w:w="922" w:type="dxa"/>
            <w:tcBorders>
              <w:right w:val="single" w:sz="4" w:space="0" w:color="auto"/>
            </w:tcBorders>
            <w:shd w:val="clear" w:color="auto" w:fill="auto"/>
            <w:noWrap/>
            <w:vAlign w:val="center"/>
            <w:hideMark/>
          </w:tcPr>
          <w:p w14:paraId="7CFC5AFF" w14:textId="77777777" w:rsidR="00F87E58" w:rsidRPr="009C44C1" w:rsidRDefault="00F87E58" w:rsidP="00F87E58">
            <w:pPr>
              <w:pStyle w:val="cuatexto"/>
              <w:jc w:val="right"/>
              <w:rPr>
                <w:sz w:val="16"/>
                <w:szCs w:val="16"/>
              </w:rPr>
            </w:pPr>
            <w:r w:rsidRPr="009C44C1">
              <w:rPr>
                <w:sz w:val="16"/>
                <w:szCs w:val="16"/>
              </w:rPr>
              <w:t>15</w:t>
            </w:r>
          </w:p>
        </w:tc>
        <w:tc>
          <w:tcPr>
            <w:tcW w:w="992" w:type="dxa"/>
            <w:tcBorders>
              <w:left w:val="single" w:sz="4" w:space="0" w:color="auto"/>
            </w:tcBorders>
            <w:shd w:val="clear" w:color="auto" w:fill="auto"/>
            <w:noWrap/>
            <w:vAlign w:val="center"/>
            <w:hideMark/>
          </w:tcPr>
          <w:p w14:paraId="783BD49B" w14:textId="77777777" w:rsidR="00F87E58" w:rsidRPr="009C44C1" w:rsidRDefault="00F87E58" w:rsidP="00F87E58">
            <w:pPr>
              <w:pStyle w:val="cuatexto"/>
              <w:jc w:val="right"/>
              <w:rPr>
                <w:sz w:val="16"/>
                <w:szCs w:val="16"/>
              </w:rPr>
            </w:pPr>
            <w:r w:rsidRPr="009C44C1">
              <w:rPr>
                <w:sz w:val="16"/>
                <w:szCs w:val="16"/>
              </w:rPr>
              <w:t>45.000</w:t>
            </w:r>
          </w:p>
        </w:tc>
        <w:tc>
          <w:tcPr>
            <w:tcW w:w="851" w:type="dxa"/>
            <w:shd w:val="clear" w:color="auto" w:fill="auto"/>
            <w:noWrap/>
            <w:vAlign w:val="center"/>
            <w:hideMark/>
          </w:tcPr>
          <w:p w14:paraId="2A5834C6" w14:textId="77777777" w:rsidR="00F87E58" w:rsidRPr="009C44C1" w:rsidRDefault="00F87E58" w:rsidP="00F87E58">
            <w:pPr>
              <w:pStyle w:val="cuatexto"/>
              <w:jc w:val="right"/>
              <w:rPr>
                <w:sz w:val="16"/>
                <w:szCs w:val="16"/>
              </w:rPr>
            </w:pPr>
            <w:r w:rsidRPr="009C44C1">
              <w:rPr>
                <w:sz w:val="16"/>
                <w:szCs w:val="16"/>
              </w:rPr>
              <w:t>180.000</w:t>
            </w:r>
          </w:p>
        </w:tc>
        <w:tc>
          <w:tcPr>
            <w:tcW w:w="425" w:type="dxa"/>
            <w:tcBorders>
              <w:right w:val="single" w:sz="4" w:space="0" w:color="auto"/>
            </w:tcBorders>
            <w:shd w:val="clear" w:color="auto" w:fill="auto"/>
            <w:noWrap/>
            <w:vAlign w:val="center"/>
            <w:hideMark/>
          </w:tcPr>
          <w:p w14:paraId="14ED4A27" w14:textId="77777777" w:rsidR="00F87E58" w:rsidRPr="009C44C1" w:rsidRDefault="00F87E58" w:rsidP="00F87E58">
            <w:pPr>
              <w:pStyle w:val="cuatexto"/>
              <w:jc w:val="right"/>
              <w:rPr>
                <w:sz w:val="16"/>
                <w:szCs w:val="16"/>
              </w:rPr>
            </w:pPr>
            <w:r w:rsidRPr="009C44C1">
              <w:rPr>
                <w:sz w:val="16"/>
                <w:szCs w:val="16"/>
              </w:rPr>
              <w:t>20</w:t>
            </w:r>
          </w:p>
        </w:tc>
        <w:tc>
          <w:tcPr>
            <w:tcW w:w="993" w:type="dxa"/>
            <w:tcBorders>
              <w:left w:val="single" w:sz="4" w:space="0" w:color="auto"/>
            </w:tcBorders>
            <w:shd w:val="clear" w:color="auto" w:fill="auto"/>
            <w:noWrap/>
            <w:vAlign w:val="center"/>
            <w:hideMark/>
          </w:tcPr>
          <w:p w14:paraId="6E4272D0" w14:textId="77777777" w:rsidR="00F87E58" w:rsidRPr="009C44C1" w:rsidRDefault="00F87E58" w:rsidP="00F87E58">
            <w:pPr>
              <w:pStyle w:val="cuatexto"/>
              <w:jc w:val="right"/>
              <w:rPr>
                <w:sz w:val="16"/>
                <w:szCs w:val="16"/>
              </w:rPr>
            </w:pPr>
            <w:r w:rsidRPr="009C44C1">
              <w:rPr>
                <w:sz w:val="16"/>
                <w:szCs w:val="16"/>
              </w:rPr>
              <w:t>-19.287</w:t>
            </w:r>
          </w:p>
        </w:tc>
        <w:tc>
          <w:tcPr>
            <w:tcW w:w="850" w:type="dxa"/>
            <w:shd w:val="clear" w:color="auto" w:fill="auto"/>
            <w:noWrap/>
            <w:vAlign w:val="center"/>
            <w:hideMark/>
          </w:tcPr>
          <w:p w14:paraId="063B7BB2" w14:textId="77777777" w:rsidR="00F87E58" w:rsidRPr="009C44C1" w:rsidRDefault="00F87E58" w:rsidP="00F87E58">
            <w:pPr>
              <w:pStyle w:val="cuatexto"/>
              <w:jc w:val="right"/>
              <w:rPr>
                <w:sz w:val="16"/>
                <w:szCs w:val="16"/>
              </w:rPr>
            </w:pPr>
            <w:r w:rsidRPr="009C44C1">
              <w:rPr>
                <w:sz w:val="16"/>
                <w:szCs w:val="16"/>
              </w:rPr>
              <w:t>160.713</w:t>
            </w:r>
          </w:p>
        </w:tc>
        <w:tc>
          <w:tcPr>
            <w:tcW w:w="652" w:type="dxa"/>
            <w:tcBorders>
              <w:right w:val="single" w:sz="4" w:space="0" w:color="auto"/>
            </w:tcBorders>
            <w:shd w:val="clear" w:color="auto" w:fill="auto"/>
            <w:noWrap/>
            <w:vAlign w:val="center"/>
            <w:hideMark/>
          </w:tcPr>
          <w:p w14:paraId="3304FEF5" w14:textId="77777777" w:rsidR="00F87E58" w:rsidRPr="009C44C1" w:rsidRDefault="00F87E58" w:rsidP="00F87E58">
            <w:pPr>
              <w:pStyle w:val="cuatexto"/>
              <w:jc w:val="right"/>
              <w:rPr>
                <w:sz w:val="16"/>
                <w:szCs w:val="16"/>
              </w:rPr>
            </w:pPr>
            <w:r w:rsidRPr="009C44C1">
              <w:rPr>
                <w:sz w:val="16"/>
                <w:szCs w:val="16"/>
              </w:rPr>
              <w:t>17,86</w:t>
            </w:r>
          </w:p>
        </w:tc>
        <w:tc>
          <w:tcPr>
            <w:tcW w:w="992" w:type="dxa"/>
            <w:tcBorders>
              <w:left w:val="single" w:sz="4" w:space="0" w:color="auto"/>
            </w:tcBorders>
            <w:shd w:val="clear" w:color="auto" w:fill="auto"/>
            <w:noWrap/>
            <w:vAlign w:val="center"/>
            <w:hideMark/>
          </w:tcPr>
          <w:p w14:paraId="61B5C5AF" w14:textId="77777777" w:rsidR="00F87E58" w:rsidRPr="009C44C1" w:rsidRDefault="00F87E58" w:rsidP="00F87E58">
            <w:pPr>
              <w:pStyle w:val="cuatexto"/>
              <w:jc w:val="right"/>
              <w:rPr>
                <w:sz w:val="16"/>
                <w:szCs w:val="16"/>
              </w:rPr>
            </w:pPr>
            <w:r w:rsidRPr="009C44C1">
              <w:rPr>
                <w:sz w:val="16"/>
                <w:szCs w:val="16"/>
              </w:rPr>
              <w:t> </w:t>
            </w:r>
          </w:p>
        </w:tc>
        <w:tc>
          <w:tcPr>
            <w:tcW w:w="766" w:type="dxa"/>
            <w:shd w:val="clear" w:color="auto" w:fill="auto"/>
            <w:noWrap/>
            <w:vAlign w:val="center"/>
            <w:hideMark/>
          </w:tcPr>
          <w:p w14:paraId="156DABC2" w14:textId="77777777" w:rsidR="00F87E58" w:rsidRPr="009C44C1" w:rsidRDefault="00F87E58" w:rsidP="00F87E58">
            <w:pPr>
              <w:pStyle w:val="cuatexto"/>
              <w:jc w:val="right"/>
              <w:rPr>
                <w:sz w:val="16"/>
                <w:szCs w:val="16"/>
              </w:rPr>
            </w:pPr>
            <w:r w:rsidRPr="009C44C1">
              <w:rPr>
                <w:sz w:val="16"/>
                <w:szCs w:val="16"/>
              </w:rPr>
              <w:t>160.713</w:t>
            </w:r>
          </w:p>
        </w:tc>
        <w:tc>
          <w:tcPr>
            <w:tcW w:w="793" w:type="dxa"/>
            <w:shd w:val="clear" w:color="auto" w:fill="auto"/>
            <w:noWrap/>
            <w:vAlign w:val="center"/>
            <w:hideMark/>
          </w:tcPr>
          <w:p w14:paraId="2B62FB82" w14:textId="77777777" w:rsidR="00F87E58" w:rsidRPr="009C44C1" w:rsidRDefault="00F87E58" w:rsidP="00F87E58">
            <w:pPr>
              <w:pStyle w:val="cuatexto"/>
              <w:jc w:val="right"/>
              <w:rPr>
                <w:sz w:val="16"/>
                <w:szCs w:val="16"/>
              </w:rPr>
            </w:pPr>
            <w:r w:rsidRPr="009C44C1">
              <w:rPr>
                <w:sz w:val="16"/>
                <w:szCs w:val="16"/>
              </w:rPr>
              <w:t>17,86</w:t>
            </w:r>
          </w:p>
        </w:tc>
      </w:tr>
      <w:tr w:rsidR="00F87E58" w:rsidRPr="009C44C1" w14:paraId="5AB042EB" w14:textId="77777777" w:rsidTr="009B18F4">
        <w:trPr>
          <w:trHeight w:val="198"/>
          <w:jc w:val="center"/>
        </w:trPr>
        <w:tc>
          <w:tcPr>
            <w:tcW w:w="1276" w:type="dxa"/>
            <w:shd w:val="clear" w:color="auto" w:fill="auto"/>
            <w:noWrap/>
            <w:vAlign w:val="center"/>
            <w:hideMark/>
          </w:tcPr>
          <w:p w14:paraId="2858F58B" w14:textId="77777777" w:rsidR="00F87E58" w:rsidRPr="009C44C1" w:rsidRDefault="00F87E58" w:rsidP="00F87E58">
            <w:pPr>
              <w:pStyle w:val="cuatexto"/>
              <w:rPr>
                <w:sz w:val="16"/>
                <w:szCs w:val="16"/>
              </w:rPr>
            </w:pPr>
            <w:r w:rsidRPr="009C44C1">
              <w:rPr>
                <w:sz w:val="16"/>
                <w:szCs w:val="16"/>
              </w:rPr>
              <w:t>Patali</w:t>
            </w:r>
          </w:p>
        </w:tc>
        <w:tc>
          <w:tcPr>
            <w:tcW w:w="836" w:type="dxa"/>
            <w:shd w:val="clear" w:color="auto" w:fill="auto"/>
            <w:noWrap/>
            <w:vAlign w:val="center"/>
            <w:hideMark/>
          </w:tcPr>
          <w:p w14:paraId="77D0A165" w14:textId="77777777" w:rsidR="00F87E58" w:rsidRPr="009C44C1" w:rsidRDefault="00F87E58" w:rsidP="00F87E58">
            <w:pPr>
              <w:pStyle w:val="cuatexto"/>
              <w:jc w:val="right"/>
              <w:rPr>
                <w:sz w:val="16"/>
                <w:szCs w:val="16"/>
              </w:rPr>
            </w:pPr>
            <w:r w:rsidRPr="009C44C1">
              <w:rPr>
                <w:sz w:val="16"/>
                <w:szCs w:val="16"/>
              </w:rPr>
              <w:t>225.000</w:t>
            </w:r>
          </w:p>
        </w:tc>
        <w:tc>
          <w:tcPr>
            <w:tcW w:w="922" w:type="dxa"/>
            <w:tcBorders>
              <w:right w:val="single" w:sz="4" w:space="0" w:color="auto"/>
            </w:tcBorders>
            <w:shd w:val="clear" w:color="auto" w:fill="auto"/>
            <w:noWrap/>
            <w:vAlign w:val="center"/>
            <w:hideMark/>
          </w:tcPr>
          <w:p w14:paraId="19CC9FF9" w14:textId="77777777" w:rsidR="00F87E58" w:rsidRPr="009C44C1" w:rsidRDefault="00F87E58" w:rsidP="00F87E58">
            <w:pPr>
              <w:pStyle w:val="cuatexto"/>
              <w:jc w:val="right"/>
              <w:rPr>
                <w:sz w:val="16"/>
                <w:szCs w:val="16"/>
              </w:rPr>
            </w:pPr>
            <w:r w:rsidRPr="009C44C1">
              <w:rPr>
                <w:sz w:val="16"/>
                <w:szCs w:val="16"/>
              </w:rPr>
              <w:t>25</w:t>
            </w:r>
          </w:p>
        </w:tc>
        <w:tc>
          <w:tcPr>
            <w:tcW w:w="992" w:type="dxa"/>
            <w:tcBorders>
              <w:left w:val="single" w:sz="4" w:space="0" w:color="auto"/>
            </w:tcBorders>
            <w:shd w:val="clear" w:color="auto" w:fill="auto"/>
            <w:noWrap/>
            <w:vAlign w:val="center"/>
            <w:hideMark/>
          </w:tcPr>
          <w:p w14:paraId="5A21C5BC" w14:textId="77777777" w:rsidR="00F87E58" w:rsidRPr="009C44C1" w:rsidRDefault="00F87E58" w:rsidP="00F87E58">
            <w:pPr>
              <w:pStyle w:val="cuatexto"/>
              <w:jc w:val="right"/>
              <w:rPr>
                <w:sz w:val="16"/>
                <w:szCs w:val="16"/>
              </w:rPr>
            </w:pPr>
            <w:r w:rsidRPr="009C44C1">
              <w:rPr>
                <w:sz w:val="16"/>
                <w:szCs w:val="16"/>
              </w:rPr>
              <w:t>-45.000</w:t>
            </w:r>
          </w:p>
        </w:tc>
        <w:tc>
          <w:tcPr>
            <w:tcW w:w="851" w:type="dxa"/>
            <w:shd w:val="clear" w:color="auto" w:fill="auto"/>
            <w:noWrap/>
            <w:vAlign w:val="center"/>
            <w:hideMark/>
          </w:tcPr>
          <w:p w14:paraId="5CAB9290" w14:textId="77777777" w:rsidR="00F87E58" w:rsidRPr="009C44C1" w:rsidRDefault="00F87E58" w:rsidP="00F87E58">
            <w:pPr>
              <w:pStyle w:val="cuatexto"/>
              <w:jc w:val="right"/>
              <w:rPr>
                <w:sz w:val="16"/>
                <w:szCs w:val="16"/>
              </w:rPr>
            </w:pPr>
            <w:r w:rsidRPr="009C44C1">
              <w:rPr>
                <w:sz w:val="16"/>
                <w:szCs w:val="16"/>
              </w:rPr>
              <w:t>180.000</w:t>
            </w:r>
          </w:p>
        </w:tc>
        <w:tc>
          <w:tcPr>
            <w:tcW w:w="425" w:type="dxa"/>
            <w:tcBorders>
              <w:right w:val="single" w:sz="4" w:space="0" w:color="auto"/>
            </w:tcBorders>
            <w:shd w:val="clear" w:color="auto" w:fill="auto"/>
            <w:noWrap/>
            <w:vAlign w:val="center"/>
            <w:hideMark/>
          </w:tcPr>
          <w:p w14:paraId="3D229347" w14:textId="77777777" w:rsidR="00F87E58" w:rsidRPr="009C44C1" w:rsidRDefault="00F87E58" w:rsidP="00F87E58">
            <w:pPr>
              <w:pStyle w:val="cuatexto"/>
              <w:jc w:val="right"/>
              <w:rPr>
                <w:sz w:val="16"/>
                <w:szCs w:val="16"/>
              </w:rPr>
            </w:pPr>
            <w:r w:rsidRPr="009C44C1">
              <w:rPr>
                <w:sz w:val="16"/>
                <w:szCs w:val="16"/>
              </w:rPr>
              <w:t>20</w:t>
            </w:r>
          </w:p>
        </w:tc>
        <w:tc>
          <w:tcPr>
            <w:tcW w:w="993" w:type="dxa"/>
            <w:tcBorders>
              <w:left w:val="single" w:sz="4" w:space="0" w:color="auto"/>
            </w:tcBorders>
            <w:shd w:val="clear" w:color="auto" w:fill="auto"/>
            <w:noWrap/>
            <w:vAlign w:val="center"/>
            <w:hideMark/>
          </w:tcPr>
          <w:p w14:paraId="7278D305" w14:textId="77777777" w:rsidR="00F87E58" w:rsidRPr="009C44C1" w:rsidRDefault="00F87E58" w:rsidP="00F87E58">
            <w:pPr>
              <w:pStyle w:val="cuatexto"/>
              <w:jc w:val="right"/>
              <w:rPr>
                <w:sz w:val="16"/>
                <w:szCs w:val="16"/>
              </w:rPr>
            </w:pPr>
          </w:p>
        </w:tc>
        <w:tc>
          <w:tcPr>
            <w:tcW w:w="850" w:type="dxa"/>
            <w:shd w:val="clear" w:color="auto" w:fill="auto"/>
            <w:noWrap/>
            <w:vAlign w:val="center"/>
            <w:hideMark/>
          </w:tcPr>
          <w:p w14:paraId="20446AEB" w14:textId="77777777" w:rsidR="00F87E58" w:rsidRPr="009C44C1" w:rsidRDefault="00F87E58" w:rsidP="00F87E58">
            <w:pPr>
              <w:pStyle w:val="cuatexto"/>
              <w:jc w:val="right"/>
              <w:rPr>
                <w:sz w:val="16"/>
                <w:szCs w:val="16"/>
              </w:rPr>
            </w:pPr>
            <w:r w:rsidRPr="009C44C1">
              <w:rPr>
                <w:sz w:val="16"/>
                <w:szCs w:val="16"/>
              </w:rPr>
              <w:t>180.000</w:t>
            </w:r>
          </w:p>
        </w:tc>
        <w:tc>
          <w:tcPr>
            <w:tcW w:w="652" w:type="dxa"/>
            <w:tcBorders>
              <w:right w:val="single" w:sz="4" w:space="0" w:color="auto"/>
            </w:tcBorders>
            <w:shd w:val="clear" w:color="auto" w:fill="auto"/>
            <w:noWrap/>
            <w:vAlign w:val="center"/>
            <w:hideMark/>
          </w:tcPr>
          <w:p w14:paraId="7BC675D6" w14:textId="77777777" w:rsidR="00F87E58" w:rsidRPr="009C44C1" w:rsidRDefault="00F87E58" w:rsidP="00F87E58">
            <w:pPr>
              <w:pStyle w:val="cuatexto"/>
              <w:jc w:val="right"/>
              <w:rPr>
                <w:sz w:val="16"/>
                <w:szCs w:val="16"/>
              </w:rPr>
            </w:pPr>
            <w:r w:rsidRPr="009C44C1">
              <w:rPr>
                <w:sz w:val="16"/>
                <w:szCs w:val="16"/>
              </w:rPr>
              <w:t>20</w:t>
            </w:r>
          </w:p>
        </w:tc>
        <w:tc>
          <w:tcPr>
            <w:tcW w:w="992" w:type="dxa"/>
            <w:tcBorders>
              <w:left w:val="single" w:sz="4" w:space="0" w:color="auto"/>
            </w:tcBorders>
            <w:shd w:val="clear" w:color="auto" w:fill="auto"/>
            <w:noWrap/>
            <w:vAlign w:val="center"/>
            <w:hideMark/>
          </w:tcPr>
          <w:p w14:paraId="07A382FD" w14:textId="77777777" w:rsidR="00F87E58" w:rsidRPr="009C44C1" w:rsidRDefault="00F87E58" w:rsidP="00F87E58">
            <w:pPr>
              <w:pStyle w:val="cuatexto"/>
              <w:jc w:val="right"/>
              <w:rPr>
                <w:sz w:val="16"/>
                <w:szCs w:val="16"/>
              </w:rPr>
            </w:pPr>
            <w:r w:rsidRPr="009C44C1">
              <w:rPr>
                <w:sz w:val="16"/>
                <w:szCs w:val="16"/>
              </w:rPr>
              <w:t>-180.000</w:t>
            </w:r>
          </w:p>
        </w:tc>
        <w:tc>
          <w:tcPr>
            <w:tcW w:w="766" w:type="dxa"/>
            <w:shd w:val="clear" w:color="auto" w:fill="auto"/>
            <w:noWrap/>
            <w:vAlign w:val="center"/>
            <w:hideMark/>
          </w:tcPr>
          <w:p w14:paraId="26E4DB49" w14:textId="77777777" w:rsidR="00F87E58" w:rsidRPr="009C44C1" w:rsidRDefault="00F87E58" w:rsidP="00F87E58">
            <w:pPr>
              <w:pStyle w:val="cuatexto"/>
              <w:jc w:val="right"/>
              <w:rPr>
                <w:sz w:val="16"/>
                <w:szCs w:val="16"/>
              </w:rPr>
            </w:pPr>
            <w:r w:rsidRPr="009C44C1">
              <w:rPr>
                <w:sz w:val="16"/>
                <w:szCs w:val="16"/>
              </w:rPr>
              <w:t>0</w:t>
            </w:r>
          </w:p>
        </w:tc>
        <w:tc>
          <w:tcPr>
            <w:tcW w:w="793" w:type="dxa"/>
            <w:shd w:val="clear" w:color="auto" w:fill="auto"/>
            <w:noWrap/>
            <w:vAlign w:val="center"/>
            <w:hideMark/>
          </w:tcPr>
          <w:p w14:paraId="34BD3BEA" w14:textId="77777777" w:rsidR="00F87E58" w:rsidRPr="009C44C1" w:rsidRDefault="00F87E58" w:rsidP="00F87E58">
            <w:pPr>
              <w:pStyle w:val="cuatexto"/>
              <w:jc w:val="right"/>
              <w:rPr>
                <w:sz w:val="16"/>
                <w:szCs w:val="16"/>
              </w:rPr>
            </w:pPr>
            <w:r w:rsidRPr="009C44C1">
              <w:rPr>
                <w:sz w:val="16"/>
                <w:szCs w:val="16"/>
              </w:rPr>
              <w:t>0</w:t>
            </w:r>
          </w:p>
        </w:tc>
      </w:tr>
      <w:tr w:rsidR="00F87E58" w:rsidRPr="009C44C1" w14:paraId="0EACC991" w14:textId="77777777" w:rsidTr="009B18F4">
        <w:trPr>
          <w:trHeight w:val="198"/>
          <w:jc w:val="center"/>
        </w:trPr>
        <w:tc>
          <w:tcPr>
            <w:tcW w:w="1276" w:type="dxa"/>
            <w:shd w:val="clear" w:color="auto" w:fill="auto"/>
            <w:noWrap/>
            <w:vAlign w:val="center"/>
            <w:hideMark/>
          </w:tcPr>
          <w:p w14:paraId="37041314" w14:textId="77777777" w:rsidR="00F87E58" w:rsidRPr="009C44C1" w:rsidRDefault="00F87E58" w:rsidP="00F87E58">
            <w:pPr>
              <w:pStyle w:val="cuatexto"/>
              <w:rPr>
                <w:sz w:val="16"/>
                <w:szCs w:val="16"/>
              </w:rPr>
            </w:pPr>
            <w:r w:rsidRPr="009C44C1">
              <w:rPr>
                <w:sz w:val="16"/>
                <w:szCs w:val="16"/>
              </w:rPr>
              <w:t>Sanzol/Pronaocio</w:t>
            </w:r>
          </w:p>
        </w:tc>
        <w:tc>
          <w:tcPr>
            <w:tcW w:w="836" w:type="dxa"/>
            <w:shd w:val="clear" w:color="auto" w:fill="auto"/>
            <w:noWrap/>
            <w:vAlign w:val="center"/>
            <w:hideMark/>
          </w:tcPr>
          <w:p w14:paraId="325CBAB6" w14:textId="77777777" w:rsidR="00F87E58" w:rsidRPr="009C44C1" w:rsidRDefault="00F87E58" w:rsidP="00F87E58">
            <w:pPr>
              <w:pStyle w:val="cuatexto"/>
              <w:jc w:val="right"/>
              <w:rPr>
                <w:sz w:val="16"/>
                <w:szCs w:val="16"/>
              </w:rPr>
            </w:pPr>
            <w:r w:rsidRPr="009C44C1">
              <w:rPr>
                <w:sz w:val="16"/>
                <w:szCs w:val="16"/>
              </w:rPr>
              <w:t>90.000</w:t>
            </w:r>
          </w:p>
        </w:tc>
        <w:tc>
          <w:tcPr>
            <w:tcW w:w="922" w:type="dxa"/>
            <w:tcBorders>
              <w:right w:val="single" w:sz="4" w:space="0" w:color="auto"/>
            </w:tcBorders>
            <w:shd w:val="clear" w:color="auto" w:fill="auto"/>
            <w:noWrap/>
            <w:vAlign w:val="center"/>
            <w:hideMark/>
          </w:tcPr>
          <w:p w14:paraId="2A73A6CB" w14:textId="77777777" w:rsidR="00F87E58" w:rsidRPr="009C44C1" w:rsidRDefault="00F87E58" w:rsidP="00F87E58">
            <w:pPr>
              <w:pStyle w:val="cuatexto"/>
              <w:jc w:val="right"/>
              <w:rPr>
                <w:sz w:val="16"/>
                <w:szCs w:val="16"/>
              </w:rPr>
            </w:pPr>
            <w:r w:rsidRPr="009C44C1">
              <w:rPr>
                <w:sz w:val="16"/>
                <w:szCs w:val="16"/>
              </w:rPr>
              <w:t>10</w:t>
            </w:r>
          </w:p>
        </w:tc>
        <w:tc>
          <w:tcPr>
            <w:tcW w:w="992" w:type="dxa"/>
            <w:tcBorders>
              <w:left w:val="single" w:sz="4" w:space="0" w:color="auto"/>
            </w:tcBorders>
            <w:shd w:val="clear" w:color="auto" w:fill="auto"/>
            <w:noWrap/>
            <w:vAlign w:val="center"/>
            <w:hideMark/>
          </w:tcPr>
          <w:p w14:paraId="31D288F2" w14:textId="77777777" w:rsidR="00F87E58" w:rsidRPr="009C44C1" w:rsidRDefault="00F87E58" w:rsidP="00F87E58">
            <w:pPr>
              <w:pStyle w:val="cuatexto"/>
              <w:jc w:val="right"/>
              <w:rPr>
                <w:sz w:val="16"/>
                <w:szCs w:val="16"/>
              </w:rPr>
            </w:pPr>
            <w:r w:rsidRPr="009C44C1">
              <w:rPr>
                <w:sz w:val="16"/>
                <w:szCs w:val="16"/>
              </w:rPr>
              <w:t>0</w:t>
            </w:r>
          </w:p>
        </w:tc>
        <w:tc>
          <w:tcPr>
            <w:tcW w:w="851" w:type="dxa"/>
            <w:shd w:val="clear" w:color="auto" w:fill="auto"/>
            <w:noWrap/>
            <w:vAlign w:val="center"/>
            <w:hideMark/>
          </w:tcPr>
          <w:p w14:paraId="74DC8587" w14:textId="77777777" w:rsidR="00F87E58" w:rsidRPr="009C44C1" w:rsidRDefault="00F87E58" w:rsidP="00F87E58">
            <w:pPr>
              <w:pStyle w:val="cuatexto"/>
              <w:jc w:val="right"/>
              <w:rPr>
                <w:sz w:val="16"/>
                <w:szCs w:val="16"/>
              </w:rPr>
            </w:pPr>
            <w:r w:rsidRPr="009C44C1">
              <w:rPr>
                <w:sz w:val="16"/>
                <w:szCs w:val="16"/>
              </w:rPr>
              <w:t>90.000</w:t>
            </w:r>
          </w:p>
        </w:tc>
        <w:tc>
          <w:tcPr>
            <w:tcW w:w="425" w:type="dxa"/>
            <w:tcBorders>
              <w:right w:val="single" w:sz="4" w:space="0" w:color="auto"/>
            </w:tcBorders>
            <w:shd w:val="clear" w:color="auto" w:fill="auto"/>
            <w:noWrap/>
            <w:vAlign w:val="center"/>
            <w:hideMark/>
          </w:tcPr>
          <w:p w14:paraId="4AFB6F2C" w14:textId="77777777" w:rsidR="00F87E58" w:rsidRPr="009C44C1" w:rsidRDefault="00F87E58" w:rsidP="00F87E58">
            <w:pPr>
              <w:pStyle w:val="cuatexto"/>
              <w:jc w:val="right"/>
              <w:rPr>
                <w:sz w:val="16"/>
                <w:szCs w:val="16"/>
              </w:rPr>
            </w:pPr>
            <w:r w:rsidRPr="009C44C1">
              <w:rPr>
                <w:sz w:val="16"/>
                <w:szCs w:val="16"/>
              </w:rPr>
              <w:t>10</w:t>
            </w:r>
          </w:p>
        </w:tc>
        <w:tc>
          <w:tcPr>
            <w:tcW w:w="993" w:type="dxa"/>
            <w:tcBorders>
              <w:left w:val="single" w:sz="4" w:space="0" w:color="auto"/>
            </w:tcBorders>
            <w:shd w:val="clear" w:color="auto" w:fill="auto"/>
            <w:noWrap/>
            <w:vAlign w:val="center"/>
            <w:hideMark/>
          </w:tcPr>
          <w:p w14:paraId="2AE4D0D0" w14:textId="77777777" w:rsidR="00F87E58" w:rsidRPr="009C44C1" w:rsidRDefault="00F87E58" w:rsidP="00F87E58">
            <w:pPr>
              <w:pStyle w:val="cuatexto"/>
              <w:jc w:val="right"/>
              <w:rPr>
                <w:sz w:val="16"/>
                <w:szCs w:val="16"/>
              </w:rPr>
            </w:pPr>
            <w:r w:rsidRPr="009C44C1">
              <w:rPr>
                <w:sz w:val="16"/>
                <w:szCs w:val="16"/>
              </w:rPr>
              <w:t>12.857</w:t>
            </w:r>
          </w:p>
        </w:tc>
        <w:tc>
          <w:tcPr>
            <w:tcW w:w="850" w:type="dxa"/>
            <w:shd w:val="clear" w:color="auto" w:fill="auto"/>
            <w:noWrap/>
            <w:vAlign w:val="center"/>
            <w:hideMark/>
          </w:tcPr>
          <w:p w14:paraId="272B8FA2" w14:textId="77777777" w:rsidR="00F87E58" w:rsidRPr="009C44C1" w:rsidRDefault="00F87E58" w:rsidP="00F87E58">
            <w:pPr>
              <w:pStyle w:val="cuatexto"/>
              <w:jc w:val="right"/>
              <w:rPr>
                <w:sz w:val="16"/>
                <w:szCs w:val="16"/>
              </w:rPr>
            </w:pPr>
            <w:r w:rsidRPr="009C44C1">
              <w:rPr>
                <w:sz w:val="16"/>
                <w:szCs w:val="16"/>
              </w:rPr>
              <w:t>102.857</w:t>
            </w:r>
          </w:p>
        </w:tc>
        <w:tc>
          <w:tcPr>
            <w:tcW w:w="652" w:type="dxa"/>
            <w:tcBorders>
              <w:right w:val="single" w:sz="4" w:space="0" w:color="auto"/>
            </w:tcBorders>
            <w:shd w:val="clear" w:color="auto" w:fill="auto"/>
            <w:noWrap/>
            <w:vAlign w:val="center"/>
            <w:hideMark/>
          </w:tcPr>
          <w:p w14:paraId="4D320C0C" w14:textId="77777777" w:rsidR="00F87E58" w:rsidRPr="009C44C1" w:rsidRDefault="00F87E58" w:rsidP="00F87E58">
            <w:pPr>
              <w:pStyle w:val="cuatexto"/>
              <w:jc w:val="right"/>
              <w:rPr>
                <w:sz w:val="16"/>
                <w:szCs w:val="16"/>
              </w:rPr>
            </w:pPr>
            <w:r w:rsidRPr="009C44C1">
              <w:rPr>
                <w:sz w:val="16"/>
                <w:szCs w:val="16"/>
              </w:rPr>
              <w:t>11,43</w:t>
            </w:r>
          </w:p>
        </w:tc>
        <w:tc>
          <w:tcPr>
            <w:tcW w:w="992" w:type="dxa"/>
            <w:tcBorders>
              <w:left w:val="single" w:sz="4" w:space="0" w:color="auto"/>
            </w:tcBorders>
            <w:shd w:val="clear" w:color="auto" w:fill="auto"/>
            <w:noWrap/>
            <w:vAlign w:val="center"/>
            <w:hideMark/>
          </w:tcPr>
          <w:p w14:paraId="14050C2B" w14:textId="77777777" w:rsidR="00F87E58" w:rsidRPr="009C44C1" w:rsidRDefault="00F87E58" w:rsidP="00F87E58">
            <w:pPr>
              <w:pStyle w:val="cuatexto"/>
              <w:jc w:val="right"/>
              <w:rPr>
                <w:sz w:val="16"/>
                <w:szCs w:val="16"/>
              </w:rPr>
            </w:pPr>
            <w:r w:rsidRPr="009C44C1">
              <w:rPr>
                <w:sz w:val="16"/>
                <w:szCs w:val="16"/>
              </w:rPr>
              <w:t> </w:t>
            </w:r>
          </w:p>
        </w:tc>
        <w:tc>
          <w:tcPr>
            <w:tcW w:w="766" w:type="dxa"/>
            <w:shd w:val="clear" w:color="auto" w:fill="auto"/>
            <w:noWrap/>
            <w:vAlign w:val="center"/>
            <w:hideMark/>
          </w:tcPr>
          <w:p w14:paraId="20B07F00" w14:textId="77777777" w:rsidR="00F87E58" w:rsidRPr="009C44C1" w:rsidRDefault="00F87E58" w:rsidP="00F87E58">
            <w:pPr>
              <w:pStyle w:val="cuatexto"/>
              <w:jc w:val="right"/>
              <w:rPr>
                <w:sz w:val="16"/>
                <w:szCs w:val="16"/>
              </w:rPr>
            </w:pPr>
            <w:r w:rsidRPr="009C44C1">
              <w:rPr>
                <w:sz w:val="16"/>
                <w:szCs w:val="16"/>
              </w:rPr>
              <w:t>102.857</w:t>
            </w:r>
          </w:p>
        </w:tc>
        <w:tc>
          <w:tcPr>
            <w:tcW w:w="793" w:type="dxa"/>
            <w:shd w:val="clear" w:color="auto" w:fill="auto"/>
            <w:noWrap/>
            <w:vAlign w:val="center"/>
            <w:hideMark/>
          </w:tcPr>
          <w:p w14:paraId="2E04F160" w14:textId="77777777" w:rsidR="00F87E58" w:rsidRPr="009C44C1" w:rsidRDefault="00F87E58" w:rsidP="00F87E58">
            <w:pPr>
              <w:pStyle w:val="cuatexto"/>
              <w:jc w:val="right"/>
              <w:rPr>
                <w:sz w:val="16"/>
                <w:szCs w:val="16"/>
              </w:rPr>
            </w:pPr>
            <w:r w:rsidRPr="009C44C1">
              <w:rPr>
                <w:sz w:val="16"/>
                <w:szCs w:val="16"/>
              </w:rPr>
              <w:t>11,43</w:t>
            </w:r>
          </w:p>
        </w:tc>
      </w:tr>
      <w:tr w:rsidR="00F87E58" w:rsidRPr="009C44C1" w14:paraId="2F861670" w14:textId="77777777" w:rsidTr="009B18F4">
        <w:trPr>
          <w:trHeight w:val="198"/>
          <w:jc w:val="center"/>
        </w:trPr>
        <w:tc>
          <w:tcPr>
            <w:tcW w:w="1276" w:type="dxa"/>
            <w:shd w:val="clear" w:color="auto" w:fill="auto"/>
            <w:noWrap/>
            <w:vAlign w:val="center"/>
            <w:hideMark/>
          </w:tcPr>
          <w:p w14:paraId="15BD836A" w14:textId="77777777" w:rsidR="00F87E58" w:rsidRPr="009C44C1" w:rsidRDefault="00F87E58" w:rsidP="00DF2666">
            <w:pPr>
              <w:pStyle w:val="cuatexto"/>
              <w:spacing w:line="240" w:lineRule="auto"/>
              <w:ind w:right="328"/>
              <w:rPr>
                <w:sz w:val="16"/>
                <w:szCs w:val="16"/>
              </w:rPr>
            </w:pPr>
            <w:r w:rsidRPr="009C44C1">
              <w:rPr>
                <w:sz w:val="16"/>
                <w:szCs w:val="16"/>
              </w:rPr>
              <w:t>La Información/Cofor</w:t>
            </w:r>
          </w:p>
        </w:tc>
        <w:tc>
          <w:tcPr>
            <w:tcW w:w="836" w:type="dxa"/>
            <w:shd w:val="clear" w:color="auto" w:fill="auto"/>
            <w:noWrap/>
            <w:vAlign w:val="center"/>
            <w:hideMark/>
          </w:tcPr>
          <w:p w14:paraId="226734C7" w14:textId="77777777" w:rsidR="00F87E58" w:rsidRPr="009C44C1" w:rsidRDefault="00F87E58" w:rsidP="00F87E58">
            <w:pPr>
              <w:pStyle w:val="cuatexto"/>
              <w:jc w:val="right"/>
              <w:rPr>
                <w:sz w:val="16"/>
                <w:szCs w:val="16"/>
              </w:rPr>
            </w:pPr>
            <w:r w:rsidRPr="009C44C1">
              <w:rPr>
                <w:sz w:val="16"/>
                <w:szCs w:val="16"/>
              </w:rPr>
              <w:t>45.000</w:t>
            </w:r>
          </w:p>
        </w:tc>
        <w:tc>
          <w:tcPr>
            <w:tcW w:w="922" w:type="dxa"/>
            <w:tcBorders>
              <w:right w:val="single" w:sz="4" w:space="0" w:color="auto"/>
            </w:tcBorders>
            <w:shd w:val="clear" w:color="auto" w:fill="auto"/>
            <w:noWrap/>
            <w:vAlign w:val="center"/>
            <w:hideMark/>
          </w:tcPr>
          <w:p w14:paraId="6C6083C4" w14:textId="77777777" w:rsidR="00F87E58" w:rsidRPr="009C44C1" w:rsidRDefault="00F87E58" w:rsidP="00F87E58">
            <w:pPr>
              <w:pStyle w:val="cuatexto"/>
              <w:jc w:val="right"/>
              <w:rPr>
                <w:sz w:val="16"/>
                <w:szCs w:val="16"/>
              </w:rPr>
            </w:pPr>
            <w:r w:rsidRPr="009C44C1">
              <w:rPr>
                <w:sz w:val="16"/>
                <w:szCs w:val="16"/>
              </w:rPr>
              <w:t>5</w:t>
            </w:r>
          </w:p>
        </w:tc>
        <w:tc>
          <w:tcPr>
            <w:tcW w:w="992" w:type="dxa"/>
            <w:tcBorders>
              <w:left w:val="single" w:sz="4" w:space="0" w:color="auto"/>
            </w:tcBorders>
            <w:shd w:val="clear" w:color="auto" w:fill="auto"/>
            <w:noWrap/>
            <w:vAlign w:val="center"/>
            <w:hideMark/>
          </w:tcPr>
          <w:p w14:paraId="4DABEF5D" w14:textId="77777777" w:rsidR="00F87E58" w:rsidRPr="009C44C1" w:rsidRDefault="00F87E58" w:rsidP="00F87E58">
            <w:pPr>
              <w:pStyle w:val="cuatexto"/>
              <w:jc w:val="right"/>
              <w:rPr>
                <w:sz w:val="16"/>
                <w:szCs w:val="16"/>
              </w:rPr>
            </w:pPr>
            <w:r w:rsidRPr="009C44C1">
              <w:rPr>
                <w:sz w:val="16"/>
                <w:szCs w:val="16"/>
              </w:rPr>
              <w:t>0</w:t>
            </w:r>
          </w:p>
        </w:tc>
        <w:tc>
          <w:tcPr>
            <w:tcW w:w="851" w:type="dxa"/>
            <w:shd w:val="clear" w:color="auto" w:fill="auto"/>
            <w:noWrap/>
            <w:vAlign w:val="center"/>
            <w:hideMark/>
          </w:tcPr>
          <w:p w14:paraId="580A91AF" w14:textId="77777777" w:rsidR="00F87E58" w:rsidRPr="009C44C1" w:rsidRDefault="00F87E58" w:rsidP="00F87E58">
            <w:pPr>
              <w:pStyle w:val="cuatexto"/>
              <w:jc w:val="right"/>
              <w:rPr>
                <w:sz w:val="16"/>
                <w:szCs w:val="16"/>
              </w:rPr>
            </w:pPr>
            <w:r w:rsidRPr="009C44C1">
              <w:rPr>
                <w:sz w:val="16"/>
                <w:szCs w:val="16"/>
              </w:rPr>
              <w:t>45.000</w:t>
            </w:r>
          </w:p>
        </w:tc>
        <w:tc>
          <w:tcPr>
            <w:tcW w:w="425" w:type="dxa"/>
            <w:tcBorders>
              <w:right w:val="single" w:sz="4" w:space="0" w:color="auto"/>
            </w:tcBorders>
            <w:shd w:val="clear" w:color="auto" w:fill="auto"/>
            <w:noWrap/>
            <w:vAlign w:val="center"/>
            <w:hideMark/>
          </w:tcPr>
          <w:p w14:paraId="2883CAAE" w14:textId="77777777" w:rsidR="00F87E58" w:rsidRPr="009C44C1" w:rsidRDefault="00F87E58" w:rsidP="00F87E58">
            <w:pPr>
              <w:pStyle w:val="cuatexto"/>
              <w:jc w:val="right"/>
              <w:rPr>
                <w:sz w:val="16"/>
                <w:szCs w:val="16"/>
              </w:rPr>
            </w:pPr>
            <w:r w:rsidRPr="009C44C1">
              <w:rPr>
                <w:sz w:val="16"/>
                <w:szCs w:val="16"/>
              </w:rPr>
              <w:t>5</w:t>
            </w:r>
          </w:p>
        </w:tc>
        <w:tc>
          <w:tcPr>
            <w:tcW w:w="993" w:type="dxa"/>
            <w:tcBorders>
              <w:left w:val="single" w:sz="4" w:space="0" w:color="auto"/>
            </w:tcBorders>
            <w:shd w:val="clear" w:color="auto" w:fill="auto"/>
            <w:noWrap/>
            <w:vAlign w:val="center"/>
            <w:hideMark/>
          </w:tcPr>
          <w:p w14:paraId="63034276" w14:textId="77777777" w:rsidR="00F87E58" w:rsidRPr="009C44C1" w:rsidRDefault="00F87E58" w:rsidP="00F87E58">
            <w:pPr>
              <w:pStyle w:val="cuatexto"/>
              <w:jc w:val="right"/>
              <w:rPr>
                <w:sz w:val="16"/>
                <w:szCs w:val="16"/>
              </w:rPr>
            </w:pPr>
            <w:r w:rsidRPr="009C44C1">
              <w:rPr>
                <w:sz w:val="16"/>
                <w:szCs w:val="16"/>
              </w:rPr>
              <w:t>6.430</w:t>
            </w:r>
          </w:p>
        </w:tc>
        <w:tc>
          <w:tcPr>
            <w:tcW w:w="850" w:type="dxa"/>
            <w:shd w:val="clear" w:color="auto" w:fill="auto"/>
            <w:noWrap/>
            <w:vAlign w:val="center"/>
            <w:hideMark/>
          </w:tcPr>
          <w:p w14:paraId="0F198D20" w14:textId="77777777" w:rsidR="00F87E58" w:rsidRPr="009C44C1" w:rsidRDefault="00F87E58" w:rsidP="00F87E58">
            <w:pPr>
              <w:pStyle w:val="cuatexto"/>
              <w:jc w:val="right"/>
              <w:rPr>
                <w:sz w:val="16"/>
                <w:szCs w:val="16"/>
              </w:rPr>
            </w:pPr>
            <w:r w:rsidRPr="009C44C1">
              <w:rPr>
                <w:sz w:val="16"/>
                <w:szCs w:val="16"/>
              </w:rPr>
              <w:t>51.430</w:t>
            </w:r>
          </w:p>
        </w:tc>
        <w:tc>
          <w:tcPr>
            <w:tcW w:w="652" w:type="dxa"/>
            <w:tcBorders>
              <w:right w:val="single" w:sz="4" w:space="0" w:color="auto"/>
            </w:tcBorders>
            <w:shd w:val="clear" w:color="auto" w:fill="auto"/>
            <w:noWrap/>
            <w:vAlign w:val="center"/>
            <w:hideMark/>
          </w:tcPr>
          <w:p w14:paraId="6247B973" w14:textId="77777777" w:rsidR="00F87E58" w:rsidRPr="009C44C1" w:rsidRDefault="00F87E58" w:rsidP="00F87E58">
            <w:pPr>
              <w:pStyle w:val="cuatexto"/>
              <w:jc w:val="right"/>
              <w:rPr>
                <w:sz w:val="16"/>
                <w:szCs w:val="16"/>
              </w:rPr>
            </w:pPr>
            <w:r w:rsidRPr="009C44C1">
              <w:rPr>
                <w:sz w:val="16"/>
                <w:szCs w:val="16"/>
              </w:rPr>
              <w:t>5,71</w:t>
            </w:r>
          </w:p>
        </w:tc>
        <w:tc>
          <w:tcPr>
            <w:tcW w:w="992" w:type="dxa"/>
            <w:tcBorders>
              <w:left w:val="single" w:sz="4" w:space="0" w:color="auto"/>
            </w:tcBorders>
            <w:shd w:val="clear" w:color="auto" w:fill="auto"/>
            <w:noWrap/>
            <w:vAlign w:val="center"/>
            <w:hideMark/>
          </w:tcPr>
          <w:p w14:paraId="74A24CC9" w14:textId="77777777" w:rsidR="00F87E58" w:rsidRPr="009C44C1" w:rsidRDefault="00F87E58" w:rsidP="00F87E58">
            <w:pPr>
              <w:pStyle w:val="cuatexto"/>
              <w:jc w:val="right"/>
              <w:rPr>
                <w:sz w:val="16"/>
                <w:szCs w:val="16"/>
              </w:rPr>
            </w:pPr>
            <w:r w:rsidRPr="009C44C1">
              <w:rPr>
                <w:sz w:val="16"/>
                <w:szCs w:val="16"/>
              </w:rPr>
              <w:t>180.000</w:t>
            </w:r>
          </w:p>
        </w:tc>
        <w:tc>
          <w:tcPr>
            <w:tcW w:w="766" w:type="dxa"/>
            <w:shd w:val="clear" w:color="auto" w:fill="auto"/>
            <w:noWrap/>
            <w:vAlign w:val="center"/>
            <w:hideMark/>
          </w:tcPr>
          <w:p w14:paraId="1168BD53" w14:textId="77777777" w:rsidR="00F87E58" w:rsidRPr="009C44C1" w:rsidRDefault="00F87E58" w:rsidP="00F87E58">
            <w:pPr>
              <w:pStyle w:val="cuatexto"/>
              <w:jc w:val="right"/>
              <w:rPr>
                <w:sz w:val="16"/>
                <w:szCs w:val="16"/>
              </w:rPr>
            </w:pPr>
            <w:r w:rsidRPr="009C44C1">
              <w:rPr>
                <w:sz w:val="16"/>
                <w:szCs w:val="16"/>
              </w:rPr>
              <w:t>231.430</w:t>
            </w:r>
          </w:p>
        </w:tc>
        <w:tc>
          <w:tcPr>
            <w:tcW w:w="793" w:type="dxa"/>
            <w:shd w:val="clear" w:color="auto" w:fill="auto"/>
            <w:noWrap/>
            <w:vAlign w:val="center"/>
            <w:hideMark/>
          </w:tcPr>
          <w:p w14:paraId="7A33C7D4" w14:textId="77777777" w:rsidR="00F87E58" w:rsidRPr="009C44C1" w:rsidRDefault="00F87E58" w:rsidP="00F87E58">
            <w:pPr>
              <w:pStyle w:val="cuatexto"/>
              <w:jc w:val="right"/>
              <w:rPr>
                <w:sz w:val="16"/>
                <w:szCs w:val="16"/>
              </w:rPr>
            </w:pPr>
            <w:r w:rsidRPr="009C44C1">
              <w:rPr>
                <w:sz w:val="16"/>
                <w:szCs w:val="16"/>
              </w:rPr>
              <w:t>25,71</w:t>
            </w:r>
          </w:p>
        </w:tc>
      </w:tr>
      <w:tr w:rsidR="00F87E58" w:rsidRPr="009C44C1" w14:paraId="46772606" w14:textId="77777777" w:rsidTr="009B18F4">
        <w:trPr>
          <w:trHeight w:val="198"/>
          <w:jc w:val="center"/>
        </w:trPr>
        <w:tc>
          <w:tcPr>
            <w:tcW w:w="1276" w:type="dxa"/>
            <w:shd w:val="clear" w:color="auto" w:fill="9CC2E5"/>
            <w:noWrap/>
            <w:vAlign w:val="center"/>
            <w:hideMark/>
          </w:tcPr>
          <w:p w14:paraId="46179B6E" w14:textId="77777777" w:rsidR="00F87E58" w:rsidRPr="009C44C1" w:rsidRDefault="00F87E58" w:rsidP="00F87E58">
            <w:pPr>
              <w:pStyle w:val="cuadroCabe"/>
              <w:rPr>
                <w:sz w:val="16"/>
                <w:szCs w:val="16"/>
              </w:rPr>
            </w:pPr>
            <w:r w:rsidRPr="009C44C1">
              <w:rPr>
                <w:sz w:val="16"/>
                <w:szCs w:val="16"/>
              </w:rPr>
              <w:t>Total</w:t>
            </w:r>
          </w:p>
        </w:tc>
        <w:tc>
          <w:tcPr>
            <w:tcW w:w="836" w:type="dxa"/>
            <w:shd w:val="clear" w:color="auto" w:fill="9CC2E5"/>
            <w:noWrap/>
            <w:vAlign w:val="center"/>
            <w:hideMark/>
          </w:tcPr>
          <w:p w14:paraId="12B2B583" w14:textId="77777777" w:rsidR="00F87E58" w:rsidRPr="009C44C1" w:rsidRDefault="00F87E58" w:rsidP="00F87E58">
            <w:pPr>
              <w:pStyle w:val="cuadroCabe"/>
              <w:jc w:val="right"/>
              <w:rPr>
                <w:sz w:val="16"/>
                <w:szCs w:val="16"/>
              </w:rPr>
            </w:pPr>
            <w:r w:rsidRPr="009C44C1">
              <w:rPr>
                <w:sz w:val="16"/>
                <w:szCs w:val="16"/>
              </w:rPr>
              <w:t>900.000</w:t>
            </w:r>
          </w:p>
        </w:tc>
        <w:tc>
          <w:tcPr>
            <w:tcW w:w="922" w:type="dxa"/>
            <w:tcBorders>
              <w:right w:val="single" w:sz="4" w:space="0" w:color="auto"/>
            </w:tcBorders>
            <w:shd w:val="clear" w:color="auto" w:fill="9CC2E5"/>
            <w:noWrap/>
            <w:vAlign w:val="center"/>
            <w:hideMark/>
          </w:tcPr>
          <w:p w14:paraId="6CEA214D" w14:textId="77777777" w:rsidR="00F87E58" w:rsidRPr="009C44C1" w:rsidRDefault="00F87E58" w:rsidP="00F87E58">
            <w:pPr>
              <w:pStyle w:val="cuadroCabe"/>
              <w:jc w:val="right"/>
              <w:rPr>
                <w:sz w:val="16"/>
                <w:szCs w:val="16"/>
              </w:rPr>
            </w:pPr>
            <w:r w:rsidRPr="009C44C1">
              <w:rPr>
                <w:sz w:val="16"/>
                <w:szCs w:val="16"/>
              </w:rPr>
              <w:t>100</w:t>
            </w:r>
          </w:p>
        </w:tc>
        <w:tc>
          <w:tcPr>
            <w:tcW w:w="992" w:type="dxa"/>
            <w:tcBorders>
              <w:left w:val="single" w:sz="4" w:space="0" w:color="auto"/>
            </w:tcBorders>
            <w:shd w:val="clear" w:color="auto" w:fill="9CC2E5"/>
            <w:noWrap/>
            <w:vAlign w:val="center"/>
            <w:hideMark/>
          </w:tcPr>
          <w:p w14:paraId="6D0C8872" w14:textId="77777777" w:rsidR="00F87E58" w:rsidRPr="009C44C1" w:rsidRDefault="00F87E58" w:rsidP="00F87E58">
            <w:pPr>
              <w:pStyle w:val="cuadroCabe"/>
              <w:jc w:val="right"/>
              <w:rPr>
                <w:sz w:val="16"/>
                <w:szCs w:val="16"/>
              </w:rPr>
            </w:pPr>
            <w:r w:rsidRPr="009C44C1">
              <w:rPr>
                <w:sz w:val="16"/>
                <w:szCs w:val="16"/>
              </w:rPr>
              <w:t>0</w:t>
            </w:r>
          </w:p>
        </w:tc>
        <w:tc>
          <w:tcPr>
            <w:tcW w:w="851" w:type="dxa"/>
            <w:shd w:val="clear" w:color="auto" w:fill="9CC2E5"/>
            <w:noWrap/>
            <w:vAlign w:val="center"/>
            <w:hideMark/>
          </w:tcPr>
          <w:p w14:paraId="14DB78D3" w14:textId="77777777" w:rsidR="00F87E58" w:rsidRPr="009C44C1" w:rsidRDefault="00F87E58" w:rsidP="00F87E58">
            <w:pPr>
              <w:pStyle w:val="cuadroCabe"/>
              <w:jc w:val="right"/>
              <w:rPr>
                <w:sz w:val="16"/>
                <w:szCs w:val="16"/>
              </w:rPr>
            </w:pPr>
            <w:r w:rsidRPr="009C44C1">
              <w:rPr>
                <w:sz w:val="16"/>
                <w:szCs w:val="16"/>
              </w:rPr>
              <w:t>900.000</w:t>
            </w:r>
          </w:p>
        </w:tc>
        <w:tc>
          <w:tcPr>
            <w:tcW w:w="425" w:type="dxa"/>
            <w:tcBorders>
              <w:right w:val="single" w:sz="4" w:space="0" w:color="auto"/>
            </w:tcBorders>
            <w:shd w:val="clear" w:color="auto" w:fill="9CC2E5"/>
            <w:noWrap/>
            <w:vAlign w:val="center"/>
            <w:hideMark/>
          </w:tcPr>
          <w:p w14:paraId="42B6F06C" w14:textId="77777777" w:rsidR="00F87E58" w:rsidRPr="009C44C1" w:rsidRDefault="00F87E58" w:rsidP="00F87E58">
            <w:pPr>
              <w:pStyle w:val="cuadroCabe"/>
              <w:jc w:val="right"/>
              <w:rPr>
                <w:sz w:val="16"/>
                <w:szCs w:val="16"/>
              </w:rPr>
            </w:pPr>
            <w:r w:rsidRPr="009C44C1">
              <w:rPr>
                <w:sz w:val="16"/>
                <w:szCs w:val="16"/>
              </w:rPr>
              <w:t>100</w:t>
            </w:r>
          </w:p>
        </w:tc>
        <w:tc>
          <w:tcPr>
            <w:tcW w:w="993" w:type="dxa"/>
            <w:tcBorders>
              <w:left w:val="single" w:sz="4" w:space="0" w:color="auto"/>
            </w:tcBorders>
            <w:shd w:val="clear" w:color="auto" w:fill="9CC2E5"/>
            <w:noWrap/>
            <w:vAlign w:val="center"/>
            <w:hideMark/>
          </w:tcPr>
          <w:p w14:paraId="7F323ACB" w14:textId="77777777" w:rsidR="00F87E58" w:rsidRPr="009C44C1" w:rsidRDefault="00F87E58" w:rsidP="00F87E58">
            <w:pPr>
              <w:pStyle w:val="cuadroCabe"/>
              <w:jc w:val="right"/>
              <w:rPr>
                <w:sz w:val="16"/>
                <w:szCs w:val="16"/>
              </w:rPr>
            </w:pPr>
            <w:r w:rsidRPr="009C44C1">
              <w:rPr>
                <w:sz w:val="16"/>
                <w:szCs w:val="16"/>
              </w:rPr>
              <w:t>0</w:t>
            </w:r>
          </w:p>
        </w:tc>
        <w:tc>
          <w:tcPr>
            <w:tcW w:w="850" w:type="dxa"/>
            <w:shd w:val="clear" w:color="auto" w:fill="9CC2E5"/>
            <w:noWrap/>
            <w:vAlign w:val="center"/>
            <w:hideMark/>
          </w:tcPr>
          <w:p w14:paraId="45067C9A" w14:textId="77777777" w:rsidR="00F87E58" w:rsidRPr="009C44C1" w:rsidRDefault="00F87E58" w:rsidP="00F87E58">
            <w:pPr>
              <w:pStyle w:val="cuadroCabe"/>
              <w:jc w:val="right"/>
              <w:rPr>
                <w:sz w:val="16"/>
                <w:szCs w:val="16"/>
              </w:rPr>
            </w:pPr>
            <w:r w:rsidRPr="009C44C1">
              <w:rPr>
                <w:sz w:val="16"/>
                <w:szCs w:val="16"/>
              </w:rPr>
              <w:t>900.000</w:t>
            </w:r>
          </w:p>
        </w:tc>
        <w:tc>
          <w:tcPr>
            <w:tcW w:w="652" w:type="dxa"/>
            <w:tcBorders>
              <w:right w:val="single" w:sz="4" w:space="0" w:color="auto"/>
            </w:tcBorders>
            <w:shd w:val="clear" w:color="auto" w:fill="9CC2E5"/>
            <w:noWrap/>
            <w:vAlign w:val="center"/>
            <w:hideMark/>
          </w:tcPr>
          <w:p w14:paraId="24E6E75B" w14:textId="77777777" w:rsidR="00F87E58" w:rsidRPr="009C44C1" w:rsidRDefault="00F87E58" w:rsidP="00F87E58">
            <w:pPr>
              <w:pStyle w:val="cuadroCabe"/>
              <w:jc w:val="right"/>
              <w:rPr>
                <w:sz w:val="16"/>
                <w:szCs w:val="16"/>
              </w:rPr>
            </w:pPr>
            <w:r w:rsidRPr="009C44C1">
              <w:rPr>
                <w:sz w:val="16"/>
                <w:szCs w:val="16"/>
              </w:rPr>
              <w:t>100</w:t>
            </w:r>
          </w:p>
        </w:tc>
        <w:tc>
          <w:tcPr>
            <w:tcW w:w="992" w:type="dxa"/>
            <w:tcBorders>
              <w:left w:val="single" w:sz="4" w:space="0" w:color="auto"/>
            </w:tcBorders>
            <w:shd w:val="clear" w:color="auto" w:fill="9CC2E5"/>
            <w:noWrap/>
            <w:vAlign w:val="center"/>
            <w:hideMark/>
          </w:tcPr>
          <w:p w14:paraId="49464581" w14:textId="77777777" w:rsidR="00F87E58" w:rsidRPr="009C44C1" w:rsidRDefault="00F87E58" w:rsidP="00F87E58">
            <w:pPr>
              <w:pStyle w:val="cuadroCabe"/>
              <w:jc w:val="right"/>
              <w:rPr>
                <w:sz w:val="16"/>
                <w:szCs w:val="16"/>
              </w:rPr>
            </w:pPr>
            <w:r w:rsidRPr="009C44C1">
              <w:rPr>
                <w:sz w:val="16"/>
                <w:szCs w:val="16"/>
              </w:rPr>
              <w:t> </w:t>
            </w:r>
          </w:p>
        </w:tc>
        <w:tc>
          <w:tcPr>
            <w:tcW w:w="766" w:type="dxa"/>
            <w:shd w:val="clear" w:color="auto" w:fill="9CC2E5"/>
            <w:noWrap/>
            <w:vAlign w:val="center"/>
            <w:hideMark/>
          </w:tcPr>
          <w:p w14:paraId="27E54F97" w14:textId="77777777" w:rsidR="00F87E58" w:rsidRPr="009C44C1" w:rsidRDefault="00F87E58" w:rsidP="00F87E58">
            <w:pPr>
              <w:pStyle w:val="cuadroCabe"/>
              <w:jc w:val="right"/>
              <w:rPr>
                <w:sz w:val="16"/>
                <w:szCs w:val="16"/>
              </w:rPr>
            </w:pPr>
            <w:r w:rsidRPr="009C44C1">
              <w:rPr>
                <w:sz w:val="16"/>
                <w:szCs w:val="16"/>
              </w:rPr>
              <w:t>900.000</w:t>
            </w:r>
          </w:p>
        </w:tc>
        <w:tc>
          <w:tcPr>
            <w:tcW w:w="793" w:type="dxa"/>
            <w:shd w:val="clear" w:color="auto" w:fill="9CC2E5"/>
            <w:noWrap/>
            <w:vAlign w:val="center"/>
            <w:hideMark/>
          </w:tcPr>
          <w:p w14:paraId="232B12A6" w14:textId="77777777" w:rsidR="00F87E58" w:rsidRPr="009C44C1" w:rsidRDefault="00F87E58" w:rsidP="00F87E58">
            <w:pPr>
              <w:pStyle w:val="cuadroCabe"/>
              <w:jc w:val="right"/>
              <w:rPr>
                <w:sz w:val="16"/>
                <w:szCs w:val="16"/>
              </w:rPr>
            </w:pPr>
            <w:r w:rsidRPr="009C44C1">
              <w:rPr>
                <w:sz w:val="16"/>
                <w:szCs w:val="16"/>
              </w:rPr>
              <w:t>100</w:t>
            </w:r>
          </w:p>
        </w:tc>
      </w:tr>
    </w:tbl>
    <w:p w14:paraId="63FA851A" w14:textId="77777777" w:rsidR="00F87E58" w:rsidRPr="002952F1" w:rsidRDefault="00F87E58" w:rsidP="00F87E58">
      <w:pPr>
        <w:pStyle w:val="texto"/>
        <w:spacing w:before="240" w:after="240"/>
        <w:rPr>
          <w:color w:val="000000"/>
        </w:rPr>
      </w:pPr>
      <w:r>
        <w:t xml:space="preserve">Por lo tanto, la composición societaria desde junio de 2007, hasta la venta en enero de 2023 a Navarra </w:t>
      </w:r>
      <w:r>
        <w:rPr>
          <w:color w:val="000000"/>
        </w:rPr>
        <w:t>Impulsa Cultura, Deporte y Ocio, (</w:t>
      </w:r>
      <w:r w:rsidRPr="00E15718">
        <w:rPr>
          <w:color w:val="000000"/>
        </w:rPr>
        <w:t xml:space="preserve">en adelante </w:t>
      </w:r>
      <w:r>
        <w:rPr>
          <w:color w:val="000000"/>
        </w:rPr>
        <w:t>Nicdo</w:t>
      </w:r>
      <w:r w:rsidRPr="00E15718">
        <w:rPr>
          <w:color w:val="000000"/>
        </w:rPr>
        <w:t>)</w:t>
      </w:r>
      <w:r>
        <w:rPr>
          <w:color w:val="000000"/>
        </w:rPr>
        <w:t xml:space="preserve">, </w:t>
      </w:r>
      <w:r>
        <w:t xml:space="preserve">es la siguiente: </w:t>
      </w:r>
    </w:p>
    <w:tbl>
      <w:tblPr>
        <w:tblW w:w="8505" w:type="dxa"/>
        <w:jc w:val="center"/>
        <w:tblCellMar>
          <w:left w:w="70" w:type="dxa"/>
          <w:right w:w="70" w:type="dxa"/>
        </w:tblCellMar>
        <w:tblLook w:val="04A0" w:firstRow="1" w:lastRow="0" w:firstColumn="1" w:lastColumn="0" w:noHBand="0" w:noVBand="1"/>
      </w:tblPr>
      <w:tblGrid>
        <w:gridCol w:w="6166"/>
        <w:gridCol w:w="2339"/>
      </w:tblGrid>
      <w:tr w:rsidR="00F87E58" w:rsidRPr="00BB5B2C" w14:paraId="4AABA191" w14:textId="77777777" w:rsidTr="008C3C03">
        <w:trPr>
          <w:trHeight w:val="255"/>
          <w:jc w:val="center"/>
        </w:trPr>
        <w:tc>
          <w:tcPr>
            <w:tcW w:w="6166" w:type="dxa"/>
            <w:tcBorders>
              <w:top w:val="single" w:sz="4" w:space="0" w:color="auto"/>
              <w:left w:val="nil"/>
              <w:bottom w:val="single" w:sz="4" w:space="0" w:color="auto"/>
              <w:right w:val="nil"/>
            </w:tcBorders>
            <w:shd w:val="clear" w:color="auto" w:fill="9CC2E5"/>
            <w:noWrap/>
            <w:vAlign w:val="center"/>
            <w:hideMark/>
          </w:tcPr>
          <w:p w14:paraId="1CD116E1" w14:textId="77777777" w:rsidR="00F87E58" w:rsidRPr="00BB5B2C" w:rsidRDefault="00F87E58" w:rsidP="00F87E58">
            <w:pPr>
              <w:pStyle w:val="cuadroCabe"/>
              <w:jc w:val="left"/>
            </w:pPr>
            <w:r w:rsidRPr="00BB5B2C">
              <w:t xml:space="preserve">Accionistas </w:t>
            </w:r>
          </w:p>
        </w:tc>
        <w:tc>
          <w:tcPr>
            <w:tcW w:w="2339" w:type="dxa"/>
            <w:tcBorders>
              <w:top w:val="single" w:sz="4" w:space="0" w:color="auto"/>
              <w:left w:val="nil"/>
              <w:bottom w:val="single" w:sz="4" w:space="0" w:color="auto"/>
              <w:right w:val="nil"/>
            </w:tcBorders>
            <w:shd w:val="clear" w:color="auto" w:fill="9CC2E5"/>
            <w:noWrap/>
            <w:vAlign w:val="center"/>
            <w:hideMark/>
          </w:tcPr>
          <w:p w14:paraId="1C6786D0" w14:textId="77777777" w:rsidR="00F87E58" w:rsidRPr="00BB5B2C" w:rsidRDefault="00F87E58" w:rsidP="00F87E58">
            <w:pPr>
              <w:pStyle w:val="cuadroCabe"/>
              <w:jc w:val="right"/>
            </w:pPr>
            <w:r w:rsidRPr="00BB5B2C">
              <w:t>Porcentaje participación</w:t>
            </w:r>
          </w:p>
        </w:tc>
      </w:tr>
      <w:tr w:rsidR="00C372CC" w:rsidRPr="00C372CC" w14:paraId="10A2A45B" w14:textId="77777777" w:rsidTr="00F87E58">
        <w:trPr>
          <w:trHeight w:val="151"/>
          <w:jc w:val="center"/>
        </w:trPr>
        <w:tc>
          <w:tcPr>
            <w:tcW w:w="6166" w:type="dxa"/>
            <w:tcBorders>
              <w:top w:val="single" w:sz="4" w:space="0" w:color="auto"/>
              <w:left w:val="nil"/>
              <w:bottom w:val="single" w:sz="2" w:space="0" w:color="auto"/>
              <w:right w:val="nil"/>
            </w:tcBorders>
            <w:shd w:val="clear" w:color="auto" w:fill="auto"/>
            <w:noWrap/>
            <w:vAlign w:val="bottom"/>
            <w:hideMark/>
          </w:tcPr>
          <w:p w14:paraId="356226DF" w14:textId="77777777" w:rsidR="00F87E58" w:rsidRPr="00C372CC" w:rsidRDefault="00F87E58" w:rsidP="00F87E58">
            <w:pPr>
              <w:pStyle w:val="cuatexto"/>
              <w:jc w:val="left"/>
            </w:pPr>
            <w:r w:rsidRPr="00C372CC">
              <w:t>Sociedad de Desarrollo de Navarra S.L.</w:t>
            </w:r>
          </w:p>
        </w:tc>
        <w:tc>
          <w:tcPr>
            <w:tcW w:w="2339" w:type="dxa"/>
            <w:tcBorders>
              <w:top w:val="single" w:sz="4" w:space="0" w:color="auto"/>
              <w:left w:val="nil"/>
              <w:bottom w:val="single" w:sz="2" w:space="0" w:color="auto"/>
              <w:right w:val="nil"/>
            </w:tcBorders>
            <w:shd w:val="clear" w:color="auto" w:fill="auto"/>
            <w:noWrap/>
            <w:vAlign w:val="bottom"/>
            <w:hideMark/>
          </w:tcPr>
          <w:p w14:paraId="117A01C5" w14:textId="77777777" w:rsidR="00F87E58" w:rsidRPr="00C372CC" w:rsidRDefault="00F87E58" w:rsidP="00F87E58">
            <w:pPr>
              <w:pStyle w:val="cuatexto"/>
              <w:jc w:val="right"/>
            </w:pPr>
            <w:r w:rsidRPr="00C372CC">
              <w:t>45</w:t>
            </w:r>
          </w:p>
        </w:tc>
      </w:tr>
      <w:tr w:rsidR="00C372CC" w:rsidRPr="00C372CC" w14:paraId="5393988B" w14:textId="77777777" w:rsidTr="00F87E58">
        <w:trPr>
          <w:trHeight w:val="97"/>
          <w:jc w:val="center"/>
        </w:trPr>
        <w:tc>
          <w:tcPr>
            <w:tcW w:w="6166" w:type="dxa"/>
            <w:tcBorders>
              <w:top w:val="single" w:sz="2" w:space="0" w:color="auto"/>
              <w:left w:val="nil"/>
              <w:bottom w:val="single" w:sz="2" w:space="0" w:color="auto"/>
              <w:right w:val="nil"/>
            </w:tcBorders>
            <w:shd w:val="clear" w:color="auto" w:fill="auto"/>
            <w:noWrap/>
            <w:vAlign w:val="bottom"/>
            <w:hideMark/>
          </w:tcPr>
          <w:p w14:paraId="4A87FCF7" w14:textId="77777777" w:rsidR="00F87E58" w:rsidRPr="00C372CC" w:rsidRDefault="00F87E58" w:rsidP="00F87E58">
            <w:pPr>
              <w:pStyle w:val="cuatexto"/>
              <w:jc w:val="left"/>
            </w:pPr>
            <w:r w:rsidRPr="00C372CC">
              <w:t xml:space="preserve">Hiscan </w:t>
            </w:r>
            <w:r w:rsidR="006F6FD3" w:rsidRPr="00C372CC">
              <w:t>Patrimonio S.A.U.</w:t>
            </w:r>
          </w:p>
        </w:tc>
        <w:tc>
          <w:tcPr>
            <w:tcW w:w="2339" w:type="dxa"/>
            <w:tcBorders>
              <w:top w:val="single" w:sz="2" w:space="0" w:color="auto"/>
              <w:left w:val="nil"/>
              <w:bottom w:val="single" w:sz="2" w:space="0" w:color="auto"/>
              <w:right w:val="nil"/>
            </w:tcBorders>
            <w:shd w:val="clear" w:color="auto" w:fill="auto"/>
            <w:noWrap/>
            <w:vAlign w:val="bottom"/>
            <w:hideMark/>
          </w:tcPr>
          <w:p w14:paraId="5E007BA0" w14:textId="77777777" w:rsidR="00F87E58" w:rsidRPr="00C372CC" w:rsidRDefault="00F87E58" w:rsidP="00F87E58">
            <w:pPr>
              <w:pStyle w:val="cuatexto"/>
              <w:jc w:val="right"/>
            </w:pPr>
            <w:r w:rsidRPr="00C372CC">
              <w:t>17,86</w:t>
            </w:r>
          </w:p>
        </w:tc>
      </w:tr>
      <w:tr w:rsidR="00C372CC" w:rsidRPr="00C372CC" w14:paraId="71CEFCD2" w14:textId="77777777" w:rsidTr="00F87E58">
        <w:trPr>
          <w:trHeight w:val="143"/>
          <w:jc w:val="center"/>
        </w:trPr>
        <w:tc>
          <w:tcPr>
            <w:tcW w:w="6166" w:type="dxa"/>
            <w:tcBorders>
              <w:top w:val="single" w:sz="2" w:space="0" w:color="auto"/>
              <w:left w:val="nil"/>
              <w:bottom w:val="single" w:sz="2" w:space="0" w:color="auto"/>
              <w:right w:val="nil"/>
            </w:tcBorders>
            <w:shd w:val="clear" w:color="auto" w:fill="auto"/>
            <w:noWrap/>
            <w:vAlign w:val="bottom"/>
            <w:hideMark/>
          </w:tcPr>
          <w:p w14:paraId="604FEA28" w14:textId="77777777" w:rsidR="00F87E58" w:rsidRPr="00C372CC" w:rsidRDefault="00F87E58" w:rsidP="00F87E58">
            <w:pPr>
              <w:pStyle w:val="cuatexto"/>
              <w:jc w:val="left"/>
            </w:pPr>
            <w:r w:rsidRPr="00C372CC">
              <w:t>Pronaocio S.L.U.</w:t>
            </w:r>
          </w:p>
        </w:tc>
        <w:tc>
          <w:tcPr>
            <w:tcW w:w="2339" w:type="dxa"/>
            <w:tcBorders>
              <w:top w:val="single" w:sz="2" w:space="0" w:color="auto"/>
              <w:left w:val="nil"/>
              <w:bottom w:val="single" w:sz="2" w:space="0" w:color="auto"/>
              <w:right w:val="nil"/>
            </w:tcBorders>
            <w:shd w:val="clear" w:color="auto" w:fill="auto"/>
            <w:noWrap/>
            <w:vAlign w:val="bottom"/>
            <w:hideMark/>
          </w:tcPr>
          <w:p w14:paraId="74D6DC51" w14:textId="77777777" w:rsidR="00F87E58" w:rsidRPr="00C372CC" w:rsidRDefault="00F87E58" w:rsidP="00F87E58">
            <w:pPr>
              <w:pStyle w:val="cuatexto"/>
              <w:jc w:val="right"/>
            </w:pPr>
            <w:r w:rsidRPr="00C372CC">
              <w:t>11,43</w:t>
            </w:r>
          </w:p>
        </w:tc>
      </w:tr>
      <w:tr w:rsidR="00C372CC" w:rsidRPr="00C372CC" w14:paraId="05518EBA" w14:textId="77777777" w:rsidTr="00F87E58">
        <w:trPr>
          <w:trHeight w:val="89"/>
          <w:jc w:val="center"/>
        </w:trPr>
        <w:tc>
          <w:tcPr>
            <w:tcW w:w="6166" w:type="dxa"/>
            <w:tcBorders>
              <w:top w:val="single" w:sz="2" w:space="0" w:color="auto"/>
              <w:left w:val="nil"/>
              <w:bottom w:val="single" w:sz="4" w:space="0" w:color="auto"/>
              <w:right w:val="nil"/>
            </w:tcBorders>
            <w:shd w:val="clear" w:color="auto" w:fill="auto"/>
            <w:noWrap/>
            <w:vAlign w:val="bottom"/>
            <w:hideMark/>
          </w:tcPr>
          <w:p w14:paraId="2CC5E59F" w14:textId="77777777" w:rsidR="00F87E58" w:rsidRPr="00C372CC" w:rsidRDefault="00FA7622" w:rsidP="00FA7622">
            <w:pPr>
              <w:pStyle w:val="cuatexto"/>
              <w:jc w:val="left"/>
            </w:pPr>
            <w:r w:rsidRPr="00C372CC">
              <w:t>La Información S.A.</w:t>
            </w:r>
            <w:r w:rsidR="006F6FD3" w:rsidRPr="00C372CC">
              <w:rPr>
                <w:rStyle w:val="Refdenotaalpie"/>
              </w:rPr>
              <w:footnoteReference w:id="2"/>
            </w:r>
          </w:p>
        </w:tc>
        <w:tc>
          <w:tcPr>
            <w:tcW w:w="2339" w:type="dxa"/>
            <w:tcBorders>
              <w:top w:val="single" w:sz="2" w:space="0" w:color="auto"/>
              <w:left w:val="nil"/>
              <w:bottom w:val="single" w:sz="4" w:space="0" w:color="auto"/>
              <w:right w:val="nil"/>
            </w:tcBorders>
            <w:shd w:val="clear" w:color="auto" w:fill="auto"/>
            <w:noWrap/>
            <w:vAlign w:val="bottom"/>
            <w:hideMark/>
          </w:tcPr>
          <w:p w14:paraId="3F06DCCE" w14:textId="77777777" w:rsidR="00F87E58" w:rsidRPr="00C372CC" w:rsidRDefault="00F87E58" w:rsidP="00F87E58">
            <w:pPr>
              <w:pStyle w:val="cuatexto"/>
              <w:jc w:val="right"/>
            </w:pPr>
            <w:r w:rsidRPr="00C372CC">
              <w:t>25,71</w:t>
            </w:r>
          </w:p>
        </w:tc>
      </w:tr>
      <w:tr w:rsidR="00C372CC" w:rsidRPr="00C372CC" w14:paraId="49ABCF91" w14:textId="77777777" w:rsidTr="008C3C03">
        <w:trPr>
          <w:trHeight w:val="255"/>
          <w:jc w:val="center"/>
        </w:trPr>
        <w:tc>
          <w:tcPr>
            <w:tcW w:w="6166" w:type="dxa"/>
            <w:tcBorders>
              <w:top w:val="single" w:sz="4" w:space="0" w:color="auto"/>
              <w:left w:val="nil"/>
              <w:bottom w:val="single" w:sz="4" w:space="0" w:color="auto"/>
              <w:right w:val="nil"/>
            </w:tcBorders>
            <w:shd w:val="clear" w:color="auto" w:fill="9CC2E5"/>
            <w:noWrap/>
            <w:vAlign w:val="center"/>
            <w:hideMark/>
          </w:tcPr>
          <w:p w14:paraId="24DD186A" w14:textId="77777777" w:rsidR="00F87E58" w:rsidRPr="00C372CC" w:rsidRDefault="00F87E58" w:rsidP="00F87E58">
            <w:pPr>
              <w:pStyle w:val="cuadroCabe"/>
              <w:jc w:val="left"/>
            </w:pPr>
            <w:r w:rsidRPr="00C372CC">
              <w:t>Total</w:t>
            </w:r>
          </w:p>
        </w:tc>
        <w:tc>
          <w:tcPr>
            <w:tcW w:w="2339" w:type="dxa"/>
            <w:tcBorders>
              <w:top w:val="single" w:sz="4" w:space="0" w:color="auto"/>
              <w:left w:val="nil"/>
              <w:bottom w:val="single" w:sz="4" w:space="0" w:color="auto"/>
              <w:right w:val="nil"/>
            </w:tcBorders>
            <w:shd w:val="clear" w:color="auto" w:fill="9CC2E5"/>
            <w:noWrap/>
            <w:vAlign w:val="center"/>
            <w:hideMark/>
          </w:tcPr>
          <w:p w14:paraId="50FE5FBE" w14:textId="77777777" w:rsidR="00F87E58" w:rsidRPr="00C372CC" w:rsidRDefault="00F87E58" w:rsidP="00F87E58">
            <w:pPr>
              <w:pStyle w:val="cuadroCabe"/>
              <w:jc w:val="right"/>
            </w:pPr>
            <w:r w:rsidRPr="00C372CC">
              <w:t>100</w:t>
            </w:r>
          </w:p>
        </w:tc>
      </w:tr>
    </w:tbl>
    <w:p w14:paraId="5F46DBD2" w14:textId="77777777" w:rsidR="006F6FD3" w:rsidRPr="006F6FD3" w:rsidRDefault="006F6FD3" w:rsidP="006F6FD3">
      <w:pPr>
        <w:autoSpaceDE w:val="0"/>
        <w:autoSpaceDN w:val="0"/>
        <w:adjustRightInd w:val="0"/>
        <w:spacing w:after="0"/>
        <w:ind w:firstLine="0"/>
        <w:jc w:val="left"/>
        <w:rPr>
          <w:rFonts w:ascii="Calibri" w:hAnsi="Calibri" w:cs="Calibri"/>
          <w:color w:val="000000"/>
          <w:sz w:val="24"/>
          <w:szCs w:val="24"/>
          <w:lang w:val="es-ES" w:eastAsia="es-ES"/>
        </w:rPr>
      </w:pPr>
    </w:p>
    <w:p w14:paraId="3C6BE194" w14:textId="77777777" w:rsidR="006F6FD3" w:rsidRDefault="006F6FD3" w:rsidP="00F87E58">
      <w:pPr>
        <w:pStyle w:val="texto"/>
        <w:spacing w:before="240"/>
      </w:pPr>
    </w:p>
    <w:p w14:paraId="11B9BFE3" w14:textId="77777777" w:rsidR="006F6FD3" w:rsidRDefault="006F6FD3" w:rsidP="00F87E58">
      <w:pPr>
        <w:pStyle w:val="texto"/>
        <w:spacing w:before="240"/>
      </w:pPr>
    </w:p>
    <w:p w14:paraId="1E032821" w14:textId="77777777" w:rsidR="00F87E58" w:rsidRDefault="00F87E58" w:rsidP="00F87E58">
      <w:pPr>
        <w:pStyle w:val="texto"/>
        <w:spacing w:before="240"/>
      </w:pPr>
      <w:r>
        <w:lastRenderedPageBreak/>
        <w:t>Sobre las variaciones en el accionariado y el capital social, indicamos tres cuestiones significativas:</w:t>
      </w:r>
    </w:p>
    <w:p w14:paraId="7A274A75"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Pr>
          <w:rFonts w:cs="Arial"/>
        </w:rPr>
        <w:t>Las transmisiones de acciones se han producido, básicamente, entre empresas del propio grupo empresarial. No existen acciones especialmente privilegiadas respecto a otras.</w:t>
      </w:r>
    </w:p>
    <w:p w14:paraId="50606DDA" w14:textId="77777777" w:rsidR="00F87E58" w:rsidRPr="005579B3"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5579B3">
        <w:rPr>
          <w:rFonts w:cs="Arial"/>
        </w:rPr>
        <w:t xml:space="preserve">Hay cambios en los socios o </w:t>
      </w:r>
      <w:r>
        <w:rPr>
          <w:rFonts w:cs="Arial"/>
        </w:rPr>
        <w:t xml:space="preserve">en </w:t>
      </w:r>
      <w:r w:rsidRPr="005579B3">
        <w:rPr>
          <w:rFonts w:cs="Arial"/>
        </w:rPr>
        <w:t xml:space="preserve">su porcentaje de participación, pero no se han emitido nuevas acciones, ni se han amortizado desde la constitución de </w:t>
      </w:r>
      <w:r>
        <w:rPr>
          <w:rFonts w:cs="Arial"/>
        </w:rPr>
        <w:t>la sociedad</w:t>
      </w:r>
      <w:r w:rsidRPr="005579B3">
        <w:rPr>
          <w:rFonts w:cs="Arial"/>
        </w:rPr>
        <w:t>, por lo que el número de acciones es el mismo que en el momento de la</w:t>
      </w:r>
      <w:r>
        <w:rPr>
          <w:rFonts w:cs="Arial"/>
        </w:rPr>
        <w:t xml:space="preserve"> constitución</w:t>
      </w:r>
      <w:r w:rsidR="00232D34">
        <w:rPr>
          <w:rFonts w:cs="Arial"/>
        </w:rPr>
        <w:t>:</w:t>
      </w:r>
      <w:r>
        <w:rPr>
          <w:rFonts w:cs="Arial"/>
        </w:rPr>
        <w:t xml:space="preserve"> 900.000</w:t>
      </w:r>
      <w:r w:rsidRPr="005579B3">
        <w:rPr>
          <w:rFonts w:cs="Arial"/>
        </w:rPr>
        <w:t>.</w:t>
      </w:r>
    </w:p>
    <w:p w14:paraId="1E632E12" w14:textId="77777777" w:rsidR="00F87E58" w:rsidRPr="00C372CC"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120" w:after="240"/>
        <w:ind w:left="0" w:firstLine="289"/>
        <w:rPr>
          <w:rFonts w:cs="Arial"/>
        </w:rPr>
      </w:pPr>
      <w:r w:rsidRPr="005579B3">
        <w:rPr>
          <w:rFonts w:cs="Arial"/>
        </w:rPr>
        <w:t>La única variación es la correspondiente al nominal de las acciones, ya que se han realizado dos disminuciones de capital para compensar pérdidas, pasando de un capital inicia</w:t>
      </w:r>
      <w:r>
        <w:rPr>
          <w:rFonts w:cs="Arial"/>
        </w:rPr>
        <w:t>l de nueve millones a 1,8 millones, tal y como s</w:t>
      </w:r>
      <w:r w:rsidRPr="005579B3">
        <w:rPr>
          <w:rFonts w:cs="Arial"/>
        </w:rPr>
        <w:t xml:space="preserve">e </w:t>
      </w:r>
      <w:r w:rsidRPr="00C372CC">
        <w:rPr>
          <w:rFonts w:cs="Arial"/>
        </w:rPr>
        <w:t xml:space="preserve">refleja en el siguiente cuadro: </w:t>
      </w:r>
    </w:p>
    <w:tbl>
      <w:tblPr>
        <w:tblW w:w="847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68"/>
        <w:gridCol w:w="1267"/>
        <w:gridCol w:w="1444"/>
        <w:gridCol w:w="1444"/>
        <w:gridCol w:w="1444"/>
        <w:gridCol w:w="1303"/>
      </w:tblGrid>
      <w:tr w:rsidR="00C372CC" w:rsidRPr="00C372CC" w14:paraId="30828B47" w14:textId="77777777" w:rsidTr="00F87E58">
        <w:trPr>
          <w:trHeight w:val="255"/>
          <w:jc w:val="center"/>
        </w:trPr>
        <w:tc>
          <w:tcPr>
            <w:tcW w:w="1568" w:type="dxa"/>
            <w:tcBorders>
              <w:bottom w:val="single" w:sz="4" w:space="0" w:color="auto"/>
            </w:tcBorders>
            <w:shd w:val="clear" w:color="auto" w:fill="9CC2E5"/>
            <w:noWrap/>
            <w:vAlign w:val="bottom"/>
            <w:hideMark/>
          </w:tcPr>
          <w:p w14:paraId="5DEB3544" w14:textId="77777777" w:rsidR="00F87E58" w:rsidRPr="00C372CC" w:rsidRDefault="00F87E58" w:rsidP="00F87E58">
            <w:pPr>
              <w:pStyle w:val="cuadroCabe"/>
              <w:jc w:val="left"/>
            </w:pPr>
            <w:r w:rsidRPr="00C372CC">
              <w:t> </w:t>
            </w:r>
          </w:p>
        </w:tc>
        <w:tc>
          <w:tcPr>
            <w:tcW w:w="1267" w:type="dxa"/>
            <w:tcBorders>
              <w:bottom w:val="single" w:sz="4" w:space="0" w:color="auto"/>
            </w:tcBorders>
            <w:shd w:val="clear" w:color="auto" w:fill="9CC2E5"/>
            <w:noWrap/>
            <w:vAlign w:val="center"/>
            <w:hideMark/>
          </w:tcPr>
          <w:p w14:paraId="23674B8B" w14:textId="77777777" w:rsidR="00F87E58" w:rsidRPr="00C372CC" w:rsidRDefault="00F87E58" w:rsidP="00F87E58">
            <w:pPr>
              <w:pStyle w:val="cuadroCabe"/>
              <w:jc w:val="right"/>
            </w:pPr>
            <w:r w:rsidRPr="00C372CC">
              <w:t>Inicial</w:t>
            </w:r>
          </w:p>
        </w:tc>
        <w:tc>
          <w:tcPr>
            <w:tcW w:w="1444" w:type="dxa"/>
            <w:tcBorders>
              <w:bottom w:val="single" w:sz="4" w:space="0" w:color="auto"/>
            </w:tcBorders>
            <w:shd w:val="clear" w:color="auto" w:fill="9CC2E5"/>
            <w:noWrap/>
            <w:vAlign w:val="center"/>
            <w:hideMark/>
          </w:tcPr>
          <w:p w14:paraId="4CC9E52B" w14:textId="77777777" w:rsidR="00F87E58" w:rsidRPr="00C372CC" w:rsidRDefault="00F87E58" w:rsidP="00F87E58">
            <w:pPr>
              <w:pStyle w:val="cuadroCabe"/>
              <w:jc w:val="right"/>
            </w:pPr>
            <w:r w:rsidRPr="00C372CC">
              <w:t>Reducción</w:t>
            </w:r>
          </w:p>
          <w:p w14:paraId="78697C02" w14:textId="77777777" w:rsidR="00F87E58" w:rsidRPr="00C372CC" w:rsidRDefault="00F87E58" w:rsidP="00FA7622">
            <w:pPr>
              <w:pStyle w:val="cuadroCabe"/>
              <w:jc w:val="right"/>
            </w:pPr>
            <w:r w:rsidRPr="00C372CC">
              <w:t xml:space="preserve"> </w:t>
            </w:r>
            <w:r w:rsidR="00FA7622" w:rsidRPr="00C372CC">
              <w:t>junio</w:t>
            </w:r>
            <w:r w:rsidRPr="00C372CC">
              <w:t xml:space="preserve"> 2005</w:t>
            </w:r>
          </w:p>
        </w:tc>
        <w:tc>
          <w:tcPr>
            <w:tcW w:w="1444" w:type="dxa"/>
            <w:tcBorders>
              <w:bottom w:val="single" w:sz="4" w:space="0" w:color="auto"/>
            </w:tcBorders>
            <w:shd w:val="clear" w:color="auto" w:fill="9CC2E5"/>
            <w:vAlign w:val="center"/>
            <w:hideMark/>
          </w:tcPr>
          <w:p w14:paraId="01C74D52" w14:textId="77777777" w:rsidR="00F87E58" w:rsidRPr="00C372CC" w:rsidRDefault="00F87E58" w:rsidP="00F87E58">
            <w:pPr>
              <w:pStyle w:val="cuadroCabe"/>
              <w:jc w:val="right"/>
            </w:pPr>
            <w:r w:rsidRPr="00C372CC">
              <w:t xml:space="preserve">Capital </w:t>
            </w:r>
          </w:p>
          <w:p w14:paraId="55EDE82D" w14:textId="77777777" w:rsidR="00F87E58" w:rsidRPr="00C372CC" w:rsidRDefault="00FA7622" w:rsidP="00F87E58">
            <w:pPr>
              <w:pStyle w:val="cuadroCabe"/>
              <w:jc w:val="right"/>
            </w:pPr>
            <w:r w:rsidRPr="00C372CC">
              <w:t>junio</w:t>
            </w:r>
            <w:r w:rsidR="00F87E58" w:rsidRPr="00C372CC">
              <w:t xml:space="preserve"> 2005</w:t>
            </w:r>
          </w:p>
        </w:tc>
        <w:tc>
          <w:tcPr>
            <w:tcW w:w="1444" w:type="dxa"/>
            <w:tcBorders>
              <w:bottom w:val="single" w:sz="4" w:space="0" w:color="auto"/>
            </w:tcBorders>
            <w:shd w:val="clear" w:color="auto" w:fill="9CC2E5"/>
            <w:vAlign w:val="center"/>
            <w:hideMark/>
          </w:tcPr>
          <w:p w14:paraId="22F0F8B1" w14:textId="77777777" w:rsidR="00F87E58" w:rsidRPr="00C372CC" w:rsidRDefault="00F87E58" w:rsidP="00F87E58">
            <w:pPr>
              <w:pStyle w:val="cuadroCabe"/>
              <w:jc w:val="right"/>
            </w:pPr>
            <w:r w:rsidRPr="00C372CC">
              <w:t xml:space="preserve">Reducción </w:t>
            </w:r>
          </w:p>
          <w:p w14:paraId="11816FD3" w14:textId="77777777" w:rsidR="00F87E58" w:rsidRPr="00C372CC" w:rsidRDefault="00F87E58" w:rsidP="00F87E58">
            <w:pPr>
              <w:pStyle w:val="cuadroCabe"/>
              <w:jc w:val="right"/>
            </w:pPr>
            <w:r w:rsidRPr="00C372CC">
              <w:t>Junio 2006</w:t>
            </w:r>
          </w:p>
        </w:tc>
        <w:tc>
          <w:tcPr>
            <w:tcW w:w="1303" w:type="dxa"/>
            <w:tcBorders>
              <w:bottom w:val="single" w:sz="4" w:space="0" w:color="auto"/>
            </w:tcBorders>
            <w:shd w:val="clear" w:color="auto" w:fill="9CC2E5"/>
            <w:vAlign w:val="center"/>
            <w:hideMark/>
          </w:tcPr>
          <w:p w14:paraId="2DABBD1B" w14:textId="77777777" w:rsidR="00F87E58" w:rsidRPr="00C372CC" w:rsidRDefault="00F87E58" w:rsidP="00F87E58">
            <w:pPr>
              <w:pStyle w:val="cuadroCabe"/>
              <w:jc w:val="right"/>
            </w:pPr>
            <w:r w:rsidRPr="00C372CC">
              <w:t>Capital final</w:t>
            </w:r>
          </w:p>
        </w:tc>
      </w:tr>
      <w:tr w:rsidR="00C372CC" w:rsidRPr="00C372CC" w14:paraId="55E9B57B" w14:textId="77777777" w:rsidTr="00F87E58">
        <w:trPr>
          <w:trHeight w:val="198"/>
          <w:jc w:val="center"/>
        </w:trPr>
        <w:tc>
          <w:tcPr>
            <w:tcW w:w="1568" w:type="dxa"/>
            <w:tcBorders>
              <w:bottom w:val="single" w:sz="2" w:space="0" w:color="auto"/>
            </w:tcBorders>
            <w:shd w:val="clear" w:color="auto" w:fill="auto"/>
            <w:noWrap/>
            <w:vAlign w:val="center"/>
            <w:hideMark/>
          </w:tcPr>
          <w:p w14:paraId="1B25EDCC" w14:textId="77777777" w:rsidR="00F87E58" w:rsidRPr="00C372CC" w:rsidRDefault="00F87E58" w:rsidP="00F87E58">
            <w:pPr>
              <w:pStyle w:val="cuadroCabe"/>
              <w:jc w:val="left"/>
              <w:rPr>
                <w:rFonts w:ascii="Arial Narrow" w:hAnsi="Arial Narrow"/>
                <w:sz w:val="20"/>
                <w:szCs w:val="20"/>
              </w:rPr>
            </w:pPr>
            <w:r w:rsidRPr="00C372CC">
              <w:rPr>
                <w:rFonts w:ascii="Arial Narrow" w:hAnsi="Arial Narrow"/>
                <w:sz w:val="20"/>
                <w:szCs w:val="20"/>
              </w:rPr>
              <w:t>Nº acciones</w:t>
            </w:r>
          </w:p>
        </w:tc>
        <w:tc>
          <w:tcPr>
            <w:tcW w:w="1267" w:type="dxa"/>
            <w:tcBorders>
              <w:bottom w:val="single" w:sz="2" w:space="0" w:color="auto"/>
            </w:tcBorders>
            <w:shd w:val="clear" w:color="auto" w:fill="auto"/>
            <w:noWrap/>
            <w:vAlign w:val="center"/>
            <w:hideMark/>
          </w:tcPr>
          <w:p w14:paraId="19207E22" w14:textId="77777777" w:rsidR="00F87E58" w:rsidRPr="00C372CC" w:rsidRDefault="00F87E58" w:rsidP="00F87E58">
            <w:pPr>
              <w:pStyle w:val="cuadroCabe"/>
              <w:jc w:val="right"/>
              <w:rPr>
                <w:rFonts w:ascii="Arial Narrow" w:hAnsi="Arial Narrow"/>
                <w:sz w:val="20"/>
                <w:szCs w:val="20"/>
              </w:rPr>
            </w:pPr>
            <w:r w:rsidRPr="00C372CC">
              <w:rPr>
                <w:rFonts w:ascii="Arial Narrow" w:hAnsi="Arial Narrow"/>
                <w:sz w:val="20"/>
                <w:szCs w:val="20"/>
              </w:rPr>
              <w:t>900.000</w:t>
            </w:r>
          </w:p>
        </w:tc>
        <w:tc>
          <w:tcPr>
            <w:tcW w:w="1444" w:type="dxa"/>
            <w:tcBorders>
              <w:bottom w:val="single" w:sz="2" w:space="0" w:color="auto"/>
            </w:tcBorders>
            <w:shd w:val="clear" w:color="auto" w:fill="auto"/>
            <w:noWrap/>
            <w:vAlign w:val="center"/>
            <w:hideMark/>
          </w:tcPr>
          <w:p w14:paraId="0E939BB9" w14:textId="77777777" w:rsidR="00F87E58" w:rsidRPr="00C372CC" w:rsidRDefault="00F87E58" w:rsidP="00F87E58">
            <w:pPr>
              <w:pStyle w:val="cuadroCabe"/>
              <w:jc w:val="right"/>
              <w:rPr>
                <w:rFonts w:ascii="Arial Narrow" w:hAnsi="Arial Narrow"/>
                <w:sz w:val="20"/>
                <w:szCs w:val="20"/>
              </w:rPr>
            </w:pPr>
            <w:r w:rsidRPr="00C372CC">
              <w:rPr>
                <w:rFonts w:ascii="Arial Narrow" w:hAnsi="Arial Narrow"/>
                <w:sz w:val="20"/>
                <w:szCs w:val="20"/>
              </w:rPr>
              <w:t>900.000</w:t>
            </w:r>
          </w:p>
        </w:tc>
        <w:tc>
          <w:tcPr>
            <w:tcW w:w="1444" w:type="dxa"/>
            <w:tcBorders>
              <w:bottom w:val="single" w:sz="2" w:space="0" w:color="auto"/>
            </w:tcBorders>
            <w:shd w:val="clear" w:color="auto" w:fill="auto"/>
            <w:noWrap/>
            <w:vAlign w:val="center"/>
            <w:hideMark/>
          </w:tcPr>
          <w:p w14:paraId="4FC9B29E" w14:textId="77777777" w:rsidR="00F87E58" w:rsidRPr="00C372CC" w:rsidRDefault="00F87E58" w:rsidP="00F87E58">
            <w:pPr>
              <w:pStyle w:val="cuadroCabe"/>
              <w:jc w:val="right"/>
              <w:rPr>
                <w:rFonts w:ascii="Arial Narrow" w:hAnsi="Arial Narrow"/>
                <w:sz w:val="20"/>
                <w:szCs w:val="20"/>
              </w:rPr>
            </w:pPr>
            <w:r w:rsidRPr="00C372CC">
              <w:rPr>
                <w:rFonts w:ascii="Arial Narrow" w:hAnsi="Arial Narrow"/>
                <w:sz w:val="20"/>
                <w:szCs w:val="20"/>
              </w:rPr>
              <w:t>900.000</w:t>
            </w:r>
          </w:p>
        </w:tc>
        <w:tc>
          <w:tcPr>
            <w:tcW w:w="1444" w:type="dxa"/>
            <w:tcBorders>
              <w:bottom w:val="single" w:sz="2" w:space="0" w:color="auto"/>
            </w:tcBorders>
            <w:shd w:val="clear" w:color="auto" w:fill="auto"/>
            <w:noWrap/>
            <w:vAlign w:val="center"/>
            <w:hideMark/>
          </w:tcPr>
          <w:p w14:paraId="07D629E6" w14:textId="77777777" w:rsidR="00F87E58" w:rsidRPr="00C372CC" w:rsidRDefault="00F87E58" w:rsidP="00F87E58">
            <w:pPr>
              <w:pStyle w:val="cuadroCabe"/>
              <w:jc w:val="right"/>
              <w:rPr>
                <w:rFonts w:ascii="Arial Narrow" w:hAnsi="Arial Narrow"/>
                <w:sz w:val="20"/>
                <w:szCs w:val="20"/>
              </w:rPr>
            </w:pPr>
            <w:r w:rsidRPr="00C372CC">
              <w:rPr>
                <w:rFonts w:ascii="Arial Narrow" w:hAnsi="Arial Narrow"/>
                <w:sz w:val="20"/>
                <w:szCs w:val="20"/>
              </w:rPr>
              <w:t>900.000</w:t>
            </w:r>
          </w:p>
        </w:tc>
        <w:tc>
          <w:tcPr>
            <w:tcW w:w="1303" w:type="dxa"/>
            <w:tcBorders>
              <w:bottom w:val="single" w:sz="2" w:space="0" w:color="auto"/>
            </w:tcBorders>
            <w:shd w:val="clear" w:color="auto" w:fill="auto"/>
            <w:noWrap/>
            <w:vAlign w:val="center"/>
            <w:hideMark/>
          </w:tcPr>
          <w:p w14:paraId="3E120F82" w14:textId="77777777" w:rsidR="00F87E58" w:rsidRPr="00C372CC" w:rsidRDefault="00F87E58" w:rsidP="00F87E58">
            <w:pPr>
              <w:pStyle w:val="cuadroCabe"/>
              <w:jc w:val="right"/>
              <w:rPr>
                <w:rFonts w:ascii="Arial Narrow" w:hAnsi="Arial Narrow"/>
                <w:sz w:val="20"/>
                <w:szCs w:val="20"/>
              </w:rPr>
            </w:pPr>
            <w:r w:rsidRPr="00C372CC">
              <w:rPr>
                <w:rFonts w:ascii="Arial Narrow" w:hAnsi="Arial Narrow"/>
                <w:sz w:val="20"/>
                <w:szCs w:val="20"/>
              </w:rPr>
              <w:t>900.000</w:t>
            </w:r>
          </w:p>
        </w:tc>
      </w:tr>
      <w:tr w:rsidR="00F87E58" w:rsidRPr="00BB5B2C" w14:paraId="09AF7F20" w14:textId="77777777" w:rsidTr="00F87E58">
        <w:trPr>
          <w:trHeight w:val="198"/>
          <w:jc w:val="center"/>
        </w:trPr>
        <w:tc>
          <w:tcPr>
            <w:tcW w:w="1568" w:type="dxa"/>
            <w:tcBorders>
              <w:top w:val="single" w:sz="2" w:space="0" w:color="auto"/>
              <w:bottom w:val="single" w:sz="2" w:space="0" w:color="auto"/>
            </w:tcBorders>
            <w:shd w:val="clear" w:color="auto" w:fill="auto"/>
            <w:noWrap/>
            <w:vAlign w:val="center"/>
            <w:hideMark/>
          </w:tcPr>
          <w:p w14:paraId="01E425ED" w14:textId="77777777" w:rsidR="00F87E58" w:rsidRPr="005E1A72" w:rsidRDefault="00F87E58" w:rsidP="00F87E58">
            <w:pPr>
              <w:pStyle w:val="cuadroCabe"/>
              <w:jc w:val="left"/>
              <w:rPr>
                <w:rFonts w:ascii="Arial Narrow" w:hAnsi="Arial Narrow"/>
                <w:sz w:val="20"/>
                <w:szCs w:val="20"/>
              </w:rPr>
            </w:pPr>
            <w:r w:rsidRPr="005E1A72">
              <w:rPr>
                <w:rFonts w:ascii="Arial Narrow" w:hAnsi="Arial Narrow"/>
                <w:sz w:val="20"/>
                <w:szCs w:val="20"/>
              </w:rPr>
              <w:t>Nominal</w:t>
            </w:r>
          </w:p>
        </w:tc>
        <w:tc>
          <w:tcPr>
            <w:tcW w:w="1267" w:type="dxa"/>
            <w:tcBorders>
              <w:top w:val="single" w:sz="2" w:space="0" w:color="auto"/>
              <w:bottom w:val="single" w:sz="2" w:space="0" w:color="auto"/>
            </w:tcBorders>
            <w:shd w:val="clear" w:color="auto" w:fill="auto"/>
            <w:noWrap/>
            <w:vAlign w:val="center"/>
            <w:hideMark/>
          </w:tcPr>
          <w:p w14:paraId="288F9A57"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10</w:t>
            </w:r>
          </w:p>
        </w:tc>
        <w:tc>
          <w:tcPr>
            <w:tcW w:w="1444" w:type="dxa"/>
            <w:tcBorders>
              <w:top w:val="single" w:sz="2" w:space="0" w:color="auto"/>
              <w:bottom w:val="single" w:sz="2" w:space="0" w:color="auto"/>
            </w:tcBorders>
            <w:shd w:val="clear" w:color="auto" w:fill="auto"/>
            <w:noWrap/>
            <w:vAlign w:val="center"/>
            <w:hideMark/>
          </w:tcPr>
          <w:p w14:paraId="2820B9A6"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3,33</w:t>
            </w:r>
          </w:p>
        </w:tc>
        <w:tc>
          <w:tcPr>
            <w:tcW w:w="1444" w:type="dxa"/>
            <w:tcBorders>
              <w:top w:val="single" w:sz="2" w:space="0" w:color="auto"/>
              <w:bottom w:val="single" w:sz="2" w:space="0" w:color="auto"/>
            </w:tcBorders>
            <w:shd w:val="clear" w:color="auto" w:fill="auto"/>
            <w:noWrap/>
            <w:vAlign w:val="center"/>
            <w:hideMark/>
          </w:tcPr>
          <w:p w14:paraId="0A7EEF13"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6,67</w:t>
            </w:r>
          </w:p>
        </w:tc>
        <w:tc>
          <w:tcPr>
            <w:tcW w:w="1444" w:type="dxa"/>
            <w:tcBorders>
              <w:top w:val="single" w:sz="2" w:space="0" w:color="auto"/>
              <w:bottom w:val="single" w:sz="2" w:space="0" w:color="auto"/>
            </w:tcBorders>
            <w:shd w:val="clear" w:color="auto" w:fill="auto"/>
            <w:noWrap/>
            <w:vAlign w:val="center"/>
            <w:hideMark/>
          </w:tcPr>
          <w:p w14:paraId="42A6503E"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4,67</w:t>
            </w:r>
          </w:p>
        </w:tc>
        <w:tc>
          <w:tcPr>
            <w:tcW w:w="1303" w:type="dxa"/>
            <w:tcBorders>
              <w:top w:val="single" w:sz="2" w:space="0" w:color="auto"/>
              <w:bottom w:val="single" w:sz="2" w:space="0" w:color="auto"/>
            </w:tcBorders>
            <w:shd w:val="clear" w:color="auto" w:fill="auto"/>
            <w:noWrap/>
            <w:vAlign w:val="center"/>
            <w:hideMark/>
          </w:tcPr>
          <w:p w14:paraId="0161380A"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2</w:t>
            </w:r>
          </w:p>
        </w:tc>
      </w:tr>
      <w:tr w:rsidR="00F87E58" w:rsidRPr="00BB5B2C" w14:paraId="1C6F6D40" w14:textId="77777777" w:rsidTr="00F87E58">
        <w:trPr>
          <w:trHeight w:val="198"/>
          <w:jc w:val="center"/>
        </w:trPr>
        <w:tc>
          <w:tcPr>
            <w:tcW w:w="1568" w:type="dxa"/>
            <w:tcBorders>
              <w:top w:val="single" w:sz="2" w:space="0" w:color="auto"/>
            </w:tcBorders>
            <w:shd w:val="clear" w:color="auto" w:fill="auto"/>
            <w:noWrap/>
            <w:vAlign w:val="center"/>
            <w:hideMark/>
          </w:tcPr>
          <w:p w14:paraId="2CAC978A" w14:textId="77777777" w:rsidR="00F87E58" w:rsidRPr="005E1A72" w:rsidRDefault="00F87E58" w:rsidP="00F87E58">
            <w:pPr>
              <w:pStyle w:val="cuadroCabe"/>
              <w:jc w:val="left"/>
              <w:rPr>
                <w:rFonts w:ascii="Arial Narrow" w:hAnsi="Arial Narrow"/>
                <w:sz w:val="20"/>
                <w:szCs w:val="20"/>
              </w:rPr>
            </w:pPr>
            <w:r w:rsidRPr="005E1A72">
              <w:rPr>
                <w:rFonts w:ascii="Arial Narrow" w:hAnsi="Arial Narrow"/>
                <w:sz w:val="20"/>
                <w:szCs w:val="20"/>
              </w:rPr>
              <w:t>Capital Social</w:t>
            </w:r>
          </w:p>
        </w:tc>
        <w:tc>
          <w:tcPr>
            <w:tcW w:w="1267" w:type="dxa"/>
            <w:tcBorders>
              <w:top w:val="single" w:sz="2" w:space="0" w:color="auto"/>
            </w:tcBorders>
            <w:shd w:val="clear" w:color="auto" w:fill="auto"/>
            <w:noWrap/>
            <w:vAlign w:val="center"/>
            <w:hideMark/>
          </w:tcPr>
          <w:p w14:paraId="743E4EDA"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9.000.000</w:t>
            </w:r>
          </w:p>
        </w:tc>
        <w:tc>
          <w:tcPr>
            <w:tcW w:w="1444" w:type="dxa"/>
            <w:tcBorders>
              <w:top w:val="single" w:sz="2" w:space="0" w:color="auto"/>
            </w:tcBorders>
            <w:shd w:val="clear" w:color="auto" w:fill="auto"/>
            <w:noWrap/>
            <w:vAlign w:val="center"/>
            <w:hideMark/>
          </w:tcPr>
          <w:p w14:paraId="1563EEDB"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2.997.000</w:t>
            </w:r>
          </w:p>
        </w:tc>
        <w:tc>
          <w:tcPr>
            <w:tcW w:w="1444" w:type="dxa"/>
            <w:tcBorders>
              <w:top w:val="single" w:sz="2" w:space="0" w:color="auto"/>
            </w:tcBorders>
            <w:shd w:val="clear" w:color="auto" w:fill="auto"/>
            <w:noWrap/>
            <w:vAlign w:val="center"/>
            <w:hideMark/>
          </w:tcPr>
          <w:p w14:paraId="35CF07C6"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6.003.000</w:t>
            </w:r>
          </w:p>
        </w:tc>
        <w:tc>
          <w:tcPr>
            <w:tcW w:w="1444" w:type="dxa"/>
            <w:tcBorders>
              <w:top w:val="single" w:sz="2" w:space="0" w:color="auto"/>
            </w:tcBorders>
            <w:shd w:val="clear" w:color="auto" w:fill="auto"/>
            <w:noWrap/>
            <w:vAlign w:val="center"/>
            <w:hideMark/>
          </w:tcPr>
          <w:p w14:paraId="626A03F4"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4.203.000</w:t>
            </w:r>
          </w:p>
        </w:tc>
        <w:tc>
          <w:tcPr>
            <w:tcW w:w="1303" w:type="dxa"/>
            <w:tcBorders>
              <w:top w:val="single" w:sz="2" w:space="0" w:color="auto"/>
            </w:tcBorders>
            <w:shd w:val="clear" w:color="auto" w:fill="auto"/>
            <w:noWrap/>
            <w:vAlign w:val="center"/>
            <w:hideMark/>
          </w:tcPr>
          <w:p w14:paraId="18269D5B" w14:textId="77777777" w:rsidR="00F87E58" w:rsidRPr="005E1A72" w:rsidRDefault="00F87E58" w:rsidP="00F87E58">
            <w:pPr>
              <w:pStyle w:val="cuadroCabe"/>
              <w:jc w:val="right"/>
              <w:rPr>
                <w:rFonts w:ascii="Arial Narrow" w:hAnsi="Arial Narrow"/>
                <w:sz w:val="20"/>
                <w:szCs w:val="20"/>
              </w:rPr>
            </w:pPr>
            <w:r w:rsidRPr="005E1A72">
              <w:rPr>
                <w:rFonts w:ascii="Arial Narrow" w:hAnsi="Arial Narrow"/>
                <w:sz w:val="20"/>
                <w:szCs w:val="20"/>
              </w:rPr>
              <w:t>1.800.000</w:t>
            </w:r>
          </w:p>
        </w:tc>
      </w:tr>
    </w:tbl>
    <w:p w14:paraId="79BEE4C6" w14:textId="77777777" w:rsidR="00F87E58" w:rsidRDefault="00F87E58" w:rsidP="00F87E58">
      <w:pPr>
        <w:pStyle w:val="texto"/>
      </w:pPr>
      <w:bookmarkStart w:id="25" w:name="TMB305776346"/>
      <w:bookmarkEnd w:id="25"/>
    </w:p>
    <w:p w14:paraId="2B5B666F" w14:textId="77777777" w:rsidR="00F87E58" w:rsidRPr="00E85E61" w:rsidRDefault="00F87E58" w:rsidP="00F87E58">
      <w:pPr>
        <w:pStyle w:val="atitulo3"/>
        <w:rPr>
          <w:sz w:val="26"/>
        </w:rPr>
      </w:pPr>
      <w:r>
        <w:rPr>
          <w:sz w:val="26"/>
        </w:rPr>
        <w:t>Ó</w:t>
      </w:r>
      <w:r w:rsidRPr="00E85E61">
        <w:rPr>
          <w:sz w:val="26"/>
        </w:rPr>
        <w:t>rganos de gobierno</w:t>
      </w:r>
    </w:p>
    <w:p w14:paraId="6C757661" w14:textId="77777777" w:rsidR="00F87E58" w:rsidRDefault="00F87E58" w:rsidP="00F87E58">
      <w:pPr>
        <w:pStyle w:val="texto"/>
      </w:pPr>
      <w:r>
        <w:t>Los órganos de gobierno iniciales eran la Junta G</w:t>
      </w:r>
      <w:r w:rsidRPr="00AA0BAB">
        <w:t xml:space="preserve">eneral </w:t>
      </w:r>
      <w:r>
        <w:t xml:space="preserve">y el Consejo de Administración, </w:t>
      </w:r>
      <w:r w:rsidRPr="00AA0BAB">
        <w:t xml:space="preserve">con un mínimo </w:t>
      </w:r>
      <w:r>
        <w:t xml:space="preserve">de cuatro y un máximo de diez </w:t>
      </w:r>
      <w:r w:rsidRPr="00AA0BAB">
        <w:t>miembros. Los consejeros son nombrados po</w:t>
      </w:r>
      <w:r>
        <w:t>r un periodo de cinco a</w:t>
      </w:r>
      <w:r w:rsidRPr="00AA0BAB">
        <w:t xml:space="preserve">ños. </w:t>
      </w:r>
      <w:r>
        <w:t>Sobre la evolución de los órganos de gobierno, se detalla lo siguiente:</w:t>
      </w:r>
    </w:p>
    <w:p w14:paraId="714B6112" w14:textId="77777777" w:rsidR="00F87E58" w:rsidRPr="005579B3"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5579B3">
        <w:rPr>
          <w:rFonts w:cs="Arial"/>
        </w:rPr>
        <w:t xml:space="preserve">En 2004 se abrió el parque </w:t>
      </w:r>
      <w:r>
        <w:rPr>
          <w:rFonts w:cs="Arial"/>
        </w:rPr>
        <w:t xml:space="preserve">“Senda Viva” </w:t>
      </w:r>
      <w:r w:rsidRPr="005579B3">
        <w:rPr>
          <w:rFonts w:cs="Arial"/>
        </w:rPr>
        <w:t>al público y se pusieron de ma</w:t>
      </w:r>
      <w:r>
        <w:rPr>
          <w:rFonts w:cs="Arial"/>
        </w:rPr>
        <w:t xml:space="preserve">nifiesto diversas deficiencias y resultados negativos, originando pérdidas importantes. </w:t>
      </w:r>
    </w:p>
    <w:p w14:paraId="73D7D6DD" w14:textId="77777777" w:rsidR="00F87E58" w:rsidRPr="00E1571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220E40">
        <w:rPr>
          <w:rFonts w:cs="Arial"/>
        </w:rPr>
        <w:t>En el Consejo de Administración de la sociedad, en su sesión de fecha 27 de diciembre de 2004, se deliberó sobre la crítica situación de tesorería y la imposibilidad de obtener financiación bancaria adicional a la obtenida para la construcción del parque</w:t>
      </w:r>
      <w:r w:rsidRPr="00884174">
        <w:rPr>
          <w:rStyle w:val="Refdenotaalpie"/>
          <w:rFonts w:eastAsia="Calibri" w:cs="Arial"/>
        </w:rPr>
        <w:footnoteReference w:id="3"/>
      </w:r>
      <w:r w:rsidRPr="00220E40">
        <w:rPr>
          <w:rFonts w:cs="Arial"/>
        </w:rPr>
        <w:t xml:space="preserve">. Ante esta situación, y la negativa del resto de socios de apoyar financieramente el proyecto, el Gobierno de Navarra y el Consejo de Administración de Sodena, considerando la inversión como estratégica, </w:t>
      </w:r>
      <w:r>
        <w:rPr>
          <w:rFonts w:cs="Arial"/>
        </w:rPr>
        <w:t>decidieron q</w:t>
      </w:r>
      <w:r w:rsidRPr="00220E40">
        <w:rPr>
          <w:rFonts w:cs="Arial"/>
        </w:rPr>
        <w:t>ue Sodena asumiera el apoyo financiero en su totalidad, así como la supervisión en la gestión. A tal efecto</w:t>
      </w:r>
      <w:r>
        <w:rPr>
          <w:rFonts w:cs="Arial"/>
        </w:rPr>
        <w:t xml:space="preserve">, y de conformidad </w:t>
      </w:r>
      <w:r>
        <w:rPr>
          <w:rFonts w:cs="Arial"/>
        </w:rPr>
        <w:lastRenderedPageBreak/>
        <w:t xml:space="preserve">con el marco jurídico mercantil </w:t>
      </w:r>
      <w:r w:rsidRPr="00220E40">
        <w:rPr>
          <w:rFonts w:cs="Arial"/>
        </w:rPr>
        <w:t xml:space="preserve">se </w:t>
      </w:r>
      <w:r>
        <w:rPr>
          <w:rFonts w:cs="Arial"/>
        </w:rPr>
        <w:t xml:space="preserve">eliminaría el Consejo de Administración y se sustituiría por la figura del Administrador Único. </w:t>
      </w:r>
    </w:p>
    <w:p w14:paraId="3A5AC8B5" w14:textId="77777777" w:rsidR="00F87E58" w:rsidRPr="00220E40"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220E40">
        <w:rPr>
          <w:rFonts w:cs="Arial"/>
        </w:rPr>
        <w:t xml:space="preserve">En mayo de 2005 el Consejo de Administración de Parquenasa </w:t>
      </w:r>
      <w:r>
        <w:rPr>
          <w:rFonts w:cs="Arial"/>
        </w:rPr>
        <w:t>propuso convertir a Sodena en administrador ú</w:t>
      </w:r>
      <w:r w:rsidRPr="00220E40">
        <w:rPr>
          <w:rFonts w:cs="Arial"/>
        </w:rPr>
        <w:t xml:space="preserve">nico de la sociedad. Esta propuesta fue aprobada en junio de 2005 en la Junta General de Parquenasa. </w:t>
      </w:r>
    </w:p>
    <w:p w14:paraId="47D29B4C" w14:textId="77777777" w:rsidR="00FA7622" w:rsidRPr="00C372CC" w:rsidRDefault="00FA7622" w:rsidP="00FA7622">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C372CC">
        <w:rPr>
          <w:rFonts w:cs="Arial"/>
        </w:rPr>
        <w:t xml:space="preserve">El nombramiento de Sodena como administrador único se fue renovando, por iguales periodos de cinco años, mediante acuerdos adoptados por la Junta General de Parquenasa en sus sesiones celebradas el 21 de junio de 2010, el 30 de junio de 2015 y el 26 de mayo de 2020, hasta su renuncia al </w:t>
      </w:r>
      <w:r w:rsidR="00AC4C57" w:rsidRPr="00C372CC">
        <w:rPr>
          <w:rFonts w:cs="Arial"/>
        </w:rPr>
        <w:t>citado nombramiento</w:t>
      </w:r>
      <w:r w:rsidRPr="00C372CC">
        <w:rPr>
          <w:rFonts w:cs="Arial"/>
        </w:rPr>
        <w:t xml:space="preserve">, formalizada con fecha 2 de febrero de 2023 </w:t>
      </w:r>
      <w:r w:rsidR="00C372CC" w:rsidRPr="00C372CC">
        <w:rPr>
          <w:rFonts w:cs="Arial"/>
        </w:rPr>
        <w:t xml:space="preserve">tras </w:t>
      </w:r>
      <w:r w:rsidRPr="00C372CC">
        <w:rPr>
          <w:rFonts w:cs="Arial"/>
        </w:rPr>
        <w:t xml:space="preserve">la compraventa de las acciones </w:t>
      </w:r>
      <w:r w:rsidR="0050163F">
        <w:rPr>
          <w:rFonts w:cs="Arial"/>
        </w:rPr>
        <w:t>por</w:t>
      </w:r>
      <w:r w:rsidRPr="00C372CC">
        <w:rPr>
          <w:rFonts w:cs="Arial"/>
        </w:rPr>
        <w:t xml:space="preserve"> Nicdo. </w:t>
      </w:r>
    </w:p>
    <w:p w14:paraId="759CA0C0" w14:textId="77777777" w:rsidR="00FA7622" w:rsidRPr="00C372CC" w:rsidRDefault="00FA7622" w:rsidP="00FA7622">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C372CC">
        <w:rPr>
          <w:rFonts w:cs="Arial"/>
        </w:rPr>
        <w:t>Tras la venta de las acciones participaciones a Nicdo, formalizada el 26 de enero de 2023, la Junta General de Parquenasa, en su sesión de fecha 2 de febrero de 2023, aceptó la renuncia presentada por Sodena y nombró a Nicdo para desempeñar el cargo de administrador únic</w:t>
      </w:r>
      <w:r w:rsidR="00AC4C57" w:rsidRPr="00C372CC">
        <w:rPr>
          <w:rFonts w:cs="Arial"/>
        </w:rPr>
        <w:t>o</w:t>
      </w:r>
      <w:r w:rsidRPr="00C372CC">
        <w:rPr>
          <w:rFonts w:cs="Arial"/>
        </w:rPr>
        <w:t xml:space="preserve">, por el plazo estatutario de 5 años. Dicho cargo se mantiene vigente a día de hoy. </w:t>
      </w:r>
    </w:p>
    <w:p w14:paraId="14CFE668" w14:textId="77777777" w:rsidR="00F87E58" w:rsidRDefault="00F87E58" w:rsidP="00F87E58">
      <w:pPr>
        <w:pStyle w:val="atitulo3"/>
        <w:spacing w:before="240"/>
      </w:pPr>
      <w:r>
        <w:t>Transmisión de acciones a N</w:t>
      </w:r>
      <w:r w:rsidR="009303E1">
        <w:t>icdo</w:t>
      </w:r>
    </w:p>
    <w:p w14:paraId="06C6D29E" w14:textId="77777777" w:rsidR="00F87E58" w:rsidRDefault="00F87E58" w:rsidP="00F87E58">
      <w:pPr>
        <w:pStyle w:val="texto"/>
      </w:pPr>
      <w:r>
        <w:t xml:space="preserve">En relación a esta operación, debe señalarse lo siguiente: </w:t>
      </w:r>
    </w:p>
    <w:p w14:paraId="148A98AB"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E15718">
        <w:rPr>
          <w:rFonts w:cs="Arial"/>
        </w:rPr>
        <w:t xml:space="preserve">A finales de 2014 </w:t>
      </w:r>
      <w:r>
        <w:rPr>
          <w:rFonts w:cs="Arial"/>
        </w:rPr>
        <w:t xml:space="preserve">el Consejo de Administración de Sodena </w:t>
      </w:r>
      <w:r w:rsidRPr="00E15718">
        <w:rPr>
          <w:rFonts w:cs="Arial"/>
        </w:rPr>
        <w:t>planteó la posible venta de Parquenasa a un tercero, manteniéndose re</w:t>
      </w:r>
      <w:r w:rsidRPr="008833E9">
        <w:t xml:space="preserve">uniones con agentes del sector, con el objetivo de </w:t>
      </w:r>
      <w:r w:rsidR="00232D34">
        <w:t>vender el parque o externalizar su gestión.</w:t>
      </w:r>
      <w:r w:rsidRPr="008833E9">
        <w:t xml:space="preserve"> Las conclu</w:t>
      </w:r>
      <w:r>
        <w:t>siones obtenidas fueron que el p</w:t>
      </w:r>
      <w:r w:rsidRPr="008833E9">
        <w:t>arque todavía no e</w:t>
      </w:r>
      <w:r>
        <w:t xml:space="preserve">ra </w:t>
      </w:r>
      <w:r w:rsidRPr="008833E9">
        <w:t>suficientemente atractivo ante terceros y que ha</w:t>
      </w:r>
      <w:r>
        <w:t xml:space="preserve">bía </w:t>
      </w:r>
      <w:r w:rsidRPr="008833E9">
        <w:t>que seguir trabajando en una tendencia de EBITDA</w:t>
      </w:r>
      <w:r>
        <w:rPr>
          <w:rStyle w:val="Refdenotaalpie"/>
          <w:rFonts w:eastAsia="Calibri"/>
        </w:rPr>
        <w:footnoteReference w:id="4"/>
      </w:r>
      <w:r>
        <w:t xml:space="preserve"> </w:t>
      </w:r>
      <w:r w:rsidRPr="008833E9">
        <w:t xml:space="preserve">cero o positivo. </w:t>
      </w:r>
    </w:p>
    <w:p w14:paraId="240FA47A" w14:textId="77777777" w:rsidR="00F87E58" w:rsidRDefault="00F87E58" w:rsidP="00F87E58">
      <w:pPr>
        <w:pStyle w:val="texto"/>
      </w:pPr>
      <w:r w:rsidRPr="00E15718">
        <w:t xml:space="preserve">Se realizaron análisis comparativos con otras operaciones de compraventa de parques en </w:t>
      </w:r>
      <w:r>
        <w:t xml:space="preserve">otras comunidades autónomas </w:t>
      </w:r>
      <w:r w:rsidRPr="00E15718">
        <w:t xml:space="preserve">en la última década, poniéndose de manifiesto que además de la necesidad de tendencia de EBITDA positivo </w:t>
      </w:r>
      <w:r>
        <w:t>“</w:t>
      </w:r>
      <w:r w:rsidRPr="00E15718">
        <w:t>Senda Viva</w:t>
      </w:r>
      <w:r>
        <w:t>”</w:t>
      </w:r>
      <w:r w:rsidRPr="00E15718">
        <w:t xml:space="preserve"> adolecía de falta de inversión inmobiliaria aneja (infraestructuras hoteleras) que hiciera atractiva su compra. </w:t>
      </w:r>
    </w:p>
    <w:p w14:paraId="07259352" w14:textId="77777777" w:rsidR="00F87E58" w:rsidRPr="00E15718" w:rsidRDefault="00F87E58" w:rsidP="00F87E58">
      <w:pPr>
        <w:pStyle w:val="texto"/>
      </w:pPr>
      <w:r>
        <w:t>En el supuesto de venta, en todo caso, s</w:t>
      </w:r>
      <w:r w:rsidRPr="00E15718">
        <w:t>e estimaba</w:t>
      </w:r>
      <w:r>
        <w:t xml:space="preserve">, en esos momentos, </w:t>
      </w:r>
      <w:r w:rsidRPr="00E15718">
        <w:t xml:space="preserve">una recuperación del 15 por ciento del coste de la inversión. Ante esta situación y las pocas expectativas de venta en el mercado, se valoró la transmisión a la sociedad pública </w:t>
      </w:r>
      <w:r>
        <w:t>Nicdo</w:t>
      </w:r>
      <w:r w:rsidRPr="00E15718">
        <w:t>.</w:t>
      </w:r>
    </w:p>
    <w:p w14:paraId="479170B4" w14:textId="77777777" w:rsidR="00F87E58" w:rsidRPr="005579B3"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5579B3">
        <w:rPr>
          <w:rFonts w:cs="Arial"/>
        </w:rPr>
        <w:t xml:space="preserve">No obstante, esta decisión </w:t>
      </w:r>
      <w:r>
        <w:rPr>
          <w:rFonts w:cs="Arial"/>
        </w:rPr>
        <w:t xml:space="preserve">no </w:t>
      </w:r>
      <w:r w:rsidRPr="005579B3">
        <w:rPr>
          <w:rFonts w:cs="Arial"/>
        </w:rPr>
        <w:t xml:space="preserve">se </w:t>
      </w:r>
      <w:r>
        <w:rPr>
          <w:rFonts w:cs="Arial"/>
        </w:rPr>
        <w:t>materializó</w:t>
      </w:r>
      <w:r w:rsidRPr="005579B3">
        <w:rPr>
          <w:rFonts w:cs="Arial"/>
        </w:rPr>
        <w:t xml:space="preserve"> </w:t>
      </w:r>
      <w:r>
        <w:rPr>
          <w:rFonts w:cs="Arial"/>
        </w:rPr>
        <w:t xml:space="preserve">hasta </w:t>
      </w:r>
      <w:r w:rsidRPr="005579B3">
        <w:rPr>
          <w:rFonts w:cs="Arial"/>
        </w:rPr>
        <w:t>el 28 de octubre de 2022, cuando el Consejo de Administración de Sodena autoriz</w:t>
      </w:r>
      <w:r>
        <w:rPr>
          <w:rFonts w:cs="Arial"/>
        </w:rPr>
        <w:t>ó</w:t>
      </w:r>
      <w:r w:rsidRPr="005579B3">
        <w:rPr>
          <w:rFonts w:cs="Arial"/>
        </w:rPr>
        <w:t xml:space="preserve"> la transferencia de las acciones de Parquenasa titularidad de Sodena a </w:t>
      </w:r>
      <w:r w:rsidR="00FA7622">
        <w:rPr>
          <w:rFonts w:cs="Arial"/>
        </w:rPr>
        <w:t>Nicdo.</w:t>
      </w:r>
    </w:p>
    <w:p w14:paraId="319D80E8"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240"/>
        <w:ind w:left="0" w:firstLine="289"/>
        <w:rPr>
          <w:rFonts w:cs="Arial"/>
        </w:rPr>
      </w:pPr>
      <w:r w:rsidRPr="006F7796">
        <w:rPr>
          <w:rFonts w:cs="Arial"/>
        </w:rPr>
        <w:lastRenderedPageBreak/>
        <w:t>El 26 de enero de 2023 se formalizó ante notario en escritura pública la compra venta de acciones, fijando un precio simbólico de un euro. La composición</w:t>
      </w:r>
      <w:r>
        <w:rPr>
          <w:rFonts w:cs="Arial"/>
        </w:rPr>
        <w:t xml:space="preserve"> societaria de la sociedad, pasó</w:t>
      </w:r>
      <w:r w:rsidRPr="006F7796">
        <w:rPr>
          <w:rFonts w:cs="Arial"/>
        </w:rPr>
        <w:t xml:space="preserve"> a ser la siguiente: </w:t>
      </w:r>
    </w:p>
    <w:tbl>
      <w:tblPr>
        <w:tblW w:w="8505" w:type="dxa"/>
        <w:jc w:val="center"/>
        <w:tblCellMar>
          <w:left w:w="70" w:type="dxa"/>
          <w:right w:w="70" w:type="dxa"/>
        </w:tblCellMar>
        <w:tblLook w:val="04A0" w:firstRow="1" w:lastRow="0" w:firstColumn="1" w:lastColumn="0" w:noHBand="0" w:noVBand="1"/>
      </w:tblPr>
      <w:tblGrid>
        <w:gridCol w:w="5882"/>
        <w:gridCol w:w="2623"/>
      </w:tblGrid>
      <w:tr w:rsidR="00F87E58" w:rsidRPr="00BB5B2C" w14:paraId="642A2D78" w14:textId="77777777" w:rsidTr="008C3C03">
        <w:trPr>
          <w:trHeight w:val="255"/>
          <w:jc w:val="center"/>
        </w:trPr>
        <w:tc>
          <w:tcPr>
            <w:tcW w:w="5882" w:type="dxa"/>
            <w:tcBorders>
              <w:top w:val="single" w:sz="4" w:space="0" w:color="auto"/>
              <w:left w:val="nil"/>
              <w:bottom w:val="single" w:sz="4" w:space="0" w:color="auto"/>
              <w:right w:val="nil"/>
            </w:tcBorders>
            <w:shd w:val="clear" w:color="auto" w:fill="9CC2E5"/>
            <w:noWrap/>
            <w:vAlign w:val="center"/>
            <w:hideMark/>
          </w:tcPr>
          <w:p w14:paraId="0267241E" w14:textId="77777777" w:rsidR="00F87E58" w:rsidRPr="00BB5B2C" w:rsidRDefault="00F87E58" w:rsidP="00F87E58">
            <w:pPr>
              <w:pStyle w:val="cuadroCabe"/>
              <w:jc w:val="left"/>
            </w:pPr>
            <w:r w:rsidRPr="00BB5B2C">
              <w:t xml:space="preserve">Accionistas </w:t>
            </w:r>
            <w:r>
              <w:t>2023</w:t>
            </w:r>
          </w:p>
        </w:tc>
        <w:tc>
          <w:tcPr>
            <w:tcW w:w="2623" w:type="dxa"/>
            <w:tcBorders>
              <w:top w:val="single" w:sz="4" w:space="0" w:color="auto"/>
              <w:left w:val="nil"/>
              <w:bottom w:val="single" w:sz="4" w:space="0" w:color="auto"/>
              <w:right w:val="nil"/>
            </w:tcBorders>
            <w:shd w:val="clear" w:color="auto" w:fill="9CC2E5"/>
            <w:noWrap/>
            <w:vAlign w:val="center"/>
            <w:hideMark/>
          </w:tcPr>
          <w:p w14:paraId="49E15296" w14:textId="77777777" w:rsidR="00F87E58" w:rsidRPr="00BB5B2C" w:rsidRDefault="00F87E58" w:rsidP="00F87E58">
            <w:pPr>
              <w:pStyle w:val="cuadroCabe"/>
              <w:jc w:val="right"/>
            </w:pPr>
            <w:r w:rsidRPr="00BB5B2C">
              <w:t>Porcentaje participación</w:t>
            </w:r>
          </w:p>
        </w:tc>
      </w:tr>
      <w:tr w:rsidR="00C372CC" w:rsidRPr="00C372CC" w14:paraId="076980A8" w14:textId="77777777" w:rsidTr="00F87E58">
        <w:trPr>
          <w:trHeight w:val="151"/>
          <w:jc w:val="center"/>
        </w:trPr>
        <w:tc>
          <w:tcPr>
            <w:tcW w:w="5882" w:type="dxa"/>
            <w:tcBorders>
              <w:top w:val="single" w:sz="4" w:space="0" w:color="auto"/>
              <w:left w:val="nil"/>
              <w:bottom w:val="single" w:sz="2" w:space="0" w:color="auto"/>
              <w:right w:val="nil"/>
            </w:tcBorders>
            <w:shd w:val="clear" w:color="auto" w:fill="auto"/>
            <w:noWrap/>
            <w:vAlign w:val="bottom"/>
            <w:hideMark/>
          </w:tcPr>
          <w:p w14:paraId="411F316E" w14:textId="77777777" w:rsidR="00F87E58" w:rsidRPr="00C372CC" w:rsidRDefault="00F87E58" w:rsidP="00F87E58">
            <w:pPr>
              <w:pStyle w:val="cuatexto"/>
              <w:jc w:val="left"/>
            </w:pPr>
            <w:r w:rsidRPr="00C372CC">
              <w:t>Nicdo</w:t>
            </w:r>
          </w:p>
        </w:tc>
        <w:tc>
          <w:tcPr>
            <w:tcW w:w="2623" w:type="dxa"/>
            <w:tcBorders>
              <w:top w:val="single" w:sz="4" w:space="0" w:color="auto"/>
              <w:left w:val="nil"/>
              <w:bottom w:val="single" w:sz="2" w:space="0" w:color="auto"/>
              <w:right w:val="nil"/>
            </w:tcBorders>
            <w:shd w:val="clear" w:color="auto" w:fill="auto"/>
            <w:noWrap/>
            <w:vAlign w:val="bottom"/>
            <w:hideMark/>
          </w:tcPr>
          <w:p w14:paraId="64B824D2" w14:textId="77777777" w:rsidR="00F87E58" w:rsidRPr="00C372CC" w:rsidRDefault="00F87E58" w:rsidP="00F87E58">
            <w:pPr>
              <w:pStyle w:val="cuatexto"/>
              <w:jc w:val="right"/>
            </w:pPr>
            <w:r w:rsidRPr="00C372CC">
              <w:t>45</w:t>
            </w:r>
          </w:p>
        </w:tc>
      </w:tr>
      <w:tr w:rsidR="00C372CC" w:rsidRPr="00C372CC" w14:paraId="1BBFEA1A" w14:textId="77777777" w:rsidTr="00F87E58">
        <w:trPr>
          <w:trHeight w:val="97"/>
          <w:jc w:val="center"/>
        </w:trPr>
        <w:tc>
          <w:tcPr>
            <w:tcW w:w="5882" w:type="dxa"/>
            <w:tcBorders>
              <w:top w:val="single" w:sz="2" w:space="0" w:color="auto"/>
              <w:left w:val="nil"/>
              <w:bottom w:val="single" w:sz="2" w:space="0" w:color="auto"/>
              <w:right w:val="nil"/>
            </w:tcBorders>
            <w:shd w:val="clear" w:color="auto" w:fill="auto"/>
            <w:noWrap/>
            <w:vAlign w:val="bottom"/>
            <w:hideMark/>
          </w:tcPr>
          <w:p w14:paraId="757963E0" w14:textId="77777777" w:rsidR="00F87E58" w:rsidRPr="00C372CC" w:rsidRDefault="00F87E58" w:rsidP="00F87E58">
            <w:pPr>
              <w:pStyle w:val="cuatexto"/>
              <w:jc w:val="left"/>
            </w:pPr>
            <w:r w:rsidRPr="00C372CC">
              <w:t>Hiscan P</w:t>
            </w:r>
            <w:r w:rsidR="00FA7622" w:rsidRPr="00C372CC">
              <w:t>atrimonio S.A.U.</w:t>
            </w:r>
          </w:p>
        </w:tc>
        <w:tc>
          <w:tcPr>
            <w:tcW w:w="2623" w:type="dxa"/>
            <w:tcBorders>
              <w:top w:val="single" w:sz="2" w:space="0" w:color="auto"/>
              <w:left w:val="nil"/>
              <w:bottom w:val="single" w:sz="2" w:space="0" w:color="auto"/>
              <w:right w:val="nil"/>
            </w:tcBorders>
            <w:shd w:val="clear" w:color="auto" w:fill="auto"/>
            <w:noWrap/>
            <w:vAlign w:val="bottom"/>
            <w:hideMark/>
          </w:tcPr>
          <w:p w14:paraId="4CF98714" w14:textId="77777777" w:rsidR="00F87E58" w:rsidRPr="00C372CC" w:rsidRDefault="00F87E58" w:rsidP="00F87E58">
            <w:pPr>
              <w:pStyle w:val="cuatexto"/>
              <w:jc w:val="right"/>
            </w:pPr>
            <w:r w:rsidRPr="00C372CC">
              <w:t>17,86</w:t>
            </w:r>
          </w:p>
        </w:tc>
      </w:tr>
      <w:tr w:rsidR="00C372CC" w:rsidRPr="00C372CC" w14:paraId="193BD85A" w14:textId="77777777" w:rsidTr="00F87E58">
        <w:trPr>
          <w:trHeight w:val="143"/>
          <w:jc w:val="center"/>
        </w:trPr>
        <w:tc>
          <w:tcPr>
            <w:tcW w:w="5882" w:type="dxa"/>
            <w:tcBorders>
              <w:top w:val="single" w:sz="2" w:space="0" w:color="auto"/>
              <w:left w:val="nil"/>
              <w:bottom w:val="single" w:sz="2" w:space="0" w:color="auto"/>
              <w:right w:val="nil"/>
            </w:tcBorders>
            <w:shd w:val="clear" w:color="auto" w:fill="auto"/>
            <w:noWrap/>
            <w:vAlign w:val="bottom"/>
            <w:hideMark/>
          </w:tcPr>
          <w:p w14:paraId="2C84A723" w14:textId="77777777" w:rsidR="00F87E58" w:rsidRPr="00C372CC" w:rsidRDefault="00F87E58" w:rsidP="00F87E58">
            <w:pPr>
              <w:pStyle w:val="cuatexto"/>
              <w:jc w:val="left"/>
            </w:pPr>
            <w:r w:rsidRPr="00C372CC">
              <w:t>Pronaocio S.L.U.</w:t>
            </w:r>
          </w:p>
        </w:tc>
        <w:tc>
          <w:tcPr>
            <w:tcW w:w="2623" w:type="dxa"/>
            <w:tcBorders>
              <w:top w:val="single" w:sz="2" w:space="0" w:color="auto"/>
              <w:left w:val="nil"/>
              <w:bottom w:val="single" w:sz="2" w:space="0" w:color="auto"/>
              <w:right w:val="nil"/>
            </w:tcBorders>
            <w:shd w:val="clear" w:color="auto" w:fill="auto"/>
            <w:noWrap/>
            <w:vAlign w:val="bottom"/>
            <w:hideMark/>
          </w:tcPr>
          <w:p w14:paraId="780CAC53" w14:textId="77777777" w:rsidR="00F87E58" w:rsidRPr="00C372CC" w:rsidRDefault="00F87E58" w:rsidP="00F87E58">
            <w:pPr>
              <w:pStyle w:val="cuatexto"/>
              <w:jc w:val="right"/>
            </w:pPr>
            <w:r w:rsidRPr="00C372CC">
              <w:t>11,43</w:t>
            </w:r>
          </w:p>
        </w:tc>
      </w:tr>
      <w:tr w:rsidR="00C372CC" w:rsidRPr="00C372CC" w14:paraId="47694B3D" w14:textId="77777777" w:rsidTr="00F87E58">
        <w:trPr>
          <w:trHeight w:val="89"/>
          <w:jc w:val="center"/>
        </w:trPr>
        <w:tc>
          <w:tcPr>
            <w:tcW w:w="5882" w:type="dxa"/>
            <w:tcBorders>
              <w:top w:val="single" w:sz="2" w:space="0" w:color="auto"/>
              <w:left w:val="nil"/>
              <w:bottom w:val="single" w:sz="4" w:space="0" w:color="auto"/>
              <w:right w:val="nil"/>
            </w:tcBorders>
            <w:shd w:val="clear" w:color="auto" w:fill="auto"/>
            <w:noWrap/>
            <w:vAlign w:val="bottom"/>
            <w:hideMark/>
          </w:tcPr>
          <w:p w14:paraId="27E7B343" w14:textId="77777777" w:rsidR="00F87E58" w:rsidRPr="00C372CC" w:rsidRDefault="00FA7622" w:rsidP="00F87E58">
            <w:pPr>
              <w:pStyle w:val="cuatexto"/>
              <w:jc w:val="left"/>
            </w:pPr>
            <w:r w:rsidRPr="00C372CC">
              <w:t>La Información S.A,</w:t>
            </w:r>
          </w:p>
        </w:tc>
        <w:tc>
          <w:tcPr>
            <w:tcW w:w="2623" w:type="dxa"/>
            <w:tcBorders>
              <w:top w:val="single" w:sz="2" w:space="0" w:color="auto"/>
              <w:left w:val="nil"/>
              <w:bottom w:val="single" w:sz="4" w:space="0" w:color="auto"/>
              <w:right w:val="nil"/>
            </w:tcBorders>
            <w:shd w:val="clear" w:color="auto" w:fill="auto"/>
            <w:noWrap/>
            <w:vAlign w:val="bottom"/>
            <w:hideMark/>
          </w:tcPr>
          <w:p w14:paraId="7ED4DE83" w14:textId="77777777" w:rsidR="00F87E58" w:rsidRPr="00C372CC" w:rsidRDefault="00F87E58" w:rsidP="00F87E58">
            <w:pPr>
              <w:pStyle w:val="cuatexto"/>
              <w:jc w:val="right"/>
            </w:pPr>
            <w:r w:rsidRPr="00C372CC">
              <w:t>25,71</w:t>
            </w:r>
          </w:p>
        </w:tc>
      </w:tr>
      <w:tr w:rsidR="00F87E58" w:rsidRPr="00BB5B2C" w14:paraId="31A00DC9" w14:textId="77777777" w:rsidTr="008C3C03">
        <w:trPr>
          <w:trHeight w:val="255"/>
          <w:jc w:val="center"/>
        </w:trPr>
        <w:tc>
          <w:tcPr>
            <w:tcW w:w="5882" w:type="dxa"/>
            <w:tcBorders>
              <w:top w:val="single" w:sz="4" w:space="0" w:color="auto"/>
              <w:left w:val="nil"/>
              <w:bottom w:val="single" w:sz="4" w:space="0" w:color="auto"/>
              <w:right w:val="nil"/>
            </w:tcBorders>
            <w:shd w:val="clear" w:color="auto" w:fill="9CC2E5"/>
            <w:noWrap/>
            <w:vAlign w:val="center"/>
            <w:hideMark/>
          </w:tcPr>
          <w:p w14:paraId="2D78428C" w14:textId="77777777" w:rsidR="00F87E58" w:rsidRPr="00BB5B2C" w:rsidRDefault="00F87E58" w:rsidP="00F87E58">
            <w:pPr>
              <w:pStyle w:val="cuadroCabe"/>
              <w:jc w:val="left"/>
            </w:pPr>
            <w:r w:rsidRPr="00BB5B2C">
              <w:t>Total</w:t>
            </w:r>
          </w:p>
        </w:tc>
        <w:tc>
          <w:tcPr>
            <w:tcW w:w="2623" w:type="dxa"/>
            <w:tcBorders>
              <w:top w:val="single" w:sz="4" w:space="0" w:color="auto"/>
              <w:left w:val="nil"/>
              <w:bottom w:val="single" w:sz="4" w:space="0" w:color="auto"/>
              <w:right w:val="nil"/>
            </w:tcBorders>
            <w:shd w:val="clear" w:color="auto" w:fill="9CC2E5"/>
            <w:noWrap/>
            <w:vAlign w:val="center"/>
            <w:hideMark/>
          </w:tcPr>
          <w:p w14:paraId="799DB119" w14:textId="77777777" w:rsidR="00F87E58" w:rsidRPr="00BB5B2C" w:rsidRDefault="00F87E58" w:rsidP="00F87E58">
            <w:pPr>
              <w:pStyle w:val="cuadroCabe"/>
              <w:jc w:val="right"/>
            </w:pPr>
            <w:r w:rsidRPr="00BB5B2C">
              <w:t>100</w:t>
            </w:r>
          </w:p>
        </w:tc>
      </w:tr>
    </w:tbl>
    <w:p w14:paraId="643D9BAE"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rFonts w:cs="Arial"/>
        </w:rPr>
      </w:pPr>
    </w:p>
    <w:p w14:paraId="2A8A3CE0" w14:textId="77777777" w:rsidR="00F87E58" w:rsidRPr="005579B3"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rFonts w:cs="Arial"/>
        </w:rPr>
      </w:pPr>
      <w:r>
        <w:rPr>
          <w:rFonts w:cs="Arial"/>
        </w:rPr>
        <w:t>Esta operación modifica el escenario societario, siendo ahora Nicdo el socio público de Parquenasa, y perdiendo Sodena esta condición</w:t>
      </w:r>
      <w:r w:rsidR="006A2ACC">
        <w:rPr>
          <w:rFonts w:cs="Arial"/>
        </w:rPr>
        <w:t>. Mantiene únicamente</w:t>
      </w:r>
      <w:r>
        <w:rPr>
          <w:rFonts w:cs="Arial"/>
        </w:rPr>
        <w:t xml:space="preserve"> su condición de prestamista de la sociedad. Los préstamos concedidos siguen figurando en Sodena.</w:t>
      </w:r>
    </w:p>
    <w:p w14:paraId="144E2EFA"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sidRPr="005579B3">
        <w:rPr>
          <w:rFonts w:cs="Arial"/>
        </w:rPr>
        <w:t>El 2 de feb</w:t>
      </w:r>
      <w:r>
        <w:rPr>
          <w:rFonts w:cs="Arial"/>
        </w:rPr>
        <w:t>rero de 2023</w:t>
      </w:r>
      <w:r w:rsidR="006A2ACC">
        <w:rPr>
          <w:rFonts w:cs="Arial"/>
        </w:rPr>
        <w:t>,</w:t>
      </w:r>
      <w:r w:rsidRPr="005579B3">
        <w:rPr>
          <w:rFonts w:cs="Arial"/>
        </w:rPr>
        <w:t xml:space="preserve"> </w:t>
      </w:r>
      <w:r>
        <w:rPr>
          <w:rFonts w:cs="Arial"/>
        </w:rPr>
        <w:t xml:space="preserve">la </w:t>
      </w:r>
      <w:r w:rsidRPr="005579B3">
        <w:rPr>
          <w:rFonts w:cs="Arial"/>
        </w:rPr>
        <w:t>Junta General extraordinaria y universal de accionistas de la sociedad Parquenasa</w:t>
      </w:r>
      <w:r w:rsidR="006A2ACC">
        <w:rPr>
          <w:rFonts w:cs="Arial"/>
        </w:rPr>
        <w:t xml:space="preserve"> aprobó,</w:t>
      </w:r>
      <w:r w:rsidRPr="005579B3">
        <w:rPr>
          <w:rFonts w:cs="Arial"/>
        </w:rPr>
        <w:t xml:space="preserve"> la renuncia de Sodena, y</w:t>
      </w:r>
      <w:r w:rsidR="006A2ACC">
        <w:rPr>
          <w:rFonts w:cs="Arial"/>
        </w:rPr>
        <w:t xml:space="preserve"> el</w:t>
      </w:r>
      <w:r w:rsidRPr="005579B3">
        <w:rPr>
          <w:rFonts w:cs="Arial"/>
        </w:rPr>
        <w:t xml:space="preserve"> nombramiento de </w:t>
      </w:r>
      <w:r>
        <w:rPr>
          <w:rFonts w:cs="Arial"/>
        </w:rPr>
        <w:t>Nicdo como nuevo administrador ú</w:t>
      </w:r>
      <w:r w:rsidRPr="005579B3">
        <w:rPr>
          <w:rFonts w:cs="Arial"/>
        </w:rPr>
        <w:t>nico.</w:t>
      </w:r>
    </w:p>
    <w:p w14:paraId="166CD8E2" w14:textId="77777777" w:rsidR="00F87E58" w:rsidRPr="005579B3"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rFonts w:cs="Arial"/>
        </w:rPr>
      </w:pPr>
      <w:r>
        <w:rPr>
          <w:rFonts w:cs="Arial"/>
        </w:rPr>
        <w:t>En 2023 se ha c</w:t>
      </w:r>
      <w:r w:rsidRPr="005579B3">
        <w:rPr>
          <w:rFonts w:cs="Arial"/>
        </w:rPr>
        <w:t>ambia</w:t>
      </w:r>
      <w:r>
        <w:rPr>
          <w:rFonts w:cs="Arial"/>
        </w:rPr>
        <w:t>do</w:t>
      </w:r>
      <w:r w:rsidRPr="005579B3">
        <w:rPr>
          <w:rFonts w:cs="Arial"/>
        </w:rPr>
        <w:t xml:space="preserve"> el modelo de financiación</w:t>
      </w:r>
      <w:r>
        <w:rPr>
          <w:rFonts w:cs="Arial"/>
        </w:rPr>
        <w:t xml:space="preserve"> pública</w:t>
      </w:r>
      <w:r w:rsidRPr="005579B3">
        <w:rPr>
          <w:rFonts w:cs="Arial"/>
        </w:rPr>
        <w:t xml:space="preserve">, pasando de </w:t>
      </w:r>
      <w:r>
        <w:rPr>
          <w:rFonts w:cs="Arial"/>
        </w:rPr>
        <w:t xml:space="preserve">prestar apoyo financiero mediante concesión de préstamos, </w:t>
      </w:r>
      <w:r w:rsidRPr="005579B3">
        <w:rPr>
          <w:rFonts w:cs="Arial"/>
        </w:rPr>
        <w:t xml:space="preserve">a </w:t>
      </w:r>
      <w:r>
        <w:rPr>
          <w:rFonts w:cs="Arial"/>
        </w:rPr>
        <w:t xml:space="preserve">financiar la sociedad </w:t>
      </w:r>
      <w:r w:rsidRPr="005579B3">
        <w:rPr>
          <w:rFonts w:cs="Arial"/>
        </w:rPr>
        <w:t xml:space="preserve">a través de </w:t>
      </w:r>
      <w:r>
        <w:rPr>
          <w:rFonts w:cs="Arial"/>
        </w:rPr>
        <w:t xml:space="preserve">la figura de </w:t>
      </w:r>
      <w:r w:rsidRPr="005579B3">
        <w:rPr>
          <w:rFonts w:cs="Arial"/>
        </w:rPr>
        <w:t xml:space="preserve">subvenciones </w:t>
      </w:r>
      <w:r>
        <w:rPr>
          <w:rFonts w:cs="Arial"/>
        </w:rPr>
        <w:t xml:space="preserve">a fondo perdido, </w:t>
      </w:r>
      <w:r w:rsidRPr="005579B3">
        <w:rPr>
          <w:rFonts w:cs="Arial"/>
        </w:rPr>
        <w:t>y en régimen de concesión directa</w:t>
      </w:r>
      <w:r w:rsidR="006A2ACC">
        <w:rPr>
          <w:rFonts w:cs="Arial"/>
        </w:rPr>
        <w:t>. A tal efecto, se ha aprobado</w:t>
      </w:r>
      <w:r w:rsidRPr="005579B3">
        <w:rPr>
          <w:rFonts w:cs="Arial"/>
        </w:rPr>
        <w:t xml:space="preserve"> </w:t>
      </w:r>
      <w:r>
        <w:rPr>
          <w:rFonts w:cs="Arial"/>
        </w:rPr>
        <w:t>una partida nominativa en los presupuestos g</w:t>
      </w:r>
      <w:r w:rsidRPr="005579B3">
        <w:rPr>
          <w:rFonts w:cs="Arial"/>
        </w:rPr>
        <w:t>enerales de Navarra, de conformidad con el artículo 17.2.a) de la Ley Foral 11/2005, de 9 de noviembre de subvenciones.</w:t>
      </w:r>
    </w:p>
    <w:p w14:paraId="68C90215" w14:textId="77777777" w:rsidR="00F87E58" w:rsidRDefault="00F87E58" w:rsidP="00F87E58">
      <w:pPr>
        <w:pStyle w:val="texto"/>
      </w:pPr>
      <w:r>
        <w:t xml:space="preserve">Así, en la Ley Foral 35/2022, de 28 de diciembre, de Presupuestos Generales de Navarra para 2023, en su artículo 59, se establece lo siguiente: </w:t>
      </w:r>
    </w:p>
    <w:p w14:paraId="0261D160" w14:textId="77777777" w:rsidR="00F87E58" w:rsidRPr="00C43F77" w:rsidRDefault="00F87E58" w:rsidP="00F87E58">
      <w:pPr>
        <w:pStyle w:val="texto"/>
        <w:rPr>
          <w:i/>
        </w:rPr>
      </w:pPr>
      <w:r w:rsidRPr="00C43F77">
        <w:rPr>
          <w:i/>
        </w:rPr>
        <w:t>La partida A50001-A5400-4709-458300, denominada “Subvención a Parquenasa- Sendaviva”, podrá financiar aquellos gastos de cualquier naturaleza que resulten necesario</w:t>
      </w:r>
      <w:r>
        <w:rPr>
          <w:i/>
        </w:rPr>
        <w:t>s para el desarrollo de la acti</w:t>
      </w:r>
      <w:r w:rsidRPr="00C43F77">
        <w:rPr>
          <w:i/>
        </w:rPr>
        <w:t>vidad del Parque Sendaviva</w:t>
      </w:r>
      <w:r w:rsidR="00434470">
        <w:rPr>
          <w:i/>
        </w:rPr>
        <w:t>.</w:t>
      </w:r>
    </w:p>
    <w:p w14:paraId="7DA9F902" w14:textId="77777777" w:rsidR="00B40CE4" w:rsidRPr="00AA16A6" w:rsidRDefault="00F87E58" w:rsidP="00F87E58">
      <w:pPr>
        <w:pStyle w:val="texto"/>
      </w:pPr>
      <w:r w:rsidRPr="00AA16A6">
        <w:t xml:space="preserve">Se indica que el importe consignado en la citada partida en el </w:t>
      </w:r>
      <w:r w:rsidR="00C372CC" w:rsidRPr="00AA16A6">
        <w:t xml:space="preserve">presupuesto del </w:t>
      </w:r>
      <w:r w:rsidRPr="00AA16A6">
        <w:t xml:space="preserve">Departamento de Cultura y Deporte es de 5,8 millones. </w:t>
      </w:r>
      <w:r w:rsidR="00B40CE4" w:rsidRPr="00AA16A6">
        <w:t>Como hecho posterior a</w:t>
      </w:r>
      <w:r w:rsidRPr="00AA16A6">
        <w:t xml:space="preserve"> la fecha de redacción de este informe, </w:t>
      </w:r>
      <w:r w:rsidR="00C372CC" w:rsidRPr="00AA16A6">
        <w:t xml:space="preserve">por </w:t>
      </w:r>
      <w:r w:rsidR="00B40CE4" w:rsidRPr="00AA16A6">
        <w:t>Resolución 361E/2023, de 18 de agosto, del Director Gerente del Instituto Navarro del Deporte, se autoriz</w:t>
      </w:r>
      <w:r w:rsidR="00C372CC" w:rsidRPr="00AA16A6">
        <w:t>ó</w:t>
      </w:r>
      <w:r w:rsidR="00B40CE4" w:rsidRPr="00AA16A6">
        <w:t xml:space="preserve"> un gast</w:t>
      </w:r>
      <w:r w:rsidR="00C372CC" w:rsidRPr="00AA16A6">
        <w:t>o de 5,8 millones</w:t>
      </w:r>
      <w:r w:rsidR="00112FA0">
        <w:t>. También</w:t>
      </w:r>
      <w:r w:rsidR="00C372CC" w:rsidRPr="00AA16A6">
        <w:t xml:space="preserve"> se aprobaron</w:t>
      </w:r>
      <w:r w:rsidR="00B40CE4" w:rsidRPr="00AA16A6">
        <w:t xml:space="preserve"> las Bases Reguladoras que regirán la concesión de una subvención a Parquenasa para financiar los gastos necesarios de la actividad durante 2023. </w:t>
      </w:r>
    </w:p>
    <w:p w14:paraId="7CC2B737" w14:textId="77777777" w:rsidR="00F87E58" w:rsidRDefault="00F87E58" w:rsidP="00F87E58">
      <w:pPr>
        <w:pStyle w:val="texto"/>
      </w:pPr>
      <w:r>
        <w:t xml:space="preserve">Sobre el cambio de modelo de financiación, destacamos </w:t>
      </w:r>
      <w:r w:rsidRPr="00530B84">
        <w:t xml:space="preserve">que la Intervención General del Gobierno de Navarra, </w:t>
      </w:r>
      <w:r>
        <w:t xml:space="preserve">desde 2020, </w:t>
      </w:r>
      <w:r w:rsidRPr="00530B84">
        <w:t>reiteradamente ha</w:t>
      </w:r>
      <w:r>
        <w:t xml:space="preserve"> venido </w:t>
      </w:r>
      <w:r>
        <w:lastRenderedPageBreak/>
        <w:t xml:space="preserve">mostrando </w:t>
      </w:r>
      <w:r w:rsidRPr="00530B84">
        <w:t xml:space="preserve">su posición de considerar estos préstamos como </w:t>
      </w:r>
      <w:r>
        <w:t>ayuda pú</w:t>
      </w:r>
      <w:r w:rsidRPr="00530B84">
        <w:t>blica</w:t>
      </w:r>
      <w:r>
        <w:t xml:space="preserve"> y la oportunidad de reconvertir la financiación crediticia en subvenciones</w:t>
      </w:r>
      <w:r>
        <w:rPr>
          <w:rStyle w:val="Refdenotaalpie"/>
          <w:rFonts w:eastAsia="Calibri"/>
          <w:color w:val="000000"/>
          <w:szCs w:val="26"/>
        </w:rPr>
        <w:footnoteReference w:id="5"/>
      </w:r>
      <w:bookmarkEnd w:id="22"/>
      <w:r>
        <w:t xml:space="preserve">. </w:t>
      </w:r>
    </w:p>
    <w:p w14:paraId="54FBA2B4" w14:textId="77777777" w:rsidR="00F87E58" w:rsidRPr="00566778" w:rsidRDefault="00F87E58" w:rsidP="00F87E58">
      <w:pPr>
        <w:pStyle w:val="atitulo3"/>
      </w:pPr>
      <w:r>
        <w:t>2.2.2</w:t>
      </w:r>
      <w:r w:rsidRPr="00D5571A">
        <w:t xml:space="preserve"> </w:t>
      </w:r>
      <w:r w:rsidRPr="00566778">
        <w:t>Datos y evolución de la actividad del parque</w:t>
      </w:r>
      <w:r>
        <w:t xml:space="preserve"> “Senda Viva”</w:t>
      </w:r>
      <w:r>
        <w:rPr>
          <w:rStyle w:val="Refdenotaalpie"/>
          <w:rFonts w:eastAsia="Calibri"/>
          <w:color w:val="auto"/>
        </w:rPr>
        <w:footnoteReference w:id="6"/>
      </w:r>
    </w:p>
    <w:p w14:paraId="549DB89E" w14:textId="77777777" w:rsidR="00F87E58" w:rsidRDefault="00F87E58" w:rsidP="00F87E58">
      <w:pPr>
        <w:pStyle w:val="texto"/>
        <w:spacing w:after="240"/>
      </w:pPr>
      <w:r>
        <w:t>En el siguiente cuadro y el posterior gráfico se reflejan la evolución del parque, según datos de actividad y resultados económicos:</w:t>
      </w:r>
    </w:p>
    <w:tbl>
      <w:tblPr>
        <w:tblW w:w="11057" w:type="dxa"/>
        <w:jc w:val="center"/>
        <w:tblLayout w:type="fixed"/>
        <w:tblCellMar>
          <w:left w:w="70" w:type="dxa"/>
          <w:right w:w="70" w:type="dxa"/>
        </w:tblCellMar>
        <w:tblLook w:val="04A0" w:firstRow="1" w:lastRow="0" w:firstColumn="1" w:lastColumn="0" w:noHBand="0" w:noVBand="1"/>
      </w:tblPr>
      <w:tblGrid>
        <w:gridCol w:w="851"/>
        <w:gridCol w:w="512"/>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4"/>
      </w:tblGrid>
      <w:tr w:rsidR="00F87E58" w:rsidRPr="00B86740" w14:paraId="320EA941" w14:textId="77777777" w:rsidTr="00027F0D">
        <w:trPr>
          <w:trHeight w:val="255"/>
          <w:jc w:val="center"/>
        </w:trPr>
        <w:tc>
          <w:tcPr>
            <w:tcW w:w="851" w:type="dxa"/>
            <w:tcBorders>
              <w:top w:val="single" w:sz="4" w:space="0" w:color="auto"/>
              <w:left w:val="nil"/>
              <w:bottom w:val="single" w:sz="4" w:space="0" w:color="auto"/>
              <w:right w:val="nil"/>
            </w:tcBorders>
            <w:shd w:val="clear" w:color="auto" w:fill="8DB3E2" w:themeFill="text2" w:themeFillTint="66"/>
            <w:noWrap/>
            <w:vAlign w:val="center"/>
            <w:hideMark/>
          </w:tcPr>
          <w:p w14:paraId="41C06E73" w14:textId="77777777" w:rsidR="00F87E58" w:rsidRPr="004110E8" w:rsidRDefault="00F87E58" w:rsidP="00027F0D">
            <w:pPr>
              <w:pStyle w:val="cuadroCabe"/>
              <w:spacing w:line="240" w:lineRule="auto"/>
              <w:jc w:val="left"/>
              <w:rPr>
                <w:sz w:val="16"/>
                <w:szCs w:val="16"/>
              </w:rPr>
            </w:pPr>
          </w:p>
        </w:tc>
        <w:tc>
          <w:tcPr>
            <w:tcW w:w="512" w:type="dxa"/>
            <w:tcBorders>
              <w:top w:val="single" w:sz="4" w:space="0" w:color="auto"/>
              <w:left w:val="nil"/>
              <w:bottom w:val="single" w:sz="4" w:space="0" w:color="auto"/>
              <w:right w:val="nil"/>
            </w:tcBorders>
            <w:shd w:val="clear" w:color="auto" w:fill="8DB3E2" w:themeFill="text2" w:themeFillTint="66"/>
            <w:noWrap/>
            <w:vAlign w:val="center"/>
            <w:hideMark/>
          </w:tcPr>
          <w:p w14:paraId="0E59FE95" w14:textId="77777777" w:rsidR="00F87E58" w:rsidRPr="00B86740" w:rsidRDefault="00F87E58" w:rsidP="00027F0D">
            <w:pPr>
              <w:pStyle w:val="cuadroCabe"/>
              <w:spacing w:line="240" w:lineRule="auto"/>
              <w:ind w:left="-73"/>
              <w:jc w:val="right"/>
              <w:rPr>
                <w:sz w:val="12"/>
                <w:szCs w:val="12"/>
              </w:rPr>
            </w:pPr>
            <w:r w:rsidRPr="00B86740">
              <w:rPr>
                <w:sz w:val="12"/>
                <w:szCs w:val="12"/>
              </w:rPr>
              <w:t>2003</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D885493" w14:textId="77777777" w:rsidR="00F87E58" w:rsidRPr="00B86740" w:rsidRDefault="00F87E58" w:rsidP="00027F0D">
            <w:pPr>
              <w:pStyle w:val="cuadroCabe"/>
              <w:spacing w:line="240" w:lineRule="auto"/>
              <w:ind w:left="-68"/>
              <w:jc w:val="right"/>
              <w:rPr>
                <w:sz w:val="12"/>
                <w:szCs w:val="12"/>
              </w:rPr>
            </w:pPr>
            <w:r w:rsidRPr="00B86740">
              <w:rPr>
                <w:sz w:val="12"/>
                <w:szCs w:val="12"/>
              </w:rPr>
              <w:t>2004</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622158F4" w14:textId="77777777" w:rsidR="00F87E58" w:rsidRPr="00B86740" w:rsidRDefault="00F87E58" w:rsidP="00027F0D">
            <w:pPr>
              <w:pStyle w:val="cuadroCabe"/>
              <w:spacing w:line="240" w:lineRule="auto"/>
              <w:ind w:left="-73"/>
              <w:jc w:val="right"/>
              <w:rPr>
                <w:sz w:val="12"/>
                <w:szCs w:val="12"/>
              </w:rPr>
            </w:pPr>
            <w:r w:rsidRPr="00B86740">
              <w:rPr>
                <w:sz w:val="12"/>
                <w:szCs w:val="12"/>
              </w:rPr>
              <w:t>2005</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345E6268" w14:textId="77777777" w:rsidR="00F87E58" w:rsidRPr="00B86740" w:rsidRDefault="00F87E58" w:rsidP="00027F0D">
            <w:pPr>
              <w:pStyle w:val="cuadroCabe"/>
              <w:spacing w:line="240" w:lineRule="auto"/>
              <w:ind w:left="-69"/>
              <w:jc w:val="right"/>
              <w:rPr>
                <w:sz w:val="12"/>
                <w:szCs w:val="12"/>
              </w:rPr>
            </w:pPr>
            <w:r w:rsidRPr="00B86740">
              <w:rPr>
                <w:sz w:val="12"/>
                <w:szCs w:val="12"/>
              </w:rPr>
              <w:t>2006</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3F1FA7D" w14:textId="77777777" w:rsidR="00F87E58" w:rsidRPr="00B86740" w:rsidRDefault="00F87E58" w:rsidP="00027F0D">
            <w:pPr>
              <w:pStyle w:val="cuadroCabe"/>
              <w:spacing w:line="240" w:lineRule="auto"/>
              <w:ind w:left="-66"/>
              <w:jc w:val="right"/>
              <w:rPr>
                <w:sz w:val="12"/>
                <w:szCs w:val="12"/>
              </w:rPr>
            </w:pPr>
            <w:r w:rsidRPr="00B86740">
              <w:rPr>
                <w:sz w:val="12"/>
                <w:szCs w:val="12"/>
              </w:rPr>
              <w:t>2007</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1523448F" w14:textId="77777777" w:rsidR="00F87E58" w:rsidRPr="00B86740" w:rsidRDefault="00F87E58" w:rsidP="00027F0D">
            <w:pPr>
              <w:pStyle w:val="cuadroCabe"/>
              <w:spacing w:line="240" w:lineRule="auto"/>
              <w:ind w:left="-72"/>
              <w:jc w:val="right"/>
              <w:rPr>
                <w:sz w:val="12"/>
                <w:szCs w:val="12"/>
              </w:rPr>
            </w:pPr>
            <w:r w:rsidRPr="00B86740">
              <w:rPr>
                <w:sz w:val="12"/>
                <w:szCs w:val="12"/>
              </w:rPr>
              <w:t>2008</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0509EFCE" w14:textId="77777777" w:rsidR="00F87E58" w:rsidRPr="00B86740" w:rsidRDefault="00F87E58" w:rsidP="00027F0D">
            <w:pPr>
              <w:pStyle w:val="cuadroCabe"/>
              <w:spacing w:line="240" w:lineRule="auto"/>
              <w:ind w:left="-73"/>
              <w:jc w:val="right"/>
              <w:rPr>
                <w:sz w:val="12"/>
                <w:szCs w:val="12"/>
              </w:rPr>
            </w:pPr>
            <w:r w:rsidRPr="00B86740">
              <w:rPr>
                <w:sz w:val="12"/>
                <w:szCs w:val="12"/>
              </w:rPr>
              <w:t>2009</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69415ABF" w14:textId="77777777" w:rsidR="00F87E58" w:rsidRPr="00B86740" w:rsidRDefault="00F87E58" w:rsidP="00027F0D">
            <w:pPr>
              <w:pStyle w:val="cuadroCabe"/>
              <w:spacing w:line="240" w:lineRule="auto"/>
              <w:ind w:left="-70"/>
              <w:jc w:val="right"/>
              <w:rPr>
                <w:sz w:val="12"/>
                <w:szCs w:val="12"/>
              </w:rPr>
            </w:pPr>
            <w:r w:rsidRPr="00B86740">
              <w:rPr>
                <w:sz w:val="12"/>
                <w:szCs w:val="12"/>
              </w:rPr>
              <w:t>2010</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0B4331F9" w14:textId="77777777" w:rsidR="00F87E58" w:rsidRPr="00B86740" w:rsidRDefault="00F87E58" w:rsidP="00027F0D">
            <w:pPr>
              <w:pStyle w:val="cuadroCabe"/>
              <w:spacing w:line="240" w:lineRule="auto"/>
              <w:ind w:left="-70"/>
              <w:jc w:val="right"/>
              <w:rPr>
                <w:sz w:val="12"/>
                <w:szCs w:val="12"/>
              </w:rPr>
            </w:pPr>
            <w:r w:rsidRPr="00B86740">
              <w:rPr>
                <w:sz w:val="12"/>
                <w:szCs w:val="12"/>
              </w:rPr>
              <w:t>2011</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BE0D61B" w14:textId="77777777" w:rsidR="00F87E58" w:rsidRPr="00B86740" w:rsidRDefault="00F87E58" w:rsidP="00027F0D">
            <w:pPr>
              <w:pStyle w:val="cuadroCabe"/>
              <w:spacing w:line="240" w:lineRule="auto"/>
              <w:ind w:left="-74"/>
              <w:jc w:val="right"/>
              <w:rPr>
                <w:sz w:val="12"/>
                <w:szCs w:val="12"/>
              </w:rPr>
            </w:pPr>
            <w:r w:rsidRPr="00B86740">
              <w:rPr>
                <w:sz w:val="12"/>
                <w:szCs w:val="12"/>
              </w:rPr>
              <w:t>2012</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6B828992" w14:textId="77777777" w:rsidR="00F87E58" w:rsidRPr="00B86740" w:rsidRDefault="00F87E58" w:rsidP="00027F0D">
            <w:pPr>
              <w:pStyle w:val="cuadroCabe"/>
              <w:spacing w:line="240" w:lineRule="auto"/>
              <w:ind w:left="-71"/>
              <w:jc w:val="right"/>
              <w:rPr>
                <w:sz w:val="12"/>
                <w:szCs w:val="12"/>
              </w:rPr>
            </w:pPr>
            <w:r w:rsidRPr="00B86740">
              <w:rPr>
                <w:sz w:val="12"/>
                <w:szCs w:val="12"/>
              </w:rPr>
              <w:t>2013</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09E495FC" w14:textId="77777777" w:rsidR="00F87E58" w:rsidRPr="00B86740" w:rsidRDefault="00F87E58" w:rsidP="00027F0D">
            <w:pPr>
              <w:pStyle w:val="cuadroCabe"/>
              <w:spacing w:line="240" w:lineRule="auto"/>
              <w:ind w:left="-68"/>
              <w:jc w:val="right"/>
              <w:rPr>
                <w:sz w:val="12"/>
                <w:szCs w:val="12"/>
              </w:rPr>
            </w:pPr>
            <w:r w:rsidRPr="00B86740">
              <w:rPr>
                <w:sz w:val="12"/>
                <w:szCs w:val="12"/>
              </w:rPr>
              <w:t>2014</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15AA669" w14:textId="77777777" w:rsidR="00F87E58" w:rsidRPr="00B86740" w:rsidRDefault="00F87E58" w:rsidP="00027F0D">
            <w:pPr>
              <w:pStyle w:val="cuadroCabe"/>
              <w:spacing w:line="240" w:lineRule="auto"/>
              <w:ind w:left="-68"/>
              <w:jc w:val="right"/>
              <w:rPr>
                <w:sz w:val="12"/>
                <w:szCs w:val="12"/>
              </w:rPr>
            </w:pPr>
            <w:r w:rsidRPr="00B86740">
              <w:rPr>
                <w:sz w:val="12"/>
                <w:szCs w:val="12"/>
              </w:rPr>
              <w:t>2015</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DAED706" w14:textId="77777777" w:rsidR="00F87E58" w:rsidRPr="00B86740" w:rsidRDefault="00F87E58" w:rsidP="00027F0D">
            <w:pPr>
              <w:pStyle w:val="cuadroCabe"/>
              <w:spacing w:line="240" w:lineRule="auto"/>
              <w:ind w:left="-68"/>
              <w:jc w:val="right"/>
              <w:rPr>
                <w:sz w:val="12"/>
                <w:szCs w:val="12"/>
              </w:rPr>
            </w:pPr>
            <w:r w:rsidRPr="00B86740">
              <w:rPr>
                <w:sz w:val="12"/>
                <w:szCs w:val="12"/>
              </w:rPr>
              <w:t>2016</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277BC298" w14:textId="77777777" w:rsidR="00F87E58" w:rsidRPr="00B86740" w:rsidRDefault="00F87E58" w:rsidP="00027F0D">
            <w:pPr>
              <w:pStyle w:val="cuadroCabe"/>
              <w:spacing w:line="240" w:lineRule="auto"/>
              <w:ind w:left="-68"/>
              <w:jc w:val="right"/>
              <w:rPr>
                <w:sz w:val="12"/>
                <w:szCs w:val="12"/>
              </w:rPr>
            </w:pPr>
            <w:r w:rsidRPr="00B86740">
              <w:rPr>
                <w:sz w:val="12"/>
                <w:szCs w:val="12"/>
              </w:rPr>
              <w:t>2017</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51E50AA6" w14:textId="77777777" w:rsidR="00F87E58" w:rsidRPr="00B86740" w:rsidRDefault="00F87E58" w:rsidP="00027F0D">
            <w:pPr>
              <w:pStyle w:val="cuadroCabe"/>
              <w:spacing w:line="240" w:lineRule="auto"/>
              <w:ind w:left="-68"/>
              <w:jc w:val="right"/>
              <w:rPr>
                <w:sz w:val="12"/>
                <w:szCs w:val="12"/>
              </w:rPr>
            </w:pPr>
            <w:r w:rsidRPr="00B86740">
              <w:rPr>
                <w:sz w:val="12"/>
                <w:szCs w:val="12"/>
              </w:rPr>
              <w:t>2018</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5AD65C71" w14:textId="77777777" w:rsidR="00F87E58" w:rsidRPr="00B86740" w:rsidRDefault="00F87E58" w:rsidP="00027F0D">
            <w:pPr>
              <w:pStyle w:val="cuadroCabe"/>
              <w:spacing w:line="240" w:lineRule="auto"/>
              <w:ind w:left="-68"/>
              <w:jc w:val="right"/>
              <w:rPr>
                <w:sz w:val="12"/>
                <w:szCs w:val="12"/>
              </w:rPr>
            </w:pPr>
            <w:r w:rsidRPr="00B86740">
              <w:rPr>
                <w:sz w:val="12"/>
                <w:szCs w:val="12"/>
              </w:rPr>
              <w:t>2019</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6CA54898" w14:textId="77777777" w:rsidR="00F87E58" w:rsidRPr="00B86740" w:rsidRDefault="00F87E58" w:rsidP="00027F0D">
            <w:pPr>
              <w:pStyle w:val="cuadroCabe"/>
              <w:spacing w:line="240" w:lineRule="auto"/>
              <w:ind w:left="-68"/>
              <w:jc w:val="right"/>
              <w:rPr>
                <w:sz w:val="12"/>
                <w:szCs w:val="12"/>
              </w:rPr>
            </w:pPr>
            <w:r w:rsidRPr="00B86740">
              <w:rPr>
                <w:sz w:val="12"/>
                <w:szCs w:val="12"/>
              </w:rPr>
              <w:t>2020</w:t>
            </w:r>
          </w:p>
        </w:tc>
        <w:tc>
          <w:tcPr>
            <w:tcW w:w="510" w:type="dxa"/>
            <w:tcBorders>
              <w:top w:val="single" w:sz="4" w:space="0" w:color="auto"/>
              <w:left w:val="nil"/>
              <w:bottom w:val="single" w:sz="4" w:space="0" w:color="auto"/>
              <w:right w:val="nil"/>
            </w:tcBorders>
            <w:shd w:val="clear" w:color="auto" w:fill="8DB3E2" w:themeFill="text2" w:themeFillTint="66"/>
            <w:noWrap/>
            <w:vAlign w:val="center"/>
            <w:hideMark/>
          </w:tcPr>
          <w:p w14:paraId="1BDEDE7D" w14:textId="77777777" w:rsidR="00F87E58" w:rsidRPr="00B86740" w:rsidRDefault="00F87E58" w:rsidP="00027F0D">
            <w:pPr>
              <w:pStyle w:val="cuadroCabe"/>
              <w:spacing w:line="240" w:lineRule="auto"/>
              <w:ind w:left="-68"/>
              <w:jc w:val="right"/>
              <w:rPr>
                <w:sz w:val="12"/>
                <w:szCs w:val="12"/>
              </w:rPr>
            </w:pPr>
            <w:r w:rsidRPr="00B86740">
              <w:rPr>
                <w:sz w:val="12"/>
                <w:szCs w:val="12"/>
              </w:rPr>
              <w:t>2021</w:t>
            </w:r>
          </w:p>
        </w:tc>
        <w:tc>
          <w:tcPr>
            <w:tcW w:w="514" w:type="dxa"/>
            <w:tcBorders>
              <w:top w:val="single" w:sz="4" w:space="0" w:color="auto"/>
              <w:left w:val="nil"/>
              <w:bottom w:val="single" w:sz="4" w:space="0" w:color="auto"/>
              <w:right w:val="nil"/>
            </w:tcBorders>
            <w:shd w:val="clear" w:color="auto" w:fill="8DB3E2" w:themeFill="text2" w:themeFillTint="66"/>
            <w:noWrap/>
            <w:vAlign w:val="center"/>
            <w:hideMark/>
          </w:tcPr>
          <w:p w14:paraId="500A3135" w14:textId="77777777" w:rsidR="00F87E58" w:rsidRPr="00B86740" w:rsidRDefault="00F87E58" w:rsidP="00027F0D">
            <w:pPr>
              <w:pStyle w:val="cuadroCabe"/>
              <w:spacing w:line="240" w:lineRule="auto"/>
              <w:ind w:left="-68"/>
              <w:jc w:val="right"/>
              <w:rPr>
                <w:sz w:val="12"/>
                <w:szCs w:val="12"/>
              </w:rPr>
            </w:pPr>
            <w:r w:rsidRPr="00B86740">
              <w:rPr>
                <w:sz w:val="12"/>
                <w:szCs w:val="12"/>
              </w:rPr>
              <w:t>2022</w:t>
            </w:r>
          </w:p>
        </w:tc>
      </w:tr>
      <w:tr w:rsidR="00F87E58" w:rsidRPr="006A60A5" w14:paraId="26D21325" w14:textId="77777777" w:rsidTr="00027F0D">
        <w:trPr>
          <w:trHeight w:val="198"/>
          <w:jc w:val="center"/>
        </w:trPr>
        <w:tc>
          <w:tcPr>
            <w:tcW w:w="851" w:type="dxa"/>
            <w:tcBorders>
              <w:top w:val="single" w:sz="4" w:space="0" w:color="auto"/>
              <w:left w:val="nil"/>
              <w:bottom w:val="single" w:sz="4" w:space="0" w:color="auto"/>
              <w:right w:val="nil"/>
            </w:tcBorders>
            <w:shd w:val="clear" w:color="auto" w:fill="auto"/>
            <w:noWrap/>
            <w:vAlign w:val="center"/>
            <w:hideMark/>
          </w:tcPr>
          <w:p w14:paraId="777FE4C6" w14:textId="77777777" w:rsidR="00F87E58" w:rsidRPr="004110E8" w:rsidRDefault="00F87E58" w:rsidP="00027F0D">
            <w:pPr>
              <w:pStyle w:val="cuatexto"/>
              <w:spacing w:line="240" w:lineRule="auto"/>
              <w:jc w:val="left"/>
              <w:rPr>
                <w:sz w:val="12"/>
                <w:szCs w:val="12"/>
              </w:rPr>
            </w:pPr>
            <w:r w:rsidRPr="004110E8">
              <w:rPr>
                <w:sz w:val="12"/>
                <w:szCs w:val="12"/>
              </w:rPr>
              <w:t>Nº visitantes</w:t>
            </w:r>
          </w:p>
        </w:tc>
        <w:tc>
          <w:tcPr>
            <w:tcW w:w="512" w:type="dxa"/>
            <w:tcBorders>
              <w:top w:val="single" w:sz="4" w:space="0" w:color="auto"/>
              <w:left w:val="nil"/>
              <w:bottom w:val="single" w:sz="4" w:space="0" w:color="auto"/>
              <w:right w:val="nil"/>
            </w:tcBorders>
            <w:shd w:val="clear" w:color="auto" w:fill="auto"/>
            <w:noWrap/>
            <w:vAlign w:val="center"/>
            <w:hideMark/>
          </w:tcPr>
          <w:p w14:paraId="007868AF" w14:textId="77777777" w:rsidR="00F87E58" w:rsidRPr="004110E8" w:rsidRDefault="00F87E58" w:rsidP="00027F0D">
            <w:pPr>
              <w:pStyle w:val="cuatexto"/>
              <w:spacing w:line="240" w:lineRule="auto"/>
              <w:jc w:val="right"/>
              <w:rPr>
                <w:sz w:val="12"/>
                <w:szCs w:val="12"/>
              </w:rPr>
            </w:pPr>
            <w:r w:rsidRPr="004110E8">
              <w:rPr>
                <w:sz w:val="12"/>
                <w:szCs w:val="12"/>
              </w:rPr>
              <w:t>-</w:t>
            </w:r>
          </w:p>
        </w:tc>
        <w:tc>
          <w:tcPr>
            <w:tcW w:w="510" w:type="dxa"/>
            <w:tcBorders>
              <w:top w:val="single" w:sz="4" w:space="0" w:color="auto"/>
              <w:left w:val="nil"/>
              <w:bottom w:val="single" w:sz="4" w:space="0" w:color="auto"/>
              <w:right w:val="nil"/>
            </w:tcBorders>
            <w:shd w:val="clear" w:color="auto" w:fill="auto"/>
            <w:noWrap/>
            <w:vAlign w:val="center"/>
            <w:hideMark/>
          </w:tcPr>
          <w:p w14:paraId="2654B2A7" w14:textId="77777777" w:rsidR="00F87E58" w:rsidRPr="004110E8" w:rsidRDefault="00F87E58" w:rsidP="00027F0D">
            <w:pPr>
              <w:pStyle w:val="cuatexto"/>
              <w:spacing w:line="240" w:lineRule="auto"/>
              <w:ind w:left="-68"/>
              <w:jc w:val="right"/>
              <w:rPr>
                <w:sz w:val="12"/>
                <w:szCs w:val="12"/>
              </w:rPr>
            </w:pPr>
            <w:r w:rsidRPr="004110E8">
              <w:rPr>
                <w:sz w:val="12"/>
                <w:szCs w:val="12"/>
              </w:rPr>
              <w:t>68.086</w:t>
            </w:r>
          </w:p>
        </w:tc>
        <w:tc>
          <w:tcPr>
            <w:tcW w:w="510" w:type="dxa"/>
            <w:tcBorders>
              <w:top w:val="single" w:sz="4" w:space="0" w:color="auto"/>
              <w:left w:val="nil"/>
              <w:bottom w:val="single" w:sz="4" w:space="0" w:color="auto"/>
              <w:right w:val="nil"/>
            </w:tcBorders>
            <w:shd w:val="clear" w:color="auto" w:fill="auto"/>
            <w:noWrap/>
            <w:vAlign w:val="center"/>
            <w:hideMark/>
          </w:tcPr>
          <w:p w14:paraId="1A568989" w14:textId="77777777" w:rsidR="00F87E58" w:rsidRPr="004110E8" w:rsidRDefault="00F87E58" w:rsidP="00027F0D">
            <w:pPr>
              <w:pStyle w:val="cuatexto"/>
              <w:spacing w:line="240" w:lineRule="auto"/>
              <w:ind w:left="-73"/>
              <w:jc w:val="right"/>
              <w:rPr>
                <w:sz w:val="12"/>
                <w:szCs w:val="12"/>
              </w:rPr>
            </w:pPr>
            <w:r w:rsidRPr="004110E8">
              <w:rPr>
                <w:sz w:val="12"/>
                <w:szCs w:val="12"/>
              </w:rPr>
              <w:t>41.600</w:t>
            </w:r>
          </w:p>
        </w:tc>
        <w:tc>
          <w:tcPr>
            <w:tcW w:w="510" w:type="dxa"/>
            <w:tcBorders>
              <w:top w:val="single" w:sz="4" w:space="0" w:color="auto"/>
              <w:left w:val="nil"/>
              <w:bottom w:val="single" w:sz="4" w:space="0" w:color="auto"/>
              <w:right w:val="nil"/>
            </w:tcBorders>
            <w:shd w:val="clear" w:color="auto" w:fill="auto"/>
            <w:noWrap/>
            <w:vAlign w:val="center"/>
            <w:hideMark/>
          </w:tcPr>
          <w:p w14:paraId="04E71C16" w14:textId="77777777" w:rsidR="00F87E58" w:rsidRPr="004110E8" w:rsidRDefault="00F87E58" w:rsidP="00027F0D">
            <w:pPr>
              <w:pStyle w:val="cuatexto"/>
              <w:spacing w:line="240" w:lineRule="auto"/>
              <w:ind w:left="-69"/>
              <w:jc w:val="right"/>
              <w:rPr>
                <w:sz w:val="12"/>
                <w:szCs w:val="12"/>
              </w:rPr>
            </w:pPr>
            <w:r w:rsidRPr="004110E8">
              <w:rPr>
                <w:sz w:val="12"/>
                <w:szCs w:val="12"/>
              </w:rPr>
              <w:t>112.426</w:t>
            </w:r>
          </w:p>
        </w:tc>
        <w:tc>
          <w:tcPr>
            <w:tcW w:w="510" w:type="dxa"/>
            <w:tcBorders>
              <w:top w:val="single" w:sz="4" w:space="0" w:color="auto"/>
              <w:left w:val="nil"/>
              <w:bottom w:val="single" w:sz="4" w:space="0" w:color="auto"/>
              <w:right w:val="nil"/>
            </w:tcBorders>
            <w:shd w:val="clear" w:color="auto" w:fill="auto"/>
            <w:noWrap/>
            <w:vAlign w:val="center"/>
            <w:hideMark/>
          </w:tcPr>
          <w:p w14:paraId="312D2284" w14:textId="77777777" w:rsidR="00F87E58" w:rsidRPr="004110E8" w:rsidRDefault="00F87E58" w:rsidP="00027F0D">
            <w:pPr>
              <w:pStyle w:val="cuatexto"/>
              <w:spacing w:line="240" w:lineRule="auto"/>
              <w:ind w:left="-66"/>
              <w:jc w:val="right"/>
              <w:rPr>
                <w:sz w:val="12"/>
                <w:szCs w:val="12"/>
              </w:rPr>
            </w:pPr>
            <w:r w:rsidRPr="004110E8">
              <w:rPr>
                <w:sz w:val="12"/>
                <w:szCs w:val="12"/>
              </w:rPr>
              <w:t>165.848</w:t>
            </w:r>
          </w:p>
        </w:tc>
        <w:tc>
          <w:tcPr>
            <w:tcW w:w="510" w:type="dxa"/>
            <w:tcBorders>
              <w:top w:val="single" w:sz="4" w:space="0" w:color="auto"/>
              <w:left w:val="nil"/>
              <w:bottom w:val="single" w:sz="4" w:space="0" w:color="auto"/>
              <w:right w:val="nil"/>
            </w:tcBorders>
            <w:shd w:val="clear" w:color="auto" w:fill="auto"/>
            <w:noWrap/>
            <w:vAlign w:val="center"/>
            <w:hideMark/>
          </w:tcPr>
          <w:p w14:paraId="2B91EBB9" w14:textId="77777777" w:rsidR="00F87E58" w:rsidRPr="004110E8" w:rsidRDefault="00F87E58" w:rsidP="00027F0D">
            <w:pPr>
              <w:pStyle w:val="cuatexto"/>
              <w:spacing w:line="240" w:lineRule="auto"/>
              <w:ind w:left="-72"/>
              <w:jc w:val="right"/>
              <w:rPr>
                <w:sz w:val="12"/>
                <w:szCs w:val="12"/>
              </w:rPr>
            </w:pPr>
            <w:r w:rsidRPr="004110E8">
              <w:rPr>
                <w:sz w:val="12"/>
                <w:szCs w:val="12"/>
              </w:rPr>
              <w:t>175.135</w:t>
            </w:r>
          </w:p>
        </w:tc>
        <w:tc>
          <w:tcPr>
            <w:tcW w:w="510" w:type="dxa"/>
            <w:tcBorders>
              <w:top w:val="single" w:sz="4" w:space="0" w:color="auto"/>
              <w:left w:val="nil"/>
              <w:bottom w:val="single" w:sz="4" w:space="0" w:color="auto"/>
              <w:right w:val="nil"/>
            </w:tcBorders>
            <w:shd w:val="clear" w:color="auto" w:fill="auto"/>
            <w:noWrap/>
            <w:vAlign w:val="center"/>
            <w:hideMark/>
          </w:tcPr>
          <w:p w14:paraId="180CD829" w14:textId="77777777" w:rsidR="00F87E58" w:rsidRPr="004110E8" w:rsidRDefault="00F87E58" w:rsidP="00027F0D">
            <w:pPr>
              <w:pStyle w:val="cuatexto"/>
              <w:spacing w:line="240" w:lineRule="auto"/>
              <w:ind w:left="-68"/>
              <w:jc w:val="right"/>
              <w:rPr>
                <w:sz w:val="12"/>
                <w:szCs w:val="12"/>
              </w:rPr>
            </w:pPr>
            <w:r w:rsidRPr="004110E8">
              <w:rPr>
                <w:sz w:val="12"/>
                <w:szCs w:val="12"/>
              </w:rPr>
              <w:t>184.576</w:t>
            </w:r>
          </w:p>
        </w:tc>
        <w:tc>
          <w:tcPr>
            <w:tcW w:w="510" w:type="dxa"/>
            <w:tcBorders>
              <w:top w:val="single" w:sz="4" w:space="0" w:color="auto"/>
              <w:left w:val="nil"/>
              <w:bottom w:val="single" w:sz="4" w:space="0" w:color="auto"/>
              <w:right w:val="nil"/>
            </w:tcBorders>
            <w:shd w:val="clear" w:color="auto" w:fill="auto"/>
            <w:noWrap/>
            <w:vAlign w:val="center"/>
            <w:hideMark/>
          </w:tcPr>
          <w:p w14:paraId="3FCD64B7" w14:textId="77777777" w:rsidR="00F87E58" w:rsidRPr="004110E8" w:rsidRDefault="00F87E58" w:rsidP="00027F0D">
            <w:pPr>
              <w:pStyle w:val="cuatexto"/>
              <w:spacing w:line="240" w:lineRule="auto"/>
              <w:ind w:left="-70"/>
              <w:jc w:val="right"/>
              <w:rPr>
                <w:sz w:val="12"/>
                <w:szCs w:val="12"/>
              </w:rPr>
            </w:pPr>
            <w:r w:rsidRPr="004110E8">
              <w:rPr>
                <w:sz w:val="12"/>
                <w:szCs w:val="12"/>
              </w:rPr>
              <w:t>179.029</w:t>
            </w:r>
          </w:p>
        </w:tc>
        <w:tc>
          <w:tcPr>
            <w:tcW w:w="510" w:type="dxa"/>
            <w:tcBorders>
              <w:top w:val="single" w:sz="4" w:space="0" w:color="auto"/>
              <w:left w:val="nil"/>
              <w:bottom w:val="single" w:sz="4" w:space="0" w:color="auto"/>
              <w:right w:val="nil"/>
            </w:tcBorders>
            <w:shd w:val="clear" w:color="auto" w:fill="auto"/>
            <w:noWrap/>
            <w:vAlign w:val="center"/>
            <w:hideMark/>
          </w:tcPr>
          <w:p w14:paraId="459D8B12" w14:textId="77777777" w:rsidR="00F87E58" w:rsidRPr="004110E8" w:rsidRDefault="00F87E58" w:rsidP="00027F0D">
            <w:pPr>
              <w:pStyle w:val="cuatexto"/>
              <w:spacing w:line="240" w:lineRule="auto"/>
              <w:ind w:left="-70"/>
              <w:jc w:val="right"/>
              <w:rPr>
                <w:sz w:val="12"/>
                <w:szCs w:val="12"/>
              </w:rPr>
            </w:pPr>
            <w:r w:rsidRPr="004110E8">
              <w:rPr>
                <w:sz w:val="12"/>
                <w:szCs w:val="12"/>
              </w:rPr>
              <w:t>194.478</w:t>
            </w:r>
          </w:p>
        </w:tc>
        <w:tc>
          <w:tcPr>
            <w:tcW w:w="510" w:type="dxa"/>
            <w:tcBorders>
              <w:top w:val="single" w:sz="4" w:space="0" w:color="auto"/>
              <w:left w:val="nil"/>
              <w:bottom w:val="single" w:sz="4" w:space="0" w:color="auto"/>
              <w:right w:val="nil"/>
            </w:tcBorders>
            <w:shd w:val="clear" w:color="auto" w:fill="auto"/>
            <w:noWrap/>
            <w:vAlign w:val="center"/>
            <w:hideMark/>
          </w:tcPr>
          <w:p w14:paraId="47ED17BE" w14:textId="77777777" w:rsidR="00F87E58" w:rsidRPr="004110E8" w:rsidRDefault="00F87E58" w:rsidP="00027F0D">
            <w:pPr>
              <w:pStyle w:val="cuatexto"/>
              <w:spacing w:line="240" w:lineRule="auto"/>
              <w:ind w:left="-74"/>
              <w:jc w:val="right"/>
              <w:rPr>
                <w:sz w:val="12"/>
                <w:szCs w:val="12"/>
              </w:rPr>
            </w:pPr>
            <w:r w:rsidRPr="004110E8">
              <w:rPr>
                <w:sz w:val="12"/>
                <w:szCs w:val="12"/>
              </w:rPr>
              <w:t>157.777</w:t>
            </w:r>
          </w:p>
        </w:tc>
        <w:tc>
          <w:tcPr>
            <w:tcW w:w="510" w:type="dxa"/>
            <w:tcBorders>
              <w:top w:val="single" w:sz="4" w:space="0" w:color="auto"/>
              <w:left w:val="nil"/>
              <w:bottom w:val="single" w:sz="4" w:space="0" w:color="auto"/>
              <w:right w:val="nil"/>
            </w:tcBorders>
            <w:shd w:val="clear" w:color="auto" w:fill="auto"/>
            <w:noWrap/>
            <w:vAlign w:val="center"/>
            <w:hideMark/>
          </w:tcPr>
          <w:p w14:paraId="6DB4A492" w14:textId="77777777" w:rsidR="00F87E58" w:rsidRPr="004110E8" w:rsidRDefault="00F87E58" w:rsidP="00027F0D">
            <w:pPr>
              <w:pStyle w:val="cuatexto"/>
              <w:spacing w:line="240" w:lineRule="auto"/>
              <w:ind w:left="-71"/>
              <w:jc w:val="right"/>
              <w:rPr>
                <w:sz w:val="12"/>
                <w:szCs w:val="12"/>
              </w:rPr>
            </w:pPr>
            <w:r w:rsidRPr="004110E8">
              <w:rPr>
                <w:sz w:val="12"/>
                <w:szCs w:val="12"/>
              </w:rPr>
              <w:t>156.040</w:t>
            </w:r>
          </w:p>
        </w:tc>
        <w:tc>
          <w:tcPr>
            <w:tcW w:w="510" w:type="dxa"/>
            <w:tcBorders>
              <w:top w:val="single" w:sz="4" w:space="0" w:color="auto"/>
              <w:left w:val="nil"/>
              <w:bottom w:val="single" w:sz="4" w:space="0" w:color="auto"/>
              <w:right w:val="nil"/>
            </w:tcBorders>
            <w:shd w:val="clear" w:color="auto" w:fill="auto"/>
            <w:noWrap/>
            <w:vAlign w:val="center"/>
            <w:hideMark/>
          </w:tcPr>
          <w:p w14:paraId="461A58FE" w14:textId="77777777" w:rsidR="00F87E58" w:rsidRPr="004110E8" w:rsidRDefault="00F87E58" w:rsidP="00027F0D">
            <w:pPr>
              <w:pStyle w:val="cuatexto"/>
              <w:spacing w:line="240" w:lineRule="auto"/>
              <w:ind w:left="-68"/>
              <w:jc w:val="right"/>
              <w:rPr>
                <w:sz w:val="12"/>
                <w:szCs w:val="12"/>
              </w:rPr>
            </w:pPr>
            <w:r w:rsidRPr="004110E8">
              <w:rPr>
                <w:sz w:val="12"/>
                <w:szCs w:val="12"/>
              </w:rPr>
              <w:t>187.035</w:t>
            </w:r>
          </w:p>
        </w:tc>
        <w:tc>
          <w:tcPr>
            <w:tcW w:w="510" w:type="dxa"/>
            <w:tcBorders>
              <w:top w:val="single" w:sz="4" w:space="0" w:color="auto"/>
              <w:left w:val="nil"/>
              <w:bottom w:val="single" w:sz="4" w:space="0" w:color="auto"/>
              <w:right w:val="nil"/>
            </w:tcBorders>
            <w:shd w:val="clear" w:color="auto" w:fill="auto"/>
            <w:noWrap/>
            <w:vAlign w:val="center"/>
            <w:hideMark/>
          </w:tcPr>
          <w:p w14:paraId="7BD4EE19" w14:textId="77777777" w:rsidR="00F87E58" w:rsidRPr="004110E8" w:rsidRDefault="00F87E58" w:rsidP="00027F0D">
            <w:pPr>
              <w:pStyle w:val="cuatexto"/>
              <w:spacing w:line="240" w:lineRule="auto"/>
              <w:ind w:left="-68"/>
              <w:jc w:val="right"/>
              <w:rPr>
                <w:sz w:val="12"/>
                <w:szCs w:val="12"/>
              </w:rPr>
            </w:pPr>
            <w:r w:rsidRPr="004110E8">
              <w:rPr>
                <w:sz w:val="12"/>
                <w:szCs w:val="12"/>
              </w:rPr>
              <w:t>181.500</w:t>
            </w:r>
          </w:p>
        </w:tc>
        <w:tc>
          <w:tcPr>
            <w:tcW w:w="510" w:type="dxa"/>
            <w:tcBorders>
              <w:top w:val="single" w:sz="4" w:space="0" w:color="auto"/>
              <w:left w:val="nil"/>
              <w:bottom w:val="single" w:sz="4" w:space="0" w:color="auto"/>
              <w:right w:val="nil"/>
            </w:tcBorders>
            <w:shd w:val="clear" w:color="auto" w:fill="auto"/>
            <w:noWrap/>
            <w:vAlign w:val="center"/>
            <w:hideMark/>
          </w:tcPr>
          <w:p w14:paraId="32BF2F84" w14:textId="77777777" w:rsidR="00F87E58" w:rsidRPr="004110E8" w:rsidRDefault="00F87E58" w:rsidP="00027F0D">
            <w:pPr>
              <w:pStyle w:val="cuatexto"/>
              <w:spacing w:line="240" w:lineRule="auto"/>
              <w:ind w:left="-68"/>
              <w:jc w:val="right"/>
              <w:rPr>
                <w:sz w:val="12"/>
                <w:szCs w:val="12"/>
              </w:rPr>
            </w:pPr>
            <w:r w:rsidRPr="004110E8">
              <w:rPr>
                <w:sz w:val="12"/>
                <w:szCs w:val="12"/>
              </w:rPr>
              <w:t>179.235</w:t>
            </w:r>
          </w:p>
        </w:tc>
        <w:tc>
          <w:tcPr>
            <w:tcW w:w="510" w:type="dxa"/>
            <w:tcBorders>
              <w:top w:val="single" w:sz="4" w:space="0" w:color="auto"/>
              <w:left w:val="nil"/>
              <w:bottom w:val="single" w:sz="4" w:space="0" w:color="auto"/>
              <w:right w:val="nil"/>
            </w:tcBorders>
            <w:shd w:val="clear" w:color="auto" w:fill="auto"/>
            <w:noWrap/>
            <w:vAlign w:val="center"/>
            <w:hideMark/>
          </w:tcPr>
          <w:p w14:paraId="6B8EAD4C" w14:textId="77777777" w:rsidR="00F87E58" w:rsidRPr="004110E8" w:rsidRDefault="00F87E58" w:rsidP="00027F0D">
            <w:pPr>
              <w:pStyle w:val="cuatexto"/>
              <w:spacing w:line="240" w:lineRule="auto"/>
              <w:ind w:left="-68"/>
              <w:jc w:val="right"/>
              <w:rPr>
                <w:sz w:val="12"/>
                <w:szCs w:val="12"/>
              </w:rPr>
            </w:pPr>
            <w:r w:rsidRPr="004110E8">
              <w:rPr>
                <w:sz w:val="12"/>
                <w:szCs w:val="12"/>
              </w:rPr>
              <w:t>183.719</w:t>
            </w:r>
          </w:p>
        </w:tc>
        <w:tc>
          <w:tcPr>
            <w:tcW w:w="510" w:type="dxa"/>
            <w:tcBorders>
              <w:top w:val="single" w:sz="4" w:space="0" w:color="auto"/>
              <w:left w:val="nil"/>
              <w:bottom w:val="single" w:sz="4" w:space="0" w:color="auto"/>
              <w:right w:val="nil"/>
            </w:tcBorders>
            <w:shd w:val="clear" w:color="auto" w:fill="auto"/>
            <w:noWrap/>
            <w:vAlign w:val="center"/>
            <w:hideMark/>
          </w:tcPr>
          <w:p w14:paraId="5B9B2E59" w14:textId="77777777" w:rsidR="00F87E58" w:rsidRPr="004110E8" w:rsidRDefault="00F87E58" w:rsidP="00027F0D">
            <w:pPr>
              <w:pStyle w:val="cuatexto"/>
              <w:spacing w:line="240" w:lineRule="auto"/>
              <w:ind w:left="-68"/>
              <w:jc w:val="right"/>
              <w:rPr>
                <w:sz w:val="12"/>
                <w:szCs w:val="12"/>
              </w:rPr>
            </w:pPr>
            <w:r w:rsidRPr="004110E8">
              <w:rPr>
                <w:sz w:val="12"/>
                <w:szCs w:val="12"/>
              </w:rPr>
              <w:t>196.566</w:t>
            </w:r>
          </w:p>
        </w:tc>
        <w:tc>
          <w:tcPr>
            <w:tcW w:w="510" w:type="dxa"/>
            <w:tcBorders>
              <w:top w:val="single" w:sz="4" w:space="0" w:color="auto"/>
              <w:left w:val="nil"/>
              <w:bottom w:val="single" w:sz="4" w:space="0" w:color="auto"/>
              <w:right w:val="nil"/>
            </w:tcBorders>
            <w:shd w:val="clear" w:color="auto" w:fill="auto"/>
            <w:noWrap/>
            <w:vAlign w:val="center"/>
            <w:hideMark/>
          </w:tcPr>
          <w:p w14:paraId="6B4E0257" w14:textId="77777777" w:rsidR="00F87E58" w:rsidRPr="004110E8" w:rsidRDefault="00F87E58" w:rsidP="00027F0D">
            <w:pPr>
              <w:pStyle w:val="cuatexto"/>
              <w:spacing w:line="240" w:lineRule="auto"/>
              <w:ind w:left="-68"/>
              <w:jc w:val="right"/>
              <w:rPr>
                <w:sz w:val="12"/>
                <w:szCs w:val="12"/>
              </w:rPr>
            </w:pPr>
            <w:r w:rsidRPr="004110E8">
              <w:rPr>
                <w:sz w:val="12"/>
                <w:szCs w:val="12"/>
              </w:rPr>
              <w:t>174.008</w:t>
            </w:r>
          </w:p>
        </w:tc>
        <w:tc>
          <w:tcPr>
            <w:tcW w:w="510" w:type="dxa"/>
            <w:tcBorders>
              <w:top w:val="single" w:sz="4" w:space="0" w:color="auto"/>
              <w:left w:val="nil"/>
              <w:bottom w:val="single" w:sz="4" w:space="0" w:color="auto"/>
              <w:right w:val="nil"/>
            </w:tcBorders>
            <w:shd w:val="clear" w:color="auto" w:fill="auto"/>
            <w:noWrap/>
            <w:vAlign w:val="center"/>
            <w:hideMark/>
          </w:tcPr>
          <w:p w14:paraId="2ABCC708" w14:textId="77777777" w:rsidR="00F87E58" w:rsidRPr="004110E8" w:rsidRDefault="00F87E58" w:rsidP="00027F0D">
            <w:pPr>
              <w:pStyle w:val="cuatexto"/>
              <w:spacing w:line="240" w:lineRule="auto"/>
              <w:ind w:left="-68"/>
              <w:jc w:val="right"/>
              <w:rPr>
                <w:sz w:val="12"/>
                <w:szCs w:val="12"/>
              </w:rPr>
            </w:pPr>
            <w:r w:rsidRPr="004110E8">
              <w:rPr>
                <w:sz w:val="12"/>
                <w:szCs w:val="12"/>
              </w:rPr>
              <w:t>66.731</w:t>
            </w:r>
          </w:p>
        </w:tc>
        <w:tc>
          <w:tcPr>
            <w:tcW w:w="510" w:type="dxa"/>
            <w:tcBorders>
              <w:top w:val="single" w:sz="4" w:space="0" w:color="auto"/>
              <w:left w:val="nil"/>
              <w:bottom w:val="single" w:sz="4" w:space="0" w:color="auto"/>
              <w:right w:val="nil"/>
            </w:tcBorders>
            <w:shd w:val="clear" w:color="auto" w:fill="auto"/>
            <w:noWrap/>
            <w:vAlign w:val="center"/>
            <w:hideMark/>
          </w:tcPr>
          <w:p w14:paraId="272C4876" w14:textId="77777777" w:rsidR="00F87E58" w:rsidRPr="004110E8" w:rsidRDefault="00F87E58" w:rsidP="00027F0D">
            <w:pPr>
              <w:pStyle w:val="cuatexto"/>
              <w:spacing w:line="240" w:lineRule="auto"/>
              <w:ind w:left="-68"/>
              <w:jc w:val="right"/>
              <w:rPr>
                <w:sz w:val="12"/>
                <w:szCs w:val="12"/>
              </w:rPr>
            </w:pPr>
            <w:r w:rsidRPr="004110E8">
              <w:rPr>
                <w:sz w:val="12"/>
                <w:szCs w:val="12"/>
              </w:rPr>
              <w:t>194.806</w:t>
            </w:r>
          </w:p>
        </w:tc>
        <w:tc>
          <w:tcPr>
            <w:tcW w:w="514" w:type="dxa"/>
            <w:tcBorders>
              <w:top w:val="single" w:sz="4" w:space="0" w:color="auto"/>
              <w:left w:val="nil"/>
              <w:bottom w:val="single" w:sz="4" w:space="0" w:color="auto"/>
              <w:right w:val="nil"/>
            </w:tcBorders>
            <w:shd w:val="clear" w:color="auto" w:fill="auto"/>
            <w:noWrap/>
            <w:vAlign w:val="center"/>
            <w:hideMark/>
          </w:tcPr>
          <w:p w14:paraId="68E4A670" w14:textId="77777777" w:rsidR="00F87E58" w:rsidRPr="004110E8" w:rsidRDefault="00F87E58" w:rsidP="00027F0D">
            <w:pPr>
              <w:pStyle w:val="cuatexto"/>
              <w:spacing w:line="240" w:lineRule="auto"/>
              <w:ind w:left="-68"/>
              <w:jc w:val="right"/>
              <w:rPr>
                <w:sz w:val="12"/>
                <w:szCs w:val="12"/>
              </w:rPr>
            </w:pPr>
            <w:r w:rsidRPr="004110E8">
              <w:rPr>
                <w:sz w:val="12"/>
                <w:szCs w:val="12"/>
              </w:rPr>
              <w:t>142.022</w:t>
            </w:r>
          </w:p>
        </w:tc>
      </w:tr>
      <w:tr w:rsidR="00F87E58" w:rsidRPr="006A60A5" w14:paraId="7D7D0545" w14:textId="77777777" w:rsidTr="00027F0D">
        <w:trPr>
          <w:trHeight w:val="20"/>
          <w:jc w:val="center"/>
        </w:trPr>
        <w:tc>
          <w:tcPr>
            <w:tcW w:w="851" w:type="dxa"/>
            <w:tcBorders>
              <w:top w:val="nil"/>
              <w:left w:val="nil"/>
              <w:bottom w:val="single" w:sz="4" w:space="0" w:color="auto"/>
              <w:right w:val="nil"/>
            </w:tcBorders>
            <w:shd w:val="clear" w:color="auto" w:fill="auto"/>
            <w:noWrap/>
            <w:vAlign w:val="bottom"/>
            <w:hideMark/>
          </w:tcPr>
          <w:p w14:paraId="643540F7" w14:textId="77777777" w:rsidR="00F87E58" w:rsidRPr="004110E8" w:rsidRDefault="00F87E58" w:rsidP="00027F0D">
            <w:pPr>
              <w:pStyle w:val="cuatexto"/>
              <w:spacing w:line="240" w:lineRule="auto"/>
              <w:jc w:val="left"/>
              <w:rPr>
                <w:sz w:val="12"/>
                <w:szCs w:val="12"/>
              </w:rPr>
            </w:pPr>
            <w:r w:rsidRPr="004110E8">
              <w:rPr>
                <w:sz w:val="12"/>
                <w:szCs w:val="12"/>
              </w:rPr>
              <w:t xml:space="preserve">Resultado* </w:t>
            </w:r>
          </w:p>
          <w:p w14:paraId="6A0A2B5B" w14:textId="77777777" w:rsidR="00F87E58" w:rsidRPr="004110E8" w:rsidRDefault="00F87E58" w:rsidP="00027F0D">
            <w:pPr>
              <w:pStyle w:val="cuatexto"/>
              <w:spacing w:line="240" w:lineRule="auto"/>
              <w:jc w:val="left"/>
              <w:rPr>
                <w:sz w:val="12"/>
                <w:szCs w:val="12"/>
              </w:rPr>
            </w:pPr>
            <w:r w:rsidRPr="004110E8">
              <w:rPr>
                <w:sz w:val="12"/>
                <w:szCs w:val="12"/>
              </w:rPr>
              <w:t>ejercicio</w:t>
            </w:r>
          </w:p>
        </w:tc>
        <w:tc>
          <w:tcPr>
            <w:tcW w:w="512" w:type="dxa"/>
            <w:tcBorders>
              <w:top w:val="nil"/>
              <w:left w:val="nil"/>
              <w:bottom w:val="single" w:sz="4" w:space="0" w:color="auto"/>
              <w:right w:val="nil"/>
            </w:tcBorders>
            <w:shd w:val="clear" w:color="auto" w:fill="auto"/>
            <w:noWrap/>
            <w:vAlign w:val="bottom"/>
            <w:hideMark/>
          </w:tcPr>
          <w:p w14:paraId="232E23EB" w14:textId="77777777" w:rsidR="00F87E58" w:rsidRPr="004110E8" w:rsidRDefault="00F87E58" w:rsidP="00027F0D">
            <w:pPr>
              <w:pStyle w:val="cuatexto"/>
              <w:spacing w:line="240" w:lineRule="auto"/>
              <w:jc w:val="right"/>
              <w:rPr>
                <w:sz w:val="12"/>
                <w:szCs w:val="12"/>
              </w:rPr>
            </w:pPr>
            <w:r w:rsidRPr="004110E8">
              <w:rPr>
                <w:sz w:val="12"/>
                <w:szCs w:val="12"/>
              </w:rPr>
              <w:t>-0,44</w:t>
            </w:r>
          </w:p>
        </w:tc>
        <w:tc>
          <w:tcPr>
            <w:tcW w:w="510" w:type="dxa"/>
            <w:tcBorders>
              <w:top w:val="nil"/>
              <w:left w:val="nil"/>
              <w:bottom w:val="single" w:sz="4" w:space="0" w:color="auto"/>
              <w:right w:val="nil"/>
            </w:tcBorders>
            <w:shd w:val="clear" w:color="auto" w:fill="auto"/>
            <w:noWrap/>
            <w:vAlign w:val="bottom"/>
            <w:hideMark/>
          </w:tcPr>
          <w:p w14:paraId="3C24AA64" w14:textId="77777777" w:rsidR="00F87E58" w:rsidRPr="004110E8" w:rsidRDefault="00F87E58" w:rsidP="00027F0D">
            <w:pPr>
              <w:pStyle w:val="cuatexto"/>
              <w:spacing w:line="240" w:lineRule="auto"/>
              <w:ind w:left="-68"/>
              <w:jc w:val="right"/>
              <w:rPr>
                <w:sz w:val="12"/>
                <w:szCs w:val="12"/>
              </w:rPr>
            </w:pPr>
            <w:r w:rsidRPr="004110E8">
              <w:rPr>
                <w:sz w:val="12"/>
                <w:szCs w:val="12"/>
              </w:rPr>
              <w:t>-2,58</w:t>
            </w:r>
          </w:p>
        </w:tc>
        <w:tc>
          <w:tcPr>
            <w:tcW w:w="510" w:type="dxa"/>
            <w:tcBorders>
              <w:top w:val="nil"/>
              <w:left w:val="nil"/>
              <w:bottom w:val="single" w:sz="4" w:space="0" w:color="auto"/>
              <w:right w:val="nil"/>
            </w:tcBorders>
            <w:shd w:val="clear" w:color="auto" w:fill="auto"/>
            <w:noWrap/>
            <w:vAlign w:val="bottom"/>
            <w:hideMark/>
          </w:tcPr>
          <w:p w14:paraId="65A984C2" w14:textId="77777777" w:rsidR="00F87E58" w:rsidRPr="004110E8" w:rsidRDefault="00F87E58" w:rsidP="00027F0D">
            <w:pPr>
              <w:pStyle w:val="cuatexto"/>
              <w:spacing w:line="240" w:lineRule="auto"/>
              <w:ind w:left="-73"/>
              <w:jc w:val="right"/>
              <w:rPr>
                <w:sz w:val="12"/>
                <w:szCs w:val="12"/>
              </w:rPr>
            </w:pPr>
            <w:r w:rsidRPr="004110E8">
              <w:rPr>
                <w:sz w:val="12"/>
                <w:szCs w:val="12"/>
              </w:rPr>
              <w:t>-4,00</w:t>
            </w:r>
          </w:p>
        </w:tc>
        <w:tc>
          <w:tcPr>
            <w:tcW w:w="510" w:type="dxa"/>
            <w:tcBorders>
              <w:top w:val="nil"/>
              <w:left w:val="nil"/>
              <w:bottom w:val="single" w:sz="4" w:space="0" w:color="auto"/>
              <w:right w:val="nil"/>
            </w:tcBorders>
            <w:shd w:val="clear" w:color="auto" w:fill="auto"/>
            <w:noWrap/>
            <w:vAlign w:val="bottom"/>
            <w:hideMark/>
          </w:tcPr>
          <w:p w14:paraId="3356FCCA" w14:textId="77777777" w:rsidR="00F87E58" w:rsidRPr="004110E8" w:rsidRDefault="00F87E58" w:rsidP="00027F0D">
            <w:pPr>
              <w:pStyle w:val="cuatexto"/>
              <w:spacing w:line="240" w:lineRule="auto"/>
              <w:ind w:left="-69"/>
              <w:jc w:val="right"/>
              <w:rPr>
                <w:sz w:val="12"/>
                <w:szCs w:val="12"/>
              </w:rPr>
            </w:pPr>
            <w:r w:rsidRPr="004110E8">
              <w:rPr>
                <w:sz w:val="12"/>
                <w:szCs w:val="12"/>
              </w:rPr>
              <w:t>-4,46</w:t>
            </w:r>
          </w:p>
        </w:tc>
        <w:tc>
          <w:tcPr>
            <w:tcW w:w="510" w:type="dxa"/>
            <w:tcBorders>
              <w:top w:val="nil"/>
              <w:left w:val="nil"/>
              <w:bottom w:val="single" w:sz="4" w:space="0" w:color="auto"/>
              <w:right w:val="nil"/>
            </w:tcBorders>
            <w:shd w:val="clear" w:color="auto" w:fill="auto"/>
            <w:noWrap/>
            <w:vAlign w:val="bottom"/>
            <w:hideMark/>
          </w:tcPr>
          <w:p w14:paraId="2B2CA3F5" w14:textId="77777777" w:rsidR="00F87E58" w:rsidRPr="004110E8" w:rsidRDefault="00F87E58" w:rsidP="00027F0D">
            <w:pPr>
              <w:pStyle w:val="cuatexto"/>
              <w:spacing w:line="240" w:lineRule="auto"/>
              <w:ind w:left="-66"/>
              <w:jc w:val="right"/>
              <w:rPr>
                <w:sz w:val="12"/>
                <w:szCs w:val="12"/>
              </w:rPr>
            </w:pPr>
            <w:r w:rsidRPr="004110E8">
              <w:rPr>
                <w:sz w:val="12"/>
                <w:szCs w:val="12"/>
              </w:rPr>
              <w:t>-4,38</w:t>
            </w:r>
          </w:p>
        </w:tc>
        <w:tc>
          <w:tcPr>
            <w:tcW w:w="510" w:type="dxa"/>
            <w:tcBorders>
              <w:top w:val="nil"/>
              <w:left w:val="nil"/>
              <w:bottom w:val="single" w:sz="4" w:space="0" w:color="auto"/>
              <w:right w:val="nil"/>
            </w:tcBorders>
            <w:shd w:val="clear" w:color="auto" w:fill="auto"/>
            <w:noWrap/>
            <w:vAlign w:val="bottom"/>
            <w:hideMark/>
          </w:tcPr>
          <w:p w14:paraId="6A9AA7EC" w14:textId="77777777" w:rsidR="00F87E58" w:rsidRPr="004110E8" w:rsidRDefault="00F87E58" w:rsidP="00027F0D">
            <w:pPr>
              <w:pStyle w:val="cuatexto"/>
              <w:spacing w:line="240" w:lineRule="auto"/>
              <w:ind w:left="-72"/>
              <w:jc w:val="right"/>
              <w:rPr>
                <w:sz w:val="12"/>
                <w:szCs w:val="12"/>
              </w:rPr>
            </w:pPr>
            <w:r w:rsidRPr="004110E8">
              <w:rPr>
                <w:sz w:val="12"/>
                <w:szCs w:val="12"/>
              </w:rPr>
              <w:t>-4,17</w:t>
            </w:r>
          </w:p>
        </w:tc>
        <w:tc>
          <w:tcPr>
            <w:tcW w:w="510" w:type="dxa"/>
            <w:tcBorders>
              <w:top w:val="nil"/>
              <w:left w:val="nil"/>
              <w:bottom w:val="single" w:sz="4" w:space="0" w:color="auto"/>
              <w:right w:val="nil"/>
            </w:tcBorders>
            <w:shd w:val="clear" w:color="auto" w:fill="auto"/>
            <w:noWrap/>
            <w:vAlign w:val="bottom"/>
            <w:hideMark/>
          </w:tcPr>
          <w:p w14:paraId="4A28F23C" w14:textId="77777777" w:rsidR="00F87E58" w:rsidRPr="004110E8" w:rsidRDefault="00F87E58" w:rsidP="00027F0D">
            <w:pPr>
              <w:pStyle w:val="cuatexto"/>
              <w:spacing w:line="240" w:lineRule="auto"/>
              <w:ind w:left="-68"/>
              <w:jc w:val="right"/>
              <w:rPr>
                <w:sz w:val="12"/>
                <w:szCs w:val="12"/>
              </w:rPr>
            </w:pPr>
            <w:r w:rsidRPr="004110E8">
              <w:rPr>
                <w:sz w:val="12"/>
                <w:szCs w:val="12"/>
              </w:rPr>
              <w:t>-4,14</w:t>
            </w:r>
          </w:p>
        </w:tc>
        <w:tc>
          <w:tcPr>
            <w:tcW w:w="510" w:type="dxa"/>
            <w:tcBorders>
              <w:top w:val="nil"/>
              <w:left w:val="nil"/>
              <w:bottom w:val="single" w:sz="4" w:space="0" w:color="auto"/>
              <w:right w:val="nil"/>
            </w:tcBorders>
            <w:shd w:val="clear" w:color="auto" w:fill="auto"/>
            <w:noWrap/>
            <w:vAlign w:val="bottom"/>
            <w:hideMark/>
          </w:tcPr>
          <w:p w14:paraId="1FE1B80C" w14:textId="77777777" w:rsidR="00F87E58" w:rsidRPr="004110E8" w:rsidRDefault="00F87E58" w:rsidP="00027F0D">
            <w:pPr>
              <w:pStyle w:val="cuatexto"/>
              <w:spacing w:line="240" w:lineRule="auto"/>
              <w:ind w:left="-70"/>
              <w:jc w:val="right"/>
              <w:rPr>
                <w:sz w:val="12"/>
                <w:szCs w:val="12"/>
              </w:rPr>
            </w:pPr>
            <w:r w:rsidRPr="004110E8">
              <w:rPr>
                <w:sz w:val="12"/>
                <w:szCs w:val="12"/>
              </w:rPr>
              <w:t>-4,30</w:t>
            </w:r>
          </w:p>
        </w:tc>
        <w:tc>
          <w:tcPr>
            <w:tcW w:w="510" w:type="dxa"/>
            <w:tcBorders>
              <w:top w:val="nil"/>
              <w:left w:val="nil"/>
              <w:bottom w:val="single" w:sz="4" w:space="0" w:color="auto"/>
              <w:right w:val="nil"/>
            </w:tcBorders>
            <w:shd w:val="clear" w:color="auto" w:fill="auto"/>
            <w:noWrap/>
            <w:vAlign w:val="bottom"/>
            <w:hideMark/>
          </w:tcPr>
          <w:p w14:paraId="315E6C71" w14:textId="77777777" w:rsidR="00F87E58" w:rsidRPr="004110E8" w:rsidRDefault="00F87E58" w:rsidP="00027F0D">
            <w:pPr>
              <w:pStyle w:val="cuatexto"/>
              <w:spacing w:line="240" w:lineRule="auto"/>
              <w:ind w:left="-70"/>
              <w:jc w:val="right"/>
              <w:rPr>
                <w:sz w:val="12"/>
                <w:szCs w:val="12"/>
              </w:rPr>
            </w:pPr>
            <w:r w:rsidRPr="004110E8">
              <w:rPr>
                <w:sz w:val="12"/>
                <w:szCs w:val="12"/>
              </w:rPr>
              <w:t>-4,04</w:t>
            </w:r>
          </w:p>
        </w:tc>
        <w:tc>
          <w:tcPr>
            <w:tcW w:w="510" w:type="dxa"/>
            <w:tcBorders>
              <w:top w:val="nil"/>
              <w:left w:val="nil"/>
              <w:bottom w:val="single" w:sz="4" w:space="0" w:color="auto"/>
              <w:right w:val="nil"/>
            </w:tcBorders>
            <w:shd w:val="clear" w:color="auto" w:fill="auto"/>
            <w:noWrap/>
            <w:vAlign w:val="bottom"/>
            <w:hideMark/>
          </w:tcPr>
          <w:p w14:paraId="0E72FADA" w14:textId="77777777" w:rsidR="00F87E58" w:rsidRPr="004110E8" w:rsidRDefault="00F87E58" w:rsidP="00027F0D">
            <w:pPr>
              <w:pStyle w:val="cuatexto"/>
              <w:spacing w:line="240" w:lineRule="auto"/>
              <w:ind w:left="-74"/>
              <w:jc w:val="right"/>
              <w:rPr>
                <w:sz w:val="12"/>
                <w:szCs w:val="12"/>
              </w:rPr>
            </w:pPr>
            <w:r w:rsidRPr="004110E8">
              <w:rPr>
                <w:sz w:val="12"/>
                <w:szCs w:val="12"/>
              </w:rPr>
              <w:t>-4,05</w:t>
            </w:r>
          </w:p>
        </w:tc>
        <w:tc>
          <w:tcPr>
            <w:tcW w:w="510" w:type="dxa"/>
            <w:tcBorders>
              <w:top w:val="nil"/>
              <w:left w:val="nil"/>
              <w:bottom w:val="single" w:sz="4" w:space="0" w:color="auto"/>
              <w:right w:val="nil"/>
            </w:tcBorders>
            <w:shd w:val="clear" w:color="auto" w:fill="auto"/>
            <w:noWrap/>
            <w:vAlign w:val="bottom"/>
            <w:hideMark/>
          </w:tcPr>
          <w:p w14:paraId="6C0E41D4" w14:textId="77777777" w:rsidR="00F87E58" w:rsidRPr="004110E8" w:rsidRDefault="00F87E58" w:rsidP="00027F0D">
            <w:pPr>
              <w:pStyle w:val="cuatexto"/>
              <w:spacing w:line="240" w:lineRule="auto"/>
              <w:ind w:left="-71"/>
              <w:jc w:val="right"/>
              <w:rPr>
                <w:sz w:val="12"/>
                <w:szCs w:val="12"/>
              </w:rPr>
            </w:pPr>
            <w:r w:rsidRPr="004110E8">
              <w:rPr>
                <w:sz w:val="12"/>
                <w:szCs w:val="12"/>
              </w:rPr>
              <w:t>-3,80</w:t>
            </w:r>
          </w:p>
        </w:tc>
        <w:tc>
          <w:tcPr>
            <w:tcW w:w="510" w:type="dxa"/>
            <w:tcBorders>
              <w:top w:val="nil"/>
              <w:left w:val="nil"/>
              <w:bottom w:val="single" w:sz="4" w:space="0" w:color="auto"/>
              <w:right w:val="nil"/>
            </w:tcBorders>
            <w:shd w:val="clear" w:color="auto" w:fill="auto"/>
            <w:noWrap/>
            <w:vAlign w:val="bottom"/>
            <w:hideMark/>
          </w:tcPr>
          <w:p w14:paraId="7A004A8A" w14:textId="77777777" w:rsidR="00F87E58" w:rsidRPr="004110E8" w:rsidRDefault="00F87E58" w:rsidP="00027F0D">
            <w:pPr>
              <w:pStyle w:val="cuatexto"/>
              <w:spacing w:line="240" w:lineRule="auto"/>
              <w:ind w:left="-68"/>
              <w:jc w:val="right"/>
              <w:rPr>
                <w:sz w:val="12"/>
                <w:szCs w:val="12"/>
              </w:rPr>
            </w:pPr>
            <w:r w:rsidRPr="004110E8">
              <w:rPr>
                <w:sz w:val="12"/>
                <w:szCs w:val="12"/>
              </w:rPr>
              <w:t>-2,86</w:t>
            </w:r>
          </w:p>
        </w:tc>
        <w:tc>
          <w:tcPr>
            <w:tcW w:w="510" w:type="dxa"/>
            <w:tcBorders>
              <w:top w:val="nil"/>
              <w:left w:val="nil"/>
              <w:bottom w:val="single" w:sz="4" w:space="0" w:color="auto"/>
              <w:right w:val="nil"/>
            </w:tcBorders>
            <w:shd w:val="clear" w:color="auto" w:fill="auto"/>
            <w:noWrap/>
            <w:vAlign w:val="bottom"/>
            <w:hideMark/>
          </w:tcPr>
          <w:p w14:paraId="783878F4" w14:textId="77777777" w:rsidR="00F87E58" w:rsidRPr="004110E8" w:rsidRDefault="00F87E58" w:rsidP="00027F0D">
            <w:pPr>
              <w:pStyle w:val="cuatexto"/>
              <w:spacing w:line="240" w:lineRule="auto"/>
              <w:ind w:left="-68"/>
              <w:jc w:val="right"/>
              <w:rPr>
                <w:sz w:val="12"/>
                <w:szCs w:val="12"/>
              </w:rPr>
            </w:pPr>
            <w:r w:rsidRPr="004110E8">
              <w:rPr>
                <w:sz w:val="12"/>
                <w:szCs w:val="12"/>
              </w:rPr>
              <w:t>-2,93</w:t>
            </w:r>
          </w:p>
        </w:tc>
        <w:tc>
          <w:tcPr>
            <w:tcW w:w="510" w:type="dxa"/>
            <w:tcBorders>
              <w:top w:val="nil"/>
              <w:left w:val="nil"/>
              <w:bottom w:val="single" w:sz="4" w:space="0" w:color="auto"/>
              <w:right w:val="nil"/>
            </w:tcBorders>
            <w:shd w:val="clear" w:color="auto" w:fill="auto"/>
            <w:noWrap/>
            <w:vAlign w:val="bottom"/>
            <w:hideMark/>
          </w:tcPr>
          <w:p w14:paraId="29852D57" w14:textId="77777777" w:rsidR="00F87E58" w:rsidRPr="004110E8" w:rsidRDefault="00F87E58" w:rsidP="00027F0D">
            <w:pPr>
              <w:pStyle w:val="cuatexto"/>
              <w:spacing w:line="240" w:lineRule="auto"/>
              <w:ind w:left="-68"/>
              <w:jc w:val="right"/>
              <w:rPr>
                <w:sz w:val="12"/>
                <w:szCs w:val="12"/>
              </w:rPr>
            </w:pPr>
            <w:r w:rsidRPr="004110E8">
              <w:rPr>
                <w:sz w:val="12"/>
                <w:szCs w:val="12"/>
              </w:rPr>
              <w:t>-2,50</w:t>
            </w:r>
          </w:p>
        </w:tc>
        <w:tc>
          <w:tcPr>
            <w:tcW w:w="510" w:type="dxa"/>
            <w:tcBorders>
              <w:top w:val="nil"/>
              <w:left w:val="nil"/>
              <w:bottom w:val="single" w:sz="4" w:space="0" w:color="auto"/>
              <w:right w:val="nil"/>
            </w:tcBorders>
            <w:shd w:val="clear" w:color="auto" w:fill="auto"/>
            <w:noWrap/>
            <w:vAlign w:val="bottom"/>
            <w:hideMark/>
          </w:tcPr>
          <w:p w14:paraId="75293074" w14:textId="77777777" w:rsidR="00F87E58" w:rsidRPr="004110E8" w:rsidRDefault="00F87E58" w:rsidP="00027F0D">
            <w:pPr>
              <w:pStyle w:val="cuatexto"/>
              <w:spacing w:line="240" w:lineRule="auto"/>
              <w:ind w:left="-68"/>
              <w:jc w:val="right"/>
              <w:rPr>
                <w:sz w:val="12"/>
                <w:szCs w:val="12"/>
              </w:rPr>
            </w:pPr>
            <w:r w:rsidRPr="004110E8">
              <w:rPr>
                <w:sz w:val="12"/>
                <w:szCs w:val="12"/>
              </w:rPr>
              <w:t>-2,54</w:t>
            </w:r>
          </w:p>
        </w:tc>
        <w:tc>
          <w:tcPr>
            <w:tcW w:w="510" w:type="dxa"/>
            <w:tcBorders>
              <w:top w:val="nil"/>
              <w:left w:val="nil"/>
              <w:bottom w:val="single" w:sz="4" w:space="0" w:color="auto"/>
              <w:right w:val="nil"/>
            </w:tcBorders>
            <w:shd w:val="clear" w:color="auto" w:fill="auto"/>
            <w:noWrap/>
            <w:vAlign w:val="bottom"/>
            <w:hideMark/>
          </w:tcPr>
          <w:p w14:paraId="4834C7C7" w14:textId="77777777" w:rsidR="00F87E58" w:rsidRPr="004110E8" w:rsidRDefault="00F87E58" w:rsidP="00027F0D">
            <w:pPr>
              <w:pStyle w:val="cuatexto"/>
              <w:spacing w:line="240" w:lineRule="auto"/>
              <w:ind w:left="-68"/>
              <w:jc w:val="right"/>
              <w:rPr>
                <w:sz w:val="12"/>
                <w:szCs w:val="12"/>
              </w:rPr>
            </w:pPr>
            <w:r w:rsidRPr="004110E8">
              <w:rPr>
                <w:sz w:val="12"/>
                <w:szCs w:val="12"/>
              </w:rPr>
              <w:t>-2,44</w:t>
            </w:r>
          </w:p>
        </w:tc>
        <w:tc>
          <w:tcPr>
            <w:tcW w:w="510" w:type="dxa"/>
            <w:tcBorders>
              <w:top w:val="nil"/>
              <w:left w:val="nil"/>
              <w:bottom w:val="single" w:sz="4" w:space="0" w:color="auto"/>
              <w:right w:val="nil"/>
            </w:tcBorders>
            <w:shd w:val="clear" w:color="auto" w:fill="auto"/>
            <w:noWrap/>
            <w:vAlign w:val="bottom"/>
            <w:hideMark/>
          </w:tcPr>
          <w:p w14:paraId="2BE0FE07" w14:textId="77777777" w:rsidR="00F87E58" w:rsidRPr="004110E8" w:rsidRDefault="00F87E58" w:rsidP="00027F0D">
            <w:pPr>
              <w:pStyle w:val="cuatexto"/>
              <w:spacing w:line="240" w:lineRule="auto"/>
              <w:ind w:left="-68"/>
              <w:jc w:val="right"/>
              <w:rPr>
                <w:sz w:val="12"/>
                <w:szCs w:val="12"/>
              </w:rPr>
            </w:pPr>
            <w:r w:rsidRPr="004110E8">
              <w:rPr>
                <w:sz w:val="12"/>
                <w:szCs w:val="12"/>
              </w:rPr>
              <w:t>-2,69</w:t>
            </w:r>
          </w:p>
        </w:tc>
        <w:tc>
          <w:tcPr>
            <w:tcW w:w="510" w:type="dxa"/>
            <w:tcBorders>
              <w:top w:val="nil"/>
              <w:left w:val="nil"/>
              <w:bottom w:val="single" w:sz="4" w:space="0" w:color="auto"/>
              <w:right w:val="nil"/>
            </w:tcBorders>
            <w:shd w:val="clear" w:color="auto" w:fill="auto"/>
            <w:noWrap/>
            <w:vAlign w:val="bottom"/>
            <w:hideMark/>
          </w:tcPr>
          <w:p w14:paraId="717E191F" w14:textId="77777777" w:rsidR="00F87E58" w:rsidRPr="004110E8" w:rsidRDefault="00F87E58" w:rsidP="00027F0D">
            <w:pPr>
              <w:pStyle w:val="cuatexto"/>
              <w:spacing w:line="240" w:lineRule="auto"/>
              <w:ind w:left="-68"/>
              <w:jc w:val="right"/>
              <w:rPr>
                <w:sz w:val="12"/>
                <w:szCs w:val="12"/>
              </w:rPr>
            </w:pPr>
            <w:r w:rsidRPr="004110E8">
              <w:rPr>
                <w:sz w:val="12"/>
                <w:szCs w:val="12"/>
              </w:rPr>
              <w:t>-3,34</w:t>
            </w:r>
          </w:p>
        </w:tc>
        <w:tc>
          <w:tcPr>
            <w:tcW w:w="510" w:type="dxa"/>
            <w:tcBorders>
              <w:top w:val="nil"/>
              <w:left w:val="nil"/>
              <w:bottom w:val="single" w:sz="4" w:space="0" w:color="auto"/>
              <w:right w:val="nil"/>
            </w:tcBorders>
            <w:shd w:val="clear" w:color="auto" w:fill="auto"/>
            <w:noWrap/>
            <w:vAlign w:val="bottom"/>
            <w:hideMark/>
          </w:tcPr>
          <w:p w14:paraId="0D96BE83" w14:textId="77777777" w:rsidR="00F87E58" w:rsidRPr="004110E8" w:rsidRDefault="00F87E58" w:rsidP="00027F0D">
            <w:pPr>
              <w:pStyle w:val="cuatexto"/>
              <w:spacing w:line="240" w:lineRule="auto"/>
              <w:ind w:left="-68"/>
              <w:jc w:val="right"/>
              <w:rPr>
                <w:sz w:val="12"/>
                <w:szCs w:val="12"/>
              </w:rPr>
            </w:pPr>
            <w:r w:rsidRPr="004110E8">
              <w:rPr>
                <w:sz w:val="12"/>
                <w:szCs w:val="12"/>
              </w:rPr>
              <w:t>-2,00</w:t>
            </w:r>
          </w:p>
        </w:tc>
        <w:tc>
          <w:tcPr>
            <w:tcW w:w="514" w:type="dxa"/>
            <w:tcBorders>
              <w:top w:val="nil"/>
              <w:left w:val="nil"/>
              <w:bottom w:val="single" w:sz="4" w:space="0" w:color="auto"/>
              <w:right w:val="nil"/>
            </w:tcBorders>
            <w:shd w:val="clear" w:color="auto" w:fill="auto"/>
            <w:noWrap/>
            <w:vAlign w:val="bottom"/>
            <w:hideMark/>
          </w:tcPr>
          <w:p w14:paraId="6B1771FE" w14:textId="77777777" w:rsidR="00F87E58" w:rsidRPr="004110E8" w:rsidRDefault="00F87E58" w:rsidP="00027F0D">
            <w:pPr>
              <w:pStyle w:val="cuatexto"/>
              <w:spacing w:line="240" w:lineRule="auto"/>
              <w:ind w:left="-68"/>
              <w:jc w:val="right"/>
              <w:rPr>
                <w:sz w:val="12"/>
                <w:szCs w:val="12"/>
              </w:rPr>
            </w:pPr>
            <w:r w:rsidRPr="004110E8">
              <w:rPr>
                <w:sz w:val="12"/>
                <w:szCs w:val="12"/>
              </w:rPr>
              <w:t>-2,21</w:t>
            </w:r>
          </w:p>
        </w:tc>
      </w:tr>
      <w:tr w:rsidR="00F87E58" w:rsidRPr="006A60A5" w14:paraId="7636E73E" w14:textId="77777777" w:rsidTr="00027F0D">
        <w:trPr>
          <w:trHeight w:val="198"/>
          <w:jc w:val="center"/>
        </w:trPr>
        <w:tc>
          <w:tcPr>
            <w:tcW w:w="851" w:type="dxa"/>
            <w:tcBorders>
              <w:top w:val="nil"/>
              <w:left w:val="nil"/>
              <w:bottom w:val="single" w:sz="4" w:space="0" w:color="auto"/>
              <w:right w:val="nil"/>
            </w:tcBorders>
            <w:shd w:val="clear" w:color="auto" w:fill="auto"/>
            <w:noWrap/>
            <w:vAlign w:val="center"/>
            <w:hideMark/>
          </w:tcPr>
          <w:p w14:paraId="40402CC4" w14:textId="77777777" w:rsidR="00F87E58" w:rsidRPr="004110E8" w:rsidRDefault="00F87E58" w:rsidP="00027F0D">
            <w:pPr>
              <w:pStyle w:val="cuatexto"/>
              <w:spacing w:line="240" w:lineRule="auto"/>
              <w:jc w:val="left"/>
              <w:rPr>
                <w:sz w:val="12"/>
                <w:szCs w:val="12"/>
              </w:rPr>
            </w:pPr>
            <w:r w:rsidRPr="004110E8">
              <w:rPr>
                <w:sz w:val="12"/>
                <w:szCs w:val="12"/>
              </w:rPr>
              <w:t>Ebitda*</w:t>
            </w:r>
          </w:p>
        </w:tc>
        <w:tc>
          <w:tcPr>
            <w:tcW w:w="512" w:type="dxa"/>
            <w:tcBorders>
              <w:top w:val="nil"/>
              <w:left w:val="nil"/>
              <w:bottom w:val="single" w:sz="4" w:space="0" w:color="auto"/>
              <w:right w:val="nil"/>
            </w:tcBorders>
            <w:shd w:val="clear" w:color="auto" w:fill="auto"/>
            <w:noWrap/>
            <w:vAlign w:val="center"/>
            <w:hideMark/>
          </w:tcPr>
          <w:p w14:paraId="7902290D" w14:textId="77777777" w:rsidR="00F87E58" w:rsidRPr="004110E8" w:rsidRDefault="00F87E58" w:rsidP="00027F0D">
            <w:pPr>
              <w:pStyle w:val="cuatexto"/>
              <w:spacing w:line="240" w:lineRule="auto"/>
              <w:jc w:val="right"/>
              <w:rPr>
                <w:sz w:val="12"/>
                <w:szCs w:val="12"/>
              </w:rPr>
            </w:pPr>
            <w:r w:rsidRPr="004110E8">
              <w:rPr>
                <w:sz w:val="12"/>
                <w:szCs w:val="12"/>
              </w:rPr>
              <w:t>-0,28</w:t>
            </w:r>
          </w:p>
        </w:tc>
        <w:tc>
          <w:tcPr>
            <w:tcW w:w="510" w:type="dxa"/>
            <w:tcBorders>
              <w:top w:val="nil"/>
              <w:left w:val="nil"/>
              <w:bottom w:val="single" w:sz="4" w:space="0" w:color="auto"/>
              <w:right w:val="nil"/>
            </w:tcBorders>
            <w:shd w:val="clear" w:color="auto" w:fill="auto"/>
            <w:noWrap/>
            <w:vAlign w:val="center"/>
            <w:hideMark/>
          </w:tcPr>
          <w:p w14:paraId="62EDCD5C" w14:textId="77777777" w:rsidR="00F87E58" w:rsidRPr="004110E8" w:rsidRDefault="00F87E58" w:rsidP="00027F0D">
            <w:pPr>
              <w:pStyle w:val="cuatexto"/>
              <w:spacing w:line="240" w:lineRule="auto"/>
              <w:ind w:left="-68"/>
              <w:jc w:val="right"/>
              <w:rPr>
                <w:sz w:val="12"/>
                <w:szCs w:val="12"/>
              </w:rPr>
            </w:pPr>
            <w:r w:rsidRPr="004110E8">
              <w:rPr>
                <w:sz w:val="12"/>
                <w:szCs w:val="12"/>
              </w:rPr>
              <w:t>-1,42</w:t>
            </w:r>
          </w:p>
        </w:tc>
        <w:tc>
          <w:tcPr>
            <w:tcW w:w="510" w:type="dxa"/>
            <w:tcBorders>
              <w:top w:val="nil"/>
              <w:left w:val="nil"/>
              <w:bottom w:val="single" w:sz="4" w:space="0" w:color="auto"/>
              <w:right w:val="nil"/>
            </w:tcBorders>
            <w:shd w:val="clear" w:color="auto" w:fill="auto"/>
            <w:noWrap/>
            <w:vAlign w:val="center"/>
            <w:hideMark/>
          </w:tcPr>
          <w:p w14:paraId="57EC2327" w14:textId="77777777" w:rsidR="00F87E58" w:rsidRPr="004110E8" w:rsidRDefault="00F87E58" w:rsidP="00027F0D">
            <w:pPr>
              <w:pStyle w:val="cuatexto"/>
              <w:spacing w:line="240" w:lineRule="auto"/>
              <w:ind w:left="-73"/>
              <w:jc w:val="right"/>
              <w:rPr>
                <w:sz w:val="12"/>
                <w:szCs w:val="12"/>
              </w:rPr>
            </w:pPr>
            <w:r w:rsidRPr="004110E8">
              <w:rPr>
                <w:sz w:val="12"/>
                <w:szCs w:val="12"/>
              </w:rPr>
              <w:t>-2,16</w:t>
            </w:r>
          </w:p>
        </w:tc>
        <w:tc>
          <w:tcPr>
            <w:tcW w:w="510" w:type="dxa"/>
            <w:tcBorders>
              <w:top w:val="nil"/>
              <w:left w:val="nil"/>
              <w:bottom w:val="single" w:sz="4" w:space="0" w:color="auto"/>
              <w:right w:val="nil"/>
            </w:tcBorders>
            <w:shd w:val="clear" w:color="auto" w:fill="auto"/>
            <w:noWrap/>
            <w:vAlign w:val="center"/>
            <w:hideMark/>
          </w:tcPr>
          <w:p w14:paraId="190D7C1E" w14:textId="77777777" w:rsidR="00F87E58" w:rsidRPr="004110E8" w:rsidRDefault="00F87E58" w:rsidP="00027F0D">
            <w:pPr>
              <w:pStyle w:val="cuatexto"/>
              <w:spacing w:line="240" w:lineRule="auto"/>
              <w:ind w:left="-69"/>
              <w:jc w:val="right"/>
              <w:rPr>
                <w:sz w:val="12"/>
                <w:szCs w:val="12"/>
              </w:rPr>
            </w:pPr>
            <w:r w:rsidRPr="004110E8">
              <w:rPr>
                <w:sz w:val="12"/>
                <w:szCs w:val="12"/>
              </w:rPr>
              <w:t>-2,08</w:t>
            </w:r>
          </w:p>
        </w:tc>
        <w:tc>
          <w:tcPr>
            <w:tcW w:w="510" w:type="dxa"/>
            <w:tcBorders>
              <w:top w:val="nil"/>
              <w:left w:val="nil"/>
              <w:bottom w:val="single" w:sz="4" w:space="0" w:color="auto"/>
              <w:right w:val="nil"/>
            </w:tcBorders>
            <w:shd w:val="clear" w:color="auto" w:fill="auto"/>
            <w:noWrap/>
            <w:vAlign w:val="center"/>
            <w:hideMark/>
          </w:tcPr>
          <w:p w14:paraId="355F426C" w14:textId="77777777" w:rsidR="00F87E58" w:rsidRPr="004110E8" w:rsidRDefault="00F87E58" w:rsidP="00027F0D">
            <w:pPr>
              <w:pStyle w:val="cuatexto"/>
              <w:spacing w:line="240" w:lineRule="auto"/>
              <w:ind w:left="-66"/>
              <w:jc w:val="right"/>
              <w:rPr>
                <w:sz w:val="12"/>
                <w:szCs w:val="12"/>
              </w:rPr>
            </w:pPr>
            <w:r w:rsidRPr="004110E8">
              <w:rPr>
                <w:sz w:val="12"/>
                <w:szCs w:val="12"/>
              </w:rPr>
              <w:t>-1,73</w:t>
            </w:r>
          </w:p>
        </w:tc>
        <w:tc>
          <w:tcPr>
            <w:tcW w:w="510" w:type="dxa"/>
            <w:tcBorders>
              <w:top w:val="nil"/>
              <w:left w:val="nil"/>
              <w:bottom w:val="single" w:sz="4" w:space="0" w:color="auto"/>
              <w:right w:val="nil"/>
            </w:tcBorders>
            <w:shd w:val="clear" w:color="auto" w:fill="auto"/>
            <w:noWrap/>
            <w:vAlign w:val="center"/>
            <w:hideMark/>
          </w:tcPr>
          <w:p w14:paraId="2283F391" w14:textId="77777777" w:rsidR="00F87E58" w:rsidRPr="004110E8" w:rsidRDefault="00F87E58" w:rsidP="00027F0D">
            <w:pPr>
              <w:pStyle w:val="cuatexto"/>
              <w:spacing w:line="240" w:lineRule="auto"/>
              <w:ind w:left="-72"/>
              <w:jc w:val="right"/>
              <w:rPr>
                <w:sz w:val="12"/>
                <w:szCs w:val="12"/>
              </w:rPr>
            </w:pPr>
            <w:r w:rsidRPr="004110E8">
              <w:rPr>
                <w:sz w:val="12"/>
                <w:szCs w:val="12"/>
              </w:rPr>
              <w:t>-1,67</w:t>
            </w:r>
          </w:p>
        </w:tc>
        <w:tc>
          <w:tcPr>
            <w:tcW w:w="510" w:type="dxa"/>
            <w:tcBorders>
              <w:top w:val="nil"/>
              <w:left w:val="nil"/>
              <w:bottom w:val="single" w:sz="4" w:space="0" w:color="auto"/>
              <w:right w:val="nil"/>
            </w:tcBorders>
            <w:shd w:val="clear" w:color="auto" w:fill="auto"/>
            <w:noWrap/>
            <w:vAlign w:val="center"/>
            <w:hideMark/>
          </w:tcPr>
          <w:p w14:paraId="3B23BC58" w14:textId="77777777" w:rsidR="00F87E58" w:rsidRPr="004110E8" w:rsidRDefault="00F87E58" w:rsidP="00027F0D">
            <w:pPr>
              <w:pStyle w:val="cuatexto"/>
              <w:spacing w:line="240" w:lineRule="auto"/>
              <w:ind w:left="-68"/>
              <w:jc w:val="right"/>
              <w:rPr>
                <w:sz w:val="12"/>
                <w:szCs w:val="12"/>
              </w:rPr>
            </w:pPr>
            <w:r w:rsidRPr="004110E8">
              <w:rPr>
                <w:sz w:val="12"/>
                <w:szCs w:val="12"/>
              </w:rPr>
              <w:t>-1,64</w:t>
            </w:r>
          </w:p>
        </w:tc>
        <w:tc>
          <w:tcPr>
            <w:tcW w:w="510" w:type="dxa"/>
            <w:tcBorders>
              <w:top w:val="nil"/>
              <w:left w:val="nil"/>
              <w:bottom w:val="single" w:sz="4" w:space="0" w:color="auto"/>
              <w:right w:val="nil"/>
            </w:tcBorders>
            <w:shd w:val="clear" w:color="auto" w:fill="auto"/>
            <w:noWrap/>
            <w:vAlign w:val="center"/>
            <w:hideMark/>
          </w:tcPr>
          <w:p w14:paraId="64FD5E6C" w14:textId="77777777" w:rsidR="00F87E58" w:rsidRPr="004110E8" w:rsidRDefault="00F87E58" w:rsidP="00027F0D">
            <w:pPr>
              <w:pStyle w:val="cuatexto"/>
              <w:spacing w:line="240" w:lineRule="auto"/>
              <w:ind w:left="-70"/>
              <w:jc w:val="right"/>
              <w:rPr>
                <w:sz w:val="12"/>
                <w:szCs w:val="12"/>
              </w:rPr>
            </w:pPr>
            <w:r w:rsidRPr="004110E8">
              <w:rPr>
                <w:sz w:val="12"/>
                <w:szCs w:val="12"/>
              </w:rPr>
              <w:t>-1,78</w:t>
            </w:r>
          </w:p>
        </w:tc>
        <w:tc>
          <w:tcPr>
            <w:tcW w:w="510" w:type="dxa"/>
            <w:tcBorders>
              <w:top w:val="nil"/>
              <w:left w:val="nil"/>
              <w:bottom w:val="single" w:sz="4" w:space="0" w:color="auto"/>
              <w:right w:val="nil"/>
            </w:tcBorders>
            <w:shd w:val="clear" w:color="auto" w:fill="auto"/>
            <w:noWrap/>
            <w:vAlign w:val="center"/>
            <w:hideMark/>
          </w:tcPr>
          <w:p w14:paraId="671C48FF" w14:textId="77777777" w:rsidR="00F87E58" w:rsidRPr="004110E8" w:rsidRDefault="00F87E58" w:rsidP="00027F0D">
            <w:pPr>
              <w:pStyle w:val="cuatexto"/>
              <w:spacing w:line="240" w:lineRule="auto"/>
              <w:ind w:left="-70"/>
              <w:jc w:val="right"/>
              <w:rPr>
                <w:sz w:val="12"/>
                <w:szCs w:val="12"/>
              </w:rPr>
            </w:pPr>
            <w:r w:rsidRPr="004110E8">
              <w:rPr>
                <w:sz w:val="12"/>
                <w:szCs w:val="12"/>
              </w:rPr>
              <w:t>-1,56</w:t>
            </w:r>
          </w:p>
        </w:tc>
        <w:tc>
          <w:tcPr>
            <w:tcW w:w="510" w:type="dxa"/>
            <w:tcBorders>
              <w:top w:val="nil"/>
              <w:left w:val="nil"/>
              <w:bottom w:val="single" w:sz="4" w:space="0" w:color="auto"/>
              <w:right w:val="nil"/>
            </w:tcBorders>
            <w:shd w:val="clear" w:color="auto" w:fill="auto"/>
            <w:noWrap/>
            <w:vAlign w:val="center"/>
            <w:hideMark/>
          </w:tcPr>
          <w:p w14:paraId="432950D4" w14:textId="77777777" w:rsidR="00F87E58" w:rsidRPr="004110E8" w:rsidRDefault="00F87E58" w:rsidP="00027F0D">
            <w:pPr>
              <w:pStyle w:val="cuatexto"/>
              <w:spacing w:line="240" w:lineRule="auto"/>
              <w:ind w:left="-74"/>
              <w:jc w:val="right"/>
              <w:rPr>
                <w:sz w:val="12"/>
                <w:szCs w:val="12"/>
              </w:rPr>
            </w:pPr>
            <w:r w:rsidRPr="004110E8">
              <w:rPr>
                <w:sz w:val="12"/>
                <w:szCs w:val="12"/>
              </w:rPr>
              <w:t>-1,81</w:t>
            </w:r>
          </w:p>
        </w:tc>
        <w:tc>
          <w:tcPr>
            <w:tcW w:w="510" w:type="dxa"/>
            <w:tcBorders>
              <w:top w:val="nil"/>
              <w:left w:val="nil"/>
              <w:bottom w:val="single" w:sz="4" w:space="0" w:color="auto"/>
              <w:right w:val="nil"/>
            </w:tcBorders>
            <w:shd w:val="clear" w:color="auto" w:fill="auto"/>
            <w:noWrap/>
            <w:vAlign w:val="center"/>
            <w:hideMark/>
          </w:tcPr>
          <w:p w14:paraId="230EA7F7" w14:textId="77777777" w:rsidR="00F87E58" w:rsidRPr="004110E8" w:rsidRDefault="00F87E58" w:rsidP="00027F0D">
            <w:pPr>
              <w:pStyle w:val="cuatexto"/>
              <w:spacing w:line="240" w:lineRule="auto"/>
              <w:ind w:left="-71"/>
              <w:jc w:val="right"/>
              <w:rPr>
                <w:sz w:val="12"/>
                <w:szCs w:val="12"/>
              </w:rPr>
            </w:pPr>
            <w:r w:rsidRPr="004110E8">
              <w:rPr>
                <w:sz w:val="12"/>
                <w:szCs w:val="12"/>
              </w:rPr>
              <w:t>-1,88</w:t>
            </w:r>
          </w:p>
        </w:tc>
        <w:tc>
          <w:tcPr>
            <w:tcW w:w="510" w:type="dxa"/>
            <w:tcBorders>
              <w:top w:val="nil"/>
              <w:left w:val="nil"/>
              <w:bottom w:val="single" w:sz="4" w:space="0" w:color="auto"/>
              <w:right w:val="nil"/>
            </w:tcBorders>
            <w:shd w:val="clear" w:color="auto" w:fill="auto"/>
            <w:noWrap/>
            <w:vAlign w:val="center"/>
            <w:hideMark/>
          </w:tcPr>
          <w:p w14:paraId="044E6522" w14:textId="77777777" w:rsidR="00F87E58" w:rsidRPr="004110E8" w:rsidRDefault="00F87E58" w:rsidP="00027F0D">
            <w:pPr>
              <w:pStyle w:val="cuatexto"/>
              <w:spacing w:line="240" w:lineRule="auto"/>
              <w:ind w:left="-68"/>
              <w:jc w:val="right"/>
              <w:rPr>
                <w:sz w:val="12"/>
                <w:szCs w:val="12"/>
              </w:rPr>
            </w:pPr>
            <w:r w:rsidRPr="004110E8">
              <w:rPr>
                <w:sz w:val="12"/>
                <w:szCs w:val="12"/>
              </w:rPr>
              <w:t>-1,21</w:t>
            </w:r>
          </w:p>
        </w:tc>
        <w:tc>
          <w:tcPr>
            <w:tcW w:w="510" w:type="dxa"/>
            <w:tcBorders>
              <w:top w:val="nil"/>
              <w:left w:val="nil"/>
              <w:bottom w:val="single" w:sz="4" w:space="0" w:color="auto"/>
              <w:right w:val="nil"/>
            </w:tcBorders>
            <w:shd w:val="clear" w:color="auto" w:fill="auto"/>
            <w:noWrap/>
            <w:vAlign w:val="center"/>
            <w:hideMark/>
          </w:tcPr>
          <w:p w14:paraId="4E8A77E2" w14:textId="77777777" w:rsidR="00F87E58" w:rsidRPr="004110E8" w:rsidRDefault="00F87E58" w:rsidP="00027F0D">
            <w:pPr>
              <w:pStyle w:val="cuatexto"/>
              <w:spacing w:line="240" w:lineRule="auto"/>
              <w:ind w:left="-68"/>
              <w:jc w:val="right"/>
              <w:rPr>
                <w:sz w:val="12"/>
                <w:szCs w:val="12"/>
              </w:rPr>
            </w:pPr>
            <w:r w:rsidRPr="004110E8">
              <w:rPr>
                <w:sz w:val="12"/>
                <w:szCs w:val="12"/>
              </w:rPr>
              <w:t>-1,28</w:t>
            </w:r>
          </w:p>
        </w:tc>
        <w:tc>
          <w:tcPr>
            <w:tcW w:w="510" w:type="dxa"/>
            <w:tcBorders>
              <w:top w:val="nil"/>
              <w:left w:val="nil"/>
              <w:bottom w:val="single" w:sz="4" w:space="0" w:color="auto"/>
              <w:right w:val="nil"/>
            </w:tcBorders>
            <w:shd w:val="clear" w:color="auto" w:fill="auto"/>
            <w:noWrap/>
            <w:vAlign w:val="center"/>
            <w:hideMark/>
          </w:tcPr>
          <w:p w14:paraId="3125EB39" w14:textId="77777777" w:rsidR="00F87E58" w:rsidRPr="004110E8" w:rsidRDefault="00F87E58" w:rsidP="00027F0D">
            <w:pPr>
              <w:pStyle w:val="cuatexto"/>
              <w:spacing w:line="240" w:lineRule="auto"/>
              <w:ind w:left="-68"/>
              <w:jc w:val="right"/>
              <w:rPr>
                <w:sz w:val="12"/>
                <w:szCs w:val="12"/>
              </w:rPr>
            </w:pPr>
            <w:r w:rsidRPr="004110E8">
              <w:rPr>
                <w:sz w:val="12"/>
                <w:szCs w:val="12"/>
              </w:rPr>
              <w:t>-1,16</w:t>
            </w:r>
          </w:p>
        </w:tc>
        <w:tc>
          <w:tcPr>
            <w:tcW w:w="510" w:type="dxa"/>
            <w:tcBorders>
              <w:top w:val="nil"/>
              <w:left w:val="nil"/>
              <w:bottom w:val="single" w:sz="4" w:space="0" w:color="auto"/>
              <w:right w:val="nil"/>
            </w:tcBorders>
            <w:shd w:val="clear" w:color="auto" w:fill="auto"/>
            <w:noWrap/>
            <w:vAlign w:val="center"/>
            <w:hideMark/>
          </w:tcPr>
          <w:p w14:paraId="16BDC68C" w14:textId="77777777" w:rsidR="00F87E58" w:rsidRPr="004110E8" w:rsidRDefault="00F87E58" w:rsidP="00027F0D">
            <w:pPr>
              <w:pStyle w:val="cuatexto"/>
              <w:spacing w:line="240" w:lineRule="auto"/>
              <w:ind w:left="-68"/>
              <w:jc w:val="right"/>
              <w:rPr>
                <w:sz w:val="12"/>
                <w:szCs w:val="12"/>
              </w:rPr>
            </w:pPr>
            <w:r w:rsidRPr="004110E8">
              <w:rPr>
                <w:sz w:val="12"/>
                <w:szCs w:val="12"/>
              </w:rPr>
              <w:t>-1,33</w:t>
            </w:r>
          </w:p>
        </w:tc>
        <w:tc>
          <w:tcPr>
            <w:tcW w:w="510" w:type="dxa"/>
            <w:tcBorders>
              <w:top w:val="nil"/>
              <w:left w:val="nil"/>
              <w:bottom w:val="single" w:sz="4" w:space="0" w:color="auto"/>
              <w:right w:val="nil"/>
            </w:tcBorders>
            <w:shd w:val="clear" w:color="auto" w:fill="auto"/>
            <w:noWrap/>
            <w:vAlign w:val="center"/>
            <w:hideMark/>
          </w:tcPr>
          <w:p w14:paraId="09769E5D" w14:textId="77777777" w:rsidR="00F87E58" w:rsidRPr="004110E8" w:rsidRDefault="00F87E58" w:rsidP="00027F0D">
            <w:pPr>
              <w:pStyle w:val="cuatexto"/>
              <w:spacing w:line="240" w:lineRule="auto"/>
              <w:ind w:left="-68"/>
              <w:jc w:val="right"/>
              <w:rPr>
                <w:sz w:val="12"/>
                <w:szCs w:val="12"/>
              </w:rPr>
            </w:pPr>
            <w:r w:rsidRPr="004110E8">
              <w:rPr>
                <w:sz w:val="12"/>
                <w:szCs w:val="12"/>
              </w:rPr>
              <w:t>-1,23</w:t>
            </w:r>
          </w:p>
        </w:tc>
        <w:tc>
          <w:tcPr>
            <w:tcW w:w="510" w:type="dxa"/>
            <w:tcBorders>
              <w:top w:val="nil"/>
              <w:left w:val="nil"/>
              <w:bottom w:val="single" w:sz="4" w:space="0" w:color="auto"/>
              <w:right w:val="nil"/>
            </w:tcBorders>
            <w:shd w:val="clear" w:color="auto" w:fill="auto"/>
            <w:noWrap/>
            <w:vAlign w:val="center"/>
            <w:hideMark/>
          </w:tcPr>
          <w:p w14:paraId="26A5FD6D" w14:textId="77777777" w:rsidR="00F87E58" w:rsidRPr="004110E8" w:rsidRDefault="00F87E58" w:rsidP="00027F0D">
            <w:pPr>
              <w:pStyle w:val="cuatexto"/>
              <w:spacing w:line="240" w:lineRule="auto"/>
              <w:ind w:left="-68"/>
              <w:jc w:val="right"/>
              <w:rPr>
                <w:sz w:val="12"/>
                <w:szCs w:val="12"/>
              </w:rPr>
            </w:pPr>
            <w:r w:rsidRPr="004110E8">
              <w:rPr>
                <w:sz w:val="12"/>
                <w:szCs w:val="12"/>
              </w:rPr>
              <w:t>-1,62</w:t>
            </w:r>
          </w:p>
        </w:tc>
        <w:tc>
          <w:tcPr>
            <w:tcW w:w="510" w:type="dxa"/>
            <w:tcBorders>
              <w:top w:val="nil"/>
              <w:left w:val="nil"/>
              <w:bottom w:val="single" w:sz="4" w:space="0" w:color="auto"/>
              <w:right w:val="nil"/>
            </w:tcBorders>
            <w:shd w:val="clear" w:color="auto" w:fill="auto"/>
            <w:noWrap/>
            <w:vAlign w:val="center"/>
            <w:hideMark/>
          </w:tcPr>
          <w:p w14:paraId="48F7F572" w14:textId="77777777" w:rsidR="00F87E58" w:rsidRPr="004110E8" w:rsidRDefault="00F87E58" w:rsidP="00027F0D">
            <w:pPr>
              <w:pStyle w:val="cuatexto"/>
              <w:spacing w:line="240" w:lineRule="auto"/>
              <w:ind w:left="-68"/>
              <w:jc w:val="right"/>
              <w:rPr>
                <w:sz w:val="12"/>
                <w:szCs w:val="12"/>
              </w:rPr>
            </w:pPr>
            <w:r w:rsidRPr="004110E8">
              <w:rPr>
                <w:sz w:val="12"/>
                <w:szCs w:val="12"/>
              </w:rPr>
              <w:t>-2,30</w:t>
            </w:r>
          </w:p>
        </w:tc>
        <w:tc>
          <w:tcPr>
            <w:tcW w:w="510" w:type="dxa"/>
            <w:tcBorders>
              <w:top w:val="nil"/>
              <w:left w:val="nil"/>
              <w:bottom w:val="single" w:sz="4" w:space="0" w:color="auto"/>
              <w:right w:val="nil"/>
            </w:tcBorders>
            <w:shd w:val="clear" w:color="auto" w:fill="auto"/>
            <w:noWrap/>
            <w:vAlign w:val="center"/>
            <w:hideMark/>
          </w:tcPr>
          <w:p w14:paraId="6B8FEEC1" w14:textId="77777777" w:rsidR="00F87E58" w:rsidRPr="004110E8" w:rsidRDefault="00F87E58" w:rsidP="00027F0D">
            <w:pPr>
              <w:pStyle w:val="cuatexto"/>
              <w:spacing w:line="240" w:lineRule="auto"/>
              <w:ind w:left="-68"/>
              <w:jc w:val="right"/>
              <w:rPr>
                <w:sz w:val="12"/>
                <w:szCs w:val="12"/>
              </w:rPr>
            </w:pPr>
            <w:r w:rsidRPr="004110E8">
              <w:rPr>
                <w:sz w:val="12"/>
                <w:szCs w:val="12"/>
              </w:rPr>
              <w:t>-0,98</w:t>
            </w:r>
          </w:p>
        </w:tc>
        <w:tc>
          <w:tcPr>
            <w:tcW w:w="514" w:type="dxa"/>
            <w:tcBorders>
              <w:top w:val="nil"/>
              <w:left w:val="nil"/>
              <w:bottom w:val="single" w:sz="4" w:space="0" w:color="auto"/>
              <w:right w:val="nil"/>
            </w:tcBorders>
            <w:shd w:val="clear" w:color="auto" w:fill="auto"/>
            <w:noWrap/>
            <w:vAlign w:val="center"/>
            <w:hideMark/>
          </w:tcPr>
          <w:p w14:paraId="0BC741E0" w14:textId="77777777" w:rsidR="00F87E58" w:rsidRPr="004110E8" w:rsidRDefault="00F87E58" w:rsidP="00027F0D">
            <w:pPr>
              <w:pStyle w:val="cuatexto"/>
              <w:spacing w:line="240" w:lineRule="auto"/>
              <w:ind w:left="-68"/>
              <w:jc w:val="right"/>
              <w:rPr>
                <w:sz w:val="12"/>
                <w:szCs w:val="12"/>
              </w:rPr>
            </w:pPr>
            <w:r w:rsidRPr="004110E8">
              <w:rPr>
                <w:sz w:val="12"/>
                <w:szCs w:val="12"/>
              </w:rPr>
              <w:t>-1,25</w:t>
            </w:r>
          </w:p>
        </w:tc>
      </w:tr>
    </w:tbl>
    <w:p w14:paraId="3352308F" w14:textId="77777777" w:rsidR="00F87E58" w:rsidRPr="004110E8" w:rsidRDefault="00F87E58" w:rsidP="00027F0D">
      <w:pPr>
        <w:autoSpaceDE w:val="0"/>
        <w:autoSpaceDN w:val="0"/>
        <w:adjustRightInd w:val="0"/>
        <w:spacing w:before="60" w:after="180"/>
        <w:ind w:firstLine="278"/>
        <w:rPr>
          <w:color w:val="000000"/>
          <w:sz w:val="14"/>
          <w:szCs w:val="14"/>
        </w:rPr>
      </w:pPr>
      <w:r w:rsidRPr="004110E8">
        <w:rPr>
          <w:color w:val="000000"/>
          <w:sz w:val="14"/>
          <w:szCs w:val="14"/>
        </w:rPr>
        <w:t>*Datos en millones</w:t>
      </w:r>
    </w:p>
    <w:p w14:paraId="731D9B50" w14:textId="77777777" w:rsidR="00F87E58" w:rsidRDefault="00F87E58" w:rsidP="00027F0D">
      <w:pPr>
        <w:autoSpaceDE w:val="0"/>
        <w:autoSpaceDN w:val="0"/>
        <w:adjustRightInd w:val="0"/>
        <w:spacing w:after="180"/>
        <w:ind w:firstLine="0"/>
        <w:rPr>
          <w:color w:val="000000"/>
          <w:sz w:val="26"/>
          <w:szCs w:val="26"/>
        </w:rPr>
      </w:pPr>
      <w:r w:rsidRPr="0012731A">
        <w:rPr>
          <w:noProof/>
          <w:lang w:val="es-ES" w:eastAsia="es-ES"/>
        </w:rPr>
        <w:drawing>
          <wp:inline distT="0" distB="0" distL="0" distR="0" wp14:anchorId="418896DD" wp14:editId="3010638B">
            <wp:extent cx="5439336" cy="1919455"/>
            <wp:effectExtent l="0" t="0" r="9525" b="5080"/>
            <wp:docPr id="1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DC4333" w14:textId="77777777" w:rsidR="00F87E58" w:rsidRDefault="00F87E58" w:rsidP="00027F0D">
      <w:pPr>
        <w:autoSpaceDE w:val="0"/>
        <w:autoSpaceDN w:val="0"/>
        <w:adjustRightInd w:val="0"/>
        <w:spacing w:after="180"/>
        <w:ind w:left="142" w:hanging="142"/>
        <w:jc w:val="center"/>
        <w:rPr>
          <w:color w:val="000000"/>
          <w:sz w:val="26"/>
          <w:szCs w:val="26"/>
        </w:rPr>
      </w:pPr>
      <w:r w:rsidRPr="0012731A">
        <w:rPr>
          <w:noProof/>
          <w:lang w:val="es-ES" w:eastAsia="es-ES"/>
        </w:rPr>
        <w:drawing>
          <wp:inline distT="0" distB="0" distL="0" distR="0" wp14:anchorId="7FC79B5E" wp14:editId="27A0571E">
            <wp:extent cx="5459506" cy="2229411"/>
            <wp:effectExtent l="0" t="0" r="8255" b="0"/>
            <wp:docPr id="10"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0ACE2D" w14:textId="77777777" w:rsidR="00F87E58" w:rsidRDefault="00F87E58" w:rsidP="00F87E58">
      <w:pPr>
        <w:pStyle w:val="texto"/>
        <w:spacing w:after="240"/>
      </w:pPr>
      <w:bookmarkStart w:id="26" w:name="_Toc19535163"/>
      <w:bookmarkStart w:id="27" w:name="_Toc188167192"/>
      <w:r>
        <w:t>En enero de 2020 se presentó un plan de viabilidad para el periodo 2020-2022, de forma que el parque fuese</w:t>
      </w:r>
      <w:r w:rsidRPr="000639EA">
        <w:t xml:space="preserve"> viable desde el punto de vista económico, sin necesidad del </w:t>
      </w:r>
      <w:r w:rsidRPr="00A60F39">
        <w:t>apoyo</w:t>
      </w:r>
      <w:r w:rsidRPr="000639EA">
        <w:t xml:space="preserve"> financiero de Sodena para sus necesidades operativas, y fuera capaz de autofinanciarse por </w:t>
      </w:r>
      <w:r>
        <w:t xml:space="preserve">su propia </w:t>
      </w:r>
      <w:r w:rsidRPr="000639EA">
        <w:t>actividad</w:t>
      </w:r>
      <w:r>
        <w:t xml:space="preserve">. </w:t>
      </w:r>
      <w:r w:rsidRPr="000639EA">
        <w:t>Este plan contemplaba tres escenarios según visitantes y percap</w:t>
      </w:r>
      <w:r>
        <w:t xml:space="preserve"> (ingresos por visitante)</w:t>
      </w:r>
      <w:r w:rsidRPr="000639EA">
        <w:t xml:space="preserve">, y </w:t>
      </w:r>
      <w:r w:rsidRPr="000639EA">
        <w:lastRenderedPageBreak/>
        <w:t xml:space="preserve">desprendía </w:t>
      </w:r>
      <w:r>
        <w:t xml:space="preserve">nuevas </w:t>
      </w:r>
      <w:r w:rsidRPr="000639EA">
        <w:t>necesidades</w:t>
      </w:r>
      <w:r>
        <w:t xml:space="preserve"> de financiación por Sodena en nuevas inversiones por 3,8 millones</w:t>
      </w:r>
      <w:r w:rsidRPr="000639EA">
        <w:t xml:space="preserve"> que</w:t>
      </w:r>
      <w:r>
        <w:t>,</w:t>
      </w:r>
      <w:r w:rsidRPr="000639EA">
        <w:t xml:space="preserve"> a fin de 2022</w:t>
      </w:r>
      <w:r>
        <w:t xml:space="preserve">, </w:t>
      </w:r>
      <w:r w:rsidRPr="000639EA">
        <w:t>ya han sido ejecutadas en su prácti</w:t>
      </w:r>
      <w:r>
        <w:t>ca totalidad, tal y como se detalla posteriormente en el apartado 2.3.2 de este apéndice.</w:t>
      </w:r>
    </w:p>
    <w:p w14:paraId="5B94553C" w14:textId="77777777" w:rsidR="00F87E58" w:rsidRDefault="00F87E58" w:rsidP="00F87E58">
      <w:pPr>
        <w:pStyle w:val="texto"/>
      </w:pPr>
      <w:r w:rsidRPr="0049488A">
        <w:t xml:space="preserve">Tanto la Covid-19 como el incendio de junio 2022 </w:t>
      </w:r>
      <w:r>
        <w:t xml:space="preserve">(que hizo necesario de nuevo apoyo financiero, que prestó Sodena por 1,5 millones), </w:t>
      </w:r>
      <w:r w:rsidRPr="0049488A">
        <w:t>han supue</w:t>
      </w:r>
      <w:r>
        <w:t>sto un retroceso para alcanzar los objetivos previstos en el plan estratégico</w:t>
      </w:r>
      <w:r w:rsidRPr="0049488A">
        <w:t>. Los datos de 2020 están claramente marcados por la incidencia de la pandemia, recuperando la tendencia al alza en 2021 con 194.806 visitantes. En 2022</w:t>
      </w:r>
      <w:r w:rsidR="00112FA0">
        <w:t>,</w:t>
      </w:r>
      <w:r w:rsidRPr="0049488A">
        <w:t xml:space="preserve"> el incendio afectó al número de visitantes, descendiendo hasta los 142.022 visitantes.</w:t>
      </w:r>
    </w:p>
    <w:p w14:paraId="6496C42C" w14:textId="77777777" w:rsidR="00F87E58" w:rsidRDefault="00F87E58" w:rsidP="00F87E58">
      <w:pPr>
        <w:pStyle w:val="texto"/>
      </w:pPr>
      <w:r w:rsidRPr="006740E9">
        <w:t xml:space="preserve">En cualquier caso, a pesar de que Parquenasa aprueba anualmente un plan de gestión, </w:t>
      </w:r>
      <w:r>
        <w:t>la sociedad necesita de continua financiación externa</w:t>
      </w:r>
      <w:r w:rsidRPr="006740E9">
        <w:t>, ya que según figura en la información de Sodena, se necesitaría llegar al umbral de entre 228.000-240.000 visitantes</w:t>
      </w:r>
      <w:r w:rsidR="00112FA0">
        <w:t xml:space="preserve"> al </w:t>
      </w:r>
      <w:r w:rsidRPr="006740E9">
        <w:t>año para conseguir un EBITDA igual a cero</w:t>
      </w:r>
      <w:r>
        <w:t xml:space="preserve">; cifras significativamente superiores a la evolución de visitantes que se observa en el periodo, y que </w:t>
      </w:r>
      <w:r w:rsidRPr="006740E9">
        <w:t xml:space="preserve">en los últimos años se ha estabilizado en </w:t>
      </w:r>
      <w:r>
        <w:t xml:space="preserve">una media de </w:t>
      </w:r>
      <w:r w:rsidRPr="006740E9">
        <w:t>180.000 visitantes.</w:t>
      </w:r>
      <w:r>
        <w:t xml:space="preserve"> </w:t>
      </w:r>
    </w:p>
    <w:p w14:paraId="06F0C2F9" w14:textId="77777777" w:rsidR="00F87E58" w:rsidRDefault="00F87E58" w:rsidP="00E118C0">
      <w:pPr>
        <w:pStyle w:val="atitulo2"/>
        <w:spacing w:before="240"/>
      </w:pPr>
      <w:bookmarkStart w:id="28" w:name="_Toc146017574"/>
      <w:bookmarkStart w:id="29" w:name="_Toc149803652"/>
      <w:bookmarkEnd w:id="26"/>
      <w:r>
        <w:t xml:space="preserve">2.3 </w:t>
      </w:r>
      <w:bookmarkEnd w:id="27"/>
      <w:r>
        <w:t>Apoyo financiero</w:t>
      </w:r>
      <w:r w:rsidRPr="006B7173">
        <w:t xml:space="preserve"> </w:t>
      </w:r>
      <w:r>
        <w:t>de Sodena a Parquenasa</w:t>
      </w:r>
      <w:bookmarkEnd w:id="28"/>
      <w:bookmarkEnd w:id="29"/>
    </w:p>
    <w:p w14:paraId="5D748F04" w14:textId="77777777" w:rsidR="00F87E58" w:rsidRDefault="00F87E58" w:rsidP="00F87E58">
      <w:pPr>
        <w:pStyle w:val="texto"/>
      </w:pPr>
      <w:r>
        <w:t>Las aportaciones financieras que Sodena ha realizado a Parquenasa son las siguientes:</w:t>
      </w:r>
    </w:p>
    <w:p w14:paraId="5B9F6E02" w14:textId="77777777" w:rsidR="00F87E58" w:rsidRDefault="00F87E58" w:rsidP="00F87E58">
      <w:pPr>
        <w:pStyle w:val="atitulo3"/>
        <w:spacing w:before="240"/>
        <w:rPr>
          <w:sz w:val="26"/>
        </w:rPr>
      </w:pPr>
      <w:r>
        <w:t>2.3.1 Avales</w:t>
      </w:r>
    </w:p>
    <w:p w14:paraId="0E4C2F9A" w14:textId="77777777" w:rsidR="00F87E58" w:rsidRPr="009A30A0"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bookmarkStart w:id="30" w:name="TMB1541081518"/>
      <w:bookmarkEnd w:id="30"/>
      <w:r>
        <w:rPr>
          <w:szCs w:val="26"/>
        </w:rPr>
        <w:t xml:space="preserve">Se concedieron </w:t>
      </w:r>
      <w:r w:rsidRPr="001E1A92">
        <w:rPr>
          <w:szCs w:val="26"/>
        </w:rPr>
        <w:t>en 2003, dos avales ante dos entidades financieras por un límite de 14 millones de euros</w:t>
      </w:r>
      <w:r w:rsidR="00112FA0">
        <w:rPr>
          <w:szCs w:val="26"/>
        </w:rPr>
        <w:t>,</w:t>
      </w:r>
      <w:r w:rsidRPr="001E1A92">
        <w:rPr>
          <w:szCs w:val="26"/>
        </w:rPr>
        <w:t xml:space="preserve"> como garantía de los siguientes créditos con</w:t>
      </w:r>
      <w:r>
        <w:rPr>
          <w:szCs w:val="26"/>
        </w:rPr>
        <w:t xml:space="preserve">traídos por </w:t>
      </w:r>
      <w:r w:rsidRPr="00045BCE">
        <w:rPr>
          <w:szCs w:val="26"/>
        </w:rPr>
        <w:t>Parquenasa:</w:t>
      </w:r>
    </w:p>
    <w:p w14:paraId="1BCAD780" w14:textId="77777777" w:rsidR="00F87E58" w:rsidRPr="009A30A0" w:rsidRDefault="00F87E58" w:rsidP="00F87E58">
      <w:pPr>
        <w:pStyle w:val="Prrafodelista"/>
        <w:numPr>
          <w:ilvl w:val="0"/>
          <w:numId w:val="13"/>
        </w:numPr>
        <w:tabs>
          <w:tab w:val="left" w:pos="567"/>
        </w:tabs>
        <w:autoSpaceDE w:val="0"/>
        <w:autoSpaceDN w:val="0"/>
        <w:adjustRightInd w:val="0"/>
        <w:spacing w:after="140"/>
        <w:ind w:left="0" w:firstLine="284"/>
        <w:contextualSpacing w:val="0"/>
        <w:jc w:val="both"/>
        <w:rPr>
          <w:sz w:val="26"/>
          <w:szCs w:val="26"/>
        </w:rPr>
      </w:pPr>
      <w:r w:rsidRPr="009A30A0">
        <w:rPr>
          <w:sz w:val="26"/>
          <w:szCs w:val="26"/>
        </w:rPr>
        <w:t>Póliza con Banco Vasconia de 15 de mayo de 2003 por 10.500.000</w:t>
      </w:r>
      <w:r w:rsidRPr="009A30A0">
        <w:rPr>
          <w:rStyle w:val="Refdenotaalpie"/>
          <w:sz w:val="26"/>
          <w:szCs w:val="26"/>
        </w:rPr>
        <w:footnoteReference w:id="7"/>
      </w:r>
      <w:r w:rsidR="00027F0D">
        <w:rPr>
          <w:sz w:val="26"/>
          <w:szCs w:val="26"/>
        </w:rPr>
        <w:t>.</w:t>
      </w:r>
    </w:p>
    <w:p w14:paraId="4FBA17F3" w14:textId="77777777" w:rsidR="00F87E58" w:rsidRPr="006E2A89" w:rsidRDefault="00F87E58" w:rsidP="00F87E58">
      <w:pPr>
        <w:pStyle w:val="Prrafodelista"/>
        <w:numPr>
          <w:ilvl w:val="0"/>
          <w:numId w:val="13"/>
        </w:numPr>
        <w:tabs>
          <w:tab w:val="left" w:pos="567"/>
        </w:tabs>
        <w:autoSpaceDE w:val="0"/>
        <w:autoSpaceDN w:val="0"/>
        <w:adjustRightInd w:val="0"/>
        <w:spacing w:after="140"/>
        <w:ind w:left="0" w:firstLine="284"/>
        <w:contextualSpacing w:val="0"/>
        <w:jc w:val="both"/>
        <w:rPr>
          <w:sz w:val="26"/>
          <w:szCs w:val="26"/>
        </w:rPr>
      </w:pPr>
      <w:r w:rsidRPr="009A30A0">
        <w:rPr>
          <w:sz w:val="26"/>
          <w:szCs w:val="26"/>
        </w:rPr>
        <w:t>Póliza con Caja Navarra de 15 de mayo de 2003 por 3.500.000</w:t>
      </w:r>
      <w:r w:rsidRPr="006E2A89">
        <w:footnoteReference w:id="8"/>
      </w:r>
      <w:r w:rsidR="00027F0D">
        <w:rPr>
          <w:sz w:val="26"/>
          <w:szCs w:val="26"/>
        </w:rPr>
        <w:t>.</w:t>
      </w:r>
    </w:p>
    <w:p w14:paraId="3135A5F0" w14:textId="77777777" w:rsidR="00F87E58" w:rsidRPr="001E1A92" w:rsidRDefault="00F87E58" w:rsidP="00F87E58">
      <w:pPr>
        <w:pStyle w:val="texto"/>
      </w:pPr>
      <w:r>
        <w:t>Ambos avales están cancelados.</w:t>
      </w:r>
    </w:p>
    <w:p w14:paraId="722BA7CD" w14:textId="77777777" w:rsidR="00F87E58" w:rsidRPr="00AA16A6"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sidRPr="00AA16A6">
        <w:rPr>
          <w:szCs w:val="26"/>
        </w:rPr>
        <w:t xml:space="preserve">En 2010 se concedió otro aval por 180.000 euros. </w:t>
      </w:r>
      <w:r w:rsidR="00FA7622" w:rsidRPr="00AA16A6">
        <w:rPr>
          <w:szCs w:val="26"/>
        </w:rPr>
        <w:t>Se t</w:t>
      </w:r>
      <w:r w:rsidR="00AA16A6" w:rsidRPr="00AA16A6">
        <w:rPr>
          <w:szCs w:val="26"/>
        </w:rPr>
        <w:t>rata de un aval</w:t>
      </w:r>
      <w:r w:rsidR="00FA7622" w:rsidRPr="00AA16A6">
        <w:rPr>
          <w:szCs w:val="26"/>
        </w:rPr>
        <w:t xml:space="preserve"> que permite a Parquenasa operar como agencia de viajes. </w:t>
      </w:r>
      <w:r w:rsidRPr="00AA16A6">
        <w:rPr>
          <w:szCs w:val="26"/>
        </w:rPr>
        <w:t xml:space="preserve">Es el único aval que permanece vivo en las cuentas anuales de Sodena a 31 de diciembre de 2022. </w:t>
      </w:r>
    </w:p>
    <w:p w14:paraId="0FD1457B" w14:textId="77777777" w:rsidR="00F87E58" w:rsidRPr="007E62F6" w:rsidRDefault="00F87E58" w:rsidP="00F87E58">
      <w:pPr>
        <w:pStyle w:val="atitulo3"/>
        <w:spacing w:before="240"/>
      </w:pPr>
      <w:r>
        <w:lastRenderedPageBreak/>
        <w:t>2.3.2 Préstamos</w:t>
      </w:r>
    </w:p>
    <w:p w14:paraId="6A6349A3" w14:textId="77777777" w:rsidR="00F87E58" w:rsidRPr="00AA16A6" w:rsidRDefault="00F87E58" w:rsidP="00F87E58">
      <w:pPr>
        <w:pStyle w:val="texto"/>
      </w:pPr>
      <w:r>
        <w:t>Desde el ejercicio 2</w:t>
      </w:r>
      <w:r w:rsidRPr="00422B83">
        <w:t>005</w:t>
      </w:r>
      <w:r>
        <w:t xml:space="preserve">, Sodena ha financiado </w:t>
      </w:r>
      <w:r w:rsidRPr="00422B83">
        <w:t>la totalidad de las inversiones, la amortización de la deuda bancaria y sus correspondientes intereses, así como el déficit de explotación. Todo ello bajo la fórmula de pr</w:t>
      </w:r>
      <w:r>
        <w:t>éstamos de Sodena a Parquenasa. A</w:t>
      </w:r>
      <w:r w:rsidRPr="00422B83">
        <w:t xml:space="preserve">nualmente se decide qué parte de estos tienen el </w:t>
      </w:r>
      <w:r w:rsidRPr="00AA16A6">
        <w:t>tratamiento de préstamos participativos.</w:t>
      </w:r>
    </w:p>
    <w:p w14:paraId="7E0CD6C4" w14:textId="77777777" w:rsidR="00F87E58" w:rsidRPr="00AA16A6" w:rsidRDefault="00F87E58" w:rsidP="00F87E58">
      <w:pPr>
        <w:pStyle w:val="texto"/>
      </w:pPr>
      <w:r w:rsidRPr="00AA16A6">
        <w:t xml:space="preserve">Parquenasa ha tenido desde su creación resultados </w:t>
      </w:r>
      <w:r w:rsidR="00FA7622" w:rsidRPr="00AA16A6">
        <w:t xml:space="preserve">negativos, </w:t>
      </w:r>
      <w:r w:rsidRPr="00AA16A6">
        <w:t xml:space="preserve">y </w:t>
      </w:r>
      <w:r w:rsidR="00FA7622" w:rsidRPr="00AA16A6">
        <w:t>desde su tercer ejercicio de actividad</w:t>
      </w:r>
      <w:r w:rsidR="00112FA0">
        <w:t xml:space="preserve"> tiene</w:t>
      </w:r>
      <w:r w:rsidR="00FA7622" w:rsidRPr="00AA16A6">
        <w:t xml:space="preserve"> </w:t>
      </w:r>
      <w:r w:rsidRPr="00AA16A6">
        <w:t>fondos propios negativos</w:t>
      </w:r>
      <w:r w:rsidR="00112FA0">
        <w:t>. No obstante, co</w:t>
      </w:r>
      <w:r w:rsidRPr="00AA16A6">
        <w:t>nforme a la normativa vigente</w:t>
      </w:r>
      <w:r w:rsidRPr="00AA16A6">
        <w:rPr>
          <w:rStyle w:val="Refdenotaalpie"/>
          <w:rFonts w:eastAsia="Calibri"/>
          <w:szCs w:val="26"/>
        </w:rPr>
        <w:footnoteReference w:id="9"/>
      </w:r>
      <w:r w:rsidRPr="00AA16A6">
        <w:t>, los préstamos participativos se consideran parte del patrimonio neto de la sociedad a los efectos de reducción de capital y liquidación de sociedades previstas en la legislación mercantil. Por lo tanto</w:t>
      </w:r>
      <w:r w:rsidR="00112FA0">
        <w:t>,</w:t>
      </w:r>
      <w:r w:rsidRPr="00AA16A6">
        <w:t xml:space="preserve"> la sociedad está </w:t>
      </w:r>
      <w:r w:rsidR="00474317" w:rsidRPr="00AA16A6">
        <w:t>formalmente</w:t>
      </w:r>
      <w:r w:rsidR="00AC4C57" w:rsidRPr="00AA16A6">
        <w:t xml:space="preserve"> y a efectos contables, </w:t>
      </w:r>
      <w:r w:rsidRPr="00AA16A6">
        <w:t>en situación de equilibrio patrimonial y no incurre en los supuestos de disolución obligatoria previstos legalmente</w:t>
      </w:r>
      <w:r w:rsidRPr="00AA16A6">
        <w:rPr>
          <w:rStyle w:val="Refdenotaalpie"/>
          <w:rFonts w:eastAsia="Calibri"/>
          <w:szCs w:val="26"/>
        </w:rPr>
        <w:footnoteReference w:id="10"/>
      </w:r>
      <w:r w:rsidRPr="00AA16A6">
        <w:t xml:space="preserve">. </w:t>
      </w:r>
    </w:p>
    <w:p w14:paraId="4D981444" w14:textId="77777777" w:rsidR="00F87E58" w:rsidRDefault="00F87E58" w:rsidP="00F87E58">
      <w:pPr>
        <w:pStyle w:val="texto"/>
      </w:pPr>
      <w:r w:rsidRPr="00686962">
        <w:t xml:space="preserve">Para </w:t>
      </w:r>
      <w:r>
        <w:t>Sodena, l</w:t>
      </w:r>
      <w:r w:rsidRPr="00422B83">
        <w:t xml:space="preserve">a razón de dicho apoyo financiero está basada en </w:t>
      </w:r>
      <w:r>
        <w:t xml:space="preserve">que Senda Viva es </w:t>
      </w:r>
      <w:r w:rsidRPr="00422B83">
        <w:t>un pr</w:t>
      </w:r>
      <w:r>
        <w:t xml:space="preserve">oyecto que, </w:t>
      </w:r>
      <w:r w:rsidRPr="00422B83">
        <w:t xml:space="preserve">desde el punto de vista socioeconómico, </w:t>
      </w:r>
      <w:r>
        <w:t xml:space="preserve">tiene </w:t>
      </w:r>
      <w:r w:rsidRPr="00422B83">
        <w:t xml:space="preserve">impacto positivo y </w:t>
      </w:r>
      <w:r>
        <w:t xml:space="preserve">es </w:t>
      </w:r>
      <w:r w:rsidRPr="00422B83">
        <w:t xml:space="preserve">rentable. </w:t>
      </w:r>
      <w:r>
        <w:t>Los resultados que arrojan los estudios de impacto s</w:t>
      </w:r>
      <w:r w:rsidRPr="00422B83">
        <w:t>ocioeconómico</w:t>
      </w:r>
      <w:r>
        <w:rPr>
          <w:rStyle w:val="Refdenotaalpie"/>
          <w:rFonts w:eastAsia="Calibri"/>
          <w:szCs w:val="26"/>
        </w:rPr>
        <w:footnoteReference w:id="11"/>
      </w:r>
      <w:r w:rsidR="00112FA0">
        <w:t>,</w:t>
      </w:r>
      <w:r w:rsidRPr="00422B83">
        <w:t xml:space="preserve"> </w:t>
      </w:r>
      <w:r w:rsidR="00112FA0">
        <w:t>realizados</w:t>
      </w:r>
      <w:r w:rsidRPr="00422B83">
        <w:t xml:space="preserve"> de manera regular desde 2007, indican que Sendaviva ha ido </w:t>
      </w:r>
      <w:r w:rsidRPr="007E62F6">
        <w:t>creciendo</w:t>
      </w:r>
      <w:r w:rsidRPr="00422B83">
        <w:t xml:space="preserve"> en impacto y que su valor socioeconómico</w:t>
      </w:r>
      <w:r>
        <w:t>,</w:t>
      </w:r>
      <w:r w:rsidRPr="00422B83">
        <w:t xml:space="preserve"> </w:t>
      </w:r>
      <w:r>
        <w:t xml:space="preserve">según Sodena, </w:t>
      </w:r>
      <w:r w:rsidRPr="00422B83">
        <w:t>justifica la inv</w:t>
      </w:r>
      <w:r>
        <w:t xml:space="preserve">ersión realizada. </w:t>
      </w:r>
    </w:p>
    <w:p w14:paraId="5E4E404E" w14:textId="77777777" w:rsidR="00F87E58" w:rsidRPr="00B946F5" w:rsidRDefault="004663EF" w:rsidP="00F87E58">
      <w:pPr>
        <w:pStyle w:val="texto"/>
        <w:rPr>
          <w:szCs w:val="26"/>
        </w:rPr>
      </w:pPr>
      <w:r w:rsidRPr="00B946F5">
        <w:rPr>
          <w:szCs w:val="26"/>
        </w:rPr>
        <w:t>En el siguiente cuadro se refleja las aportaciones financieras de Sodena a Parquenasa</w:t>
      </w:r>
    </w:p>
    <w:p w14:paraId="7B05D4BD" w14:textId="77777777" w:rsidR="00F87E58" w:rsidRDefault="00F87E58" w:rsidP="00F87E58">
      <w:pPr>
        <w:pStyle w:val="texto"/>
      </w:pPr>
    </w:p>
    <w:p w14:paraId="29BF3FC9" w14:textId="77777777" w:rsidR="00F87E58" w:rsidRDefault="00F87E58" w:rsidP="00F87E58">
      <w:pPr>
        <w:pStyle w:val="texto"/>
      </w:pPr>
    </w:p>
    <w:p w14:paraId="28FED5DE" w14:textId="77777777" w:rsidR="00F87E58" w:rsidRDefault="00F87E58" w:rsidP="00F87E58">
      <w:pPr>
        <w:pStyle w:val="texto"/>
        <w:sectPr w:rsidR="00F87E58" w:rsidSect="00F87E58">
          <w:headerReference w:type="even" r:id="rId15"/>
          <w:footerReference w:type="default" r:id="rId16"/>
          <w:type w:val="oddPage"/>
          <w:pgSz w:w="11907" w:h="16840" w:code="9"/>
          <w:pgMar w:top="2109" w:right="1559" w:bottom="1644" w:left="1985" w:header="369" w:footer="136" w:gutter="0"/>
          <w:pgNumType w:start="3"/>
          <w:cols w:space="720"/>
          <w:docGrid w:linePitch="360"/>
        </w:sectPr>
      </w:pPr>
    </w:p>
    <w:tbl>
      <w:tblPr>
        <w:tblW w:w="15505" w:type="dxa"/>
        <w:jc w:val="center"/>
        <w:tblCellMar>
          <w:left w:w="70" w:type="dxa"/>
          <w:right w:w="70" w:type="dxa"/>
        </w:tblCellMar>
        <w:tblLook w:val="04A0" w:firstRow="1" w:lastRow="0" w:firstColumn="1" w:lastColumn="0" w:noHBand="0" w:noVBand="1"/>
      </w:tblPr>
      <w:tblGrid>
        <w:gridCol w:w="548"/>
        <w:gridCol w:w="837"/>
        <w:gridCol w:w="976"/>
        <w:gridCol w:w="861"/>
        <w:gridCol w:w="1233"/>
        <w:gridCol w:w="1395"/>
        <w:gridCol w:w="976"/>
        <w:gridCol w:w="1257"/>
        <w:gridCol w:w="1982"/>
        <w:gridCol w:w="1395"/>
        <w:gridCol w:w="1395"/>
        <w:gridCol w:w="1255"/>
        <w:gridCol w:w="1395"/>
      </w:tblGrid>
      <w:tr w:rsidR="00F87E58" w:rsidRPr="002B636D" w14:paraId="1F081AF4" w14:textId="77777777" w:rsidTr="00321B53">
        <w:trPr>
          <w:trHeight w:val="252"/>
          <w:jc w:val="center"/>
        </w:trPr>
        <w:tc>
          <w:tcPr>
            <w:tcW w:w="548" w:type="dxa"/>
            <w:tcBorders>
              <w:top w:val="single" w:sz="4" w:space="0" w:color="auto"/>
              <w:bottom w:val="single" w:sz="4" w:space="0" w:color="auto"/>
            </w:tcBorders>
            <w:shd w:val="clear" w:color="000000" w:fill="BDD7EE"/>
            <w:noWrap/>
            <w:vAlign w:val="bottom"/>
            <w:hideMark/>
          </w:tcPr>
          <w:p w14:paraId="535F62F0" w14:textId="77777777" w:rsidR="00F87E58" w:rsidRPr="002B636D" w:rsidRDefault="00F87E58" w:rsidP="00F87E58">
            <w:pPr>
              <w:pStyle w:val="cuadroCabe"/>
              <w:jc w:val="left"/>
              <w:rPr>
                <w:sz w:val="12"/>
                <w:szCs w:val="12"/>
              </w:rPr>
            </w:pPr>
            <w:r w:rsidRPr="002B636D">
              <w:rPr>
                <w:sz w:val="12"/>
                <w:szCs w:val="12"/>
              </w:rPr>
              <w:lastRenderedPageBreak/>
              <w:t> </w:t>
            </w:r>
          </w:p>
        </w:tc>
        <w:tc>
          <w:tcPr>
            <w:tcW w:w="837" w:type="dxa"/>
            <w:tcBorders>
              <w:top w:val="single" w:sz="4" w:space="0" w:color="auto"/>
              <w:bottom w:val="single" w:sz="4" w:space="0" w:color="auto"/>
            </w:tcBorders>
            <w:shd w:val="clear" w:color="000000" w:fill="BDD7EE"/>
            <w:noWrap/>
            <w:vAlign w:val="bottom"/>
            <w:hideMark/>
          </w:tcPr>
          <w:p w14:paraId="0D63815C" w14:textId="77777777" w:rsidR="00F87E58" w:rsidRPr="002B636D" w:rsidRDefault="00F87E58" w:rsidP="00F87E58">
            <w:pPr>
              <w:pStyle w:val="cuadroCabe"/>
              <w:jc w:val="right"/>
              <w:rPr>
                <w:sz w:val="12"/>
                <w:szCs w:val="12"/>
              </w:rPr>
            </w:pPr>
            <w:r w:rsidRPr="002B636D">
              <w:rPr>
                <w:sz w:val="12"/>
                <w:szCs w:val="12"/>
              </w:rPr>
              <w:t> </w:t>
            </w:r>
          </w:p>
        </w:tc>
        <w:tc>
          <w:tcPr>
            <w:tcW w:w="976" w:type="dxa"/>
            <w:tcBorders>
              <w:top w:val="single" w:sz="4" w:space="0" w:color="auto"/>
              <w:bottom w:val="single" w:sz="4" w:space="0" w:color="auto"/>
            </w:tcBorders>
            <w:shd w:val="clear" w:color="000000" w:fill="BDD7EE"/>
            <w:noWrap/>
            <w:vAlign w:val="center"/>
            <w:hideMark/>
          </w:tcPr>
          <w:p w14:paraId="3D6656AD" w14:textId="77777777" w:rsidR="00F87E58" w:rsidRPr="002B636D" w:rsidRDefault="00F87E58" w:rsidP="00F87E58">
            <w:pPr>
              <w:pStyle w:val="cuadroCabe"/>
              <w:jc w:val="right"/>
              <w:rPr>
                <w:sz w:val="12"/>
                <w:szCs w:val="12"/>
              </w:rPr>
            </w:pPr>
            <w:r w:rsidRPr="002B636D">
              <w:rPr>
                <w:sz w:val="12"/>
                <w:szCs w:val="12"/>
              </w:rPr>
              <w:t> </w:t>
            </w:r>
          </w:p>
        </w:tc>
        <w:tc>
          <w:tcPr>
            <w:tcW w:w="861" w:type="dxa"/>
            <w:tcBorders>
              <w:top w:val="single" w:sz="4" w:space="0" w:color="auto"/>
              <w:bottom w:val="single" w:sz="4" w:space="0" w:color="auto"/>
              <w:right w:val="single" w:sz="2" w:space="0" w:color="auto"/>
            </w:tcBorders>
            <w:shd w:val="clear" w:color="000000" w:fill="BDD7EE"/>
            <w:noWrap/>
            <w:vAlign w:val="bottom"/>
            <w:hideMark/>
          </w:tcPr>
          <w:p w14:paraId="1A1803CA" w14:textId="77777777" w:rsidR="00F87E58" w:rsidRPr="002B636D" w:rsidRDefault="00F87E58" w:rsidP="00F87E58">
            <w:pPr>
              <w:pStyle w:val="cuadroCabe"/>
              <w:jc w:val="right"/>
              <w:rPr>
                <w:sz w:val="12"/>
                <w:szCs w:val="12"/>
              </w:rPr>
            </w:pPr>
            <w:r w:rsidRPr="002B636D">
              <w:rPr>
                <w:sz w:val="12"/>
                <w:szCs w:val="12"/>
              </w:rPr>
              <w:t> </w:t>
            </w:r>
          </w:p>
        </w:tc>
        <w:tc>
          <w:tcPr>
            <w:tcW w:w="1233"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2656272A"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5229345F" w14:textId="77777777" w:rsidR="00F87E58" w:rsidRPr="002B636D" w:rsidRDefault="00F87E58" w:rsidP="00F87E58">
            <w:pPr>
              <w:pStyle w:val="cuadroCabe"/>
              <w:jc w:val="right"/>
              <w:rPr>
                <w:sz w:val="12"/>
                <w:szCs w:val="12"/>
              </w:rPr>
            </w:pPr>
            <w:r w:rsidRPr="002B636D">
              <w:rPr>
                <w:sz w:val="12"/>
                <w:szCs w:val="12"/>
              </w:rPr>
              <w:t>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1CB109C" w14:textId="77777777" w:rsidR="00F87E58" w:rsidRPr="002B636D" w:rsidRDefault="00F87E58" w:rsidP="00F87E58">
            <w:pPr>
              <w:pStyle w:val="cuadroCabe"/>
              <w:jc w:val="right"/>
              <w:rPr>
                <w:sz w:val="12"/>
                <w:szCs w:val="12"/>
              </w:rPr>
            </w:pPr>
            <w:r w:rsidRPr="002B636D">
              <w:rPr>
                <w:sz w:val="12"/>
                <w:szCs w:val="12"/>
              </w:rPr>
              <w:t>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3648D9F5" w14:textId="77777777" w:rsidR="00F87E58" w:rsidRPr="002B636D" w:rsidRDefault="00F87E58" w:rsidP="00F87E58">
            <w:pPr>
              <w:pStyle w:val="cuadroCabe"/>
              <w:jc w:val="right"/>
              <w:rPr>
                <w:sz w:val="12"/>
                <w:szCs w:val="12"/>
              </w:rPr>
            </w:pPr>
            <w:r w:rsidRPr="002B636D">
              <w:rPr>
                <w:sz w:val="12"/>
                <w:szCs w:val="12"/>
              </w:rPr>
              <w:t> </w:t>
            </w:r>
          </w:p>
        </w:tc>
        <w:tc>
          <w:tcPr>
            <w:tcW w:w="1982"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23DE6911" w14:textId="77777777" w:rsidR="00F87E58" w:rsidRPr="002B636D" w:rsidRDefault="00F87E58" w:rsidP="00F87E58">
            <w:pPr>
              <w:pStyle w:val="cuadroCabe"/>
              <w:ind w:left="-73"/>
              <w:jc w:val="right"/>
              <w:rPr>
                <w:b/>
                <w:bCs/>
                <w:sz w:val="12"/>
                <w:szCs w:val="12"/>
              </w:rPr>
            </w:pPr>
            <w:r w:rsidRPr="002B636D">
              <w:rPr>
                <w:b/>
                <w:bCs/>
                <w:sz w:val="12"/>
                <w:szCs w:val="12"/>
              </w:rPr>
              <w:t>DESEMBOLSO</w:t>
            </w:r>
            <w:r>
              <w:rPr>
                <w:b/>
                <w:bCs/>
                <w:sz w:val="12"/>
                <w:szCs w:val="12"/>
              </w:rPr>
              <w:t xml:space="preserve"> </w:t>
            </w:r>
            <w:r w:rsidRPr="002B636D">
              <w:rPr>
                <w:b/>
                <w:bCs/>
                <w:sz w:val="12"/>
                <w:szCs w:val="12"/>
              </w:rPr>
              <w:t xml:space="preserve">TOTAL ANUAL </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26717B95"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single" w:sz="2" w:space="0" w:color="auto"/>
              <w:bottom w:val="single" w:sz="4" w:space="0" w:color="auto"/>
            </w:tcBorders>
            <w:shd w:val="clear" w:color="000000" w:fill="BDD7EE"/>
            <w:noWrap/>
            <w:vAlign w:val="bottom"/>
            <w:hideMark/>
          </w:tcPr>
          <w:p w14:paraId="6A9EC4C4" w14:textId="77777777" w:rsidR="00F87E58" w:rsidRPr="002B636D" w:rsidRDefault="00F87E58" w:rsidP="00F87E58">
            <w:pPr>
              <w:pStyle w:val="cuadroCabe"/>
              <w:jc w:val="right"/>
              <w:rPr>
                <w:sz w:val="12"/>
                <w:szCs w:val="12"/>
              </w:rPr>
            </w:pPr>
            <w:r w:rsidRPr="002B636D">
              <w:rPr>
                <w:sz w:val="12"/>
                <w:szCs w:val="12"/>
              </w:rPr>
              <w:t> </w:t>
            </w:r>
          </w:p>
        </w:tc>
        <w:tc>
          <w:tcPr>
            <w:tcW w:w="1255" w:type="dxa"/>
            <w:tcBorders>
              <w:top w:val="single" w:sz="4" w:space="0" w:color="auto"/>
              <w:bottom w:val="single" w:sz="4" w:space="0" w:color="auto"/>
            </w:tcBorders>
            <w:shd w:val="clear" w:color="000000" w:fill="BDD7EE"/>
            <w:noWrap/>
            <w:vAlign w:val="bottom"/>
            <w:hideMark/>
          </w:tcPr>
          <w:p w14:paraId="67EF7189"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bottom w:val="single" w:sz="4" w:space="0" w:color="auto"/>
            </w:tcBorders>
            <w:shd w:val="clear" w:color="000000" w:fill="BDD7EE"/>
            <w:noWrap/>
            <w:vAlign w:val="bottom"/>
            <w:hideMark/>
          </w:tcPr>
          <w:p w14:paraId="67E388E8" w14:textId="77777777" w:rsidR="00F87E58" w:rsidRPr="002B636D" w:rsidRDefault="00F87E58" w:rsidP="00F87E58">
            <w:pPr>
              <w:pStyle w:val="cuadroCabe"/>
              <w:jc w:val="right"/>
              <w:rPr>
                <w:sz w:val="12"/>
                <w:szCs w:val="12"/>
              </w:rPr>
            </w:pPr>
            <w:r w:rsidRPr="002B636D">
              <w:rPr>
                <w:sz w:val="12"/>
                <w:szCs w:val="12"/>
              </w:rPr>
              <w:t> </w:t>
            </w:r>
          </w:p>
        </w:tc>
      </w:tr>
      <w:tr w:rsidR="00F87E58" w:rsidRPr="002B636D" w14:paraId="211543A0" w14:textId="77777777" w:rsidTr="00321B53">
        <w:trPr>
          <w:trHeight w:val="252"/>
          <w:jc w:val="center"/>
        </w:trPr>
        <w:tc>
          <w:tcPr>
            <w:tcW w:w="548" w:type="dxa"/>
            <w:tcBorders>
              <w:top w:val="single" w:sz="4" w:space="0" w:color="auto"/>
              <w:bottom w:val="single" w:sz="4" w:space="0" w:color="auto"/>
            </w:tcBorders>
            <w:shd w:val="clear" w:color="000000" w:fill="BDD7EE"/>
            <w:noWrap/>
            <w:vAlign w:val="bottom"/>
            <w:hideMark/>
          </w:tcPr>
          <w:p w14:paraId="14FEC0FC" w14:textId="77777777" w:rsidR="00F87E58" w:rsidRPr="002B636D" w:rsidRDefault="00F87E58" w:rsidP="00F87E58">
            <w:pPr>
              <w:pStyle w:val="cuadroCabe"/>
              <w:jc w:val="left"/>
              <w:rPr>
                <w:sz w:val="12"/>
                <w:szCs w:val="12"/>
              </w:rPr>
            </w:pPr>
            <w:r w:rsidRPr="002B636D">
              <w:rPr>
                <w:sz w:val="12"/>
                <w:szCs w:val="12"/>
              </w:rPr>
              <w:t> </w:t>
            </w:r>
          </w:p>
        </w:tc>
        <w:tc>
          <w:tcPr>
            <w:tcW w:w="837" w:type="dxa"/>
            <w:tcBorders>
              <w:top w:val="single" w:sz="4" w:space="0" w:color="auto"/>
              <w:bottom w:val="single" w:sz="4" w:space="0" w:color="auto"/>
            </w:tcBorders>
            <w:shd w:val="clear" w:color="000000" w:fill="BDD7EE"/>
            <w:noWrap/>
            <w:vAlign w:val="bottom"/>
            <w:hideMark/>
          </w:tcPr>
          <w:p w14:paraId="0C3E3BD2" w14:textId="77777777" w:rsidR="00F87E58" w:rsidRPr="002B636D" w:rsidRDefault="00F87E58" w:rsidP="00F87E58">
            <w:pPr>
              <w:pStyle w:val="cuadroCabe"/>
              <w:jc w:val="right"/>
              <w:rPr>
                <w:sz w:val="12"/>
                <w:szCs w:val="12"/>
              </w:rPr>
            </w:pPr>
            <w:r w:rsidRPr="002B636D">
              <w:rPr>
                <w:sz w:val="12"/>
                <w:szCs w:val="12"/>
              </w:rPr>
              <w:t> </w:t>
            </w:r>
          </w:p>
        </w:tc>
        <w:tc>
          <w:tcPr>
            <w:tcW w:w="976" w:type="dxa"/>
            <w:tcBorders>
              <w:top w:val="single" w:sz="4" w:space="0" w:color="auto"/>
              <w:bottom w:val="single" w:sz="4" w:space="0" w:color="auto"/>
            </w:tcBorders>
            <w:shd w:val="clear" w:color="000000" w:fill="BDD7EE"/>
            <w:vAlign w:val="bottom"/>
            <w:hideMark/>
          </w:tcPr>
          <w:p w14:paraId="4A89AA93" w14:textId="77777777" w:rsidR="00F87E58" w:rsidRPr="002B636D" w:rsidRDefault="00F87E58" w:rsidP="00F87E58">
            <w:pPr>
              <w:pStyle w:val="cuadroCabe"/>
              <w:jc w:val="right"/>
              <w:rPr>
                <w:sz w:val="12"/>
                <w:szCs w:val="12"/>
              </w:rPr>
            </w:pPr>
            <w:r w:rsidRPr="002B636D">
              <w:rPr>
                <w:sz w:val="12"/>
                <w:szCs w:val="12"/>
              </w:rPr>
              <w:t> </w:t>
            </w:r>
          </w:p>
        </w:tc>
        <w:tc>
          <w:tcPr>
            <w:tcW w:w="861" w:type="dxa"/>
            <w:tcBorders>
              <w:top w:val="single" w:sz="4" w:space="0" w:color="auto"/>
              <w:bottom w:val="single" w:sz="4" w:space="0" w:color="auto"/>
              <w:right w:val="single" w:sz="2" w:space="0" w:color="auto"/>
            </w:tcBorders>
            <w:shd w:val="clear" w:color="000000" w:fill="BDD7EE"/>
            <w:vAlign w:val="bottom"/>
            <w:hideMark/>
          </w:tcPr>
          <w:p w14:paraId="1E61A797" w14:textId="77777777" w:rsidR="00F87E58" w:rsidRPr="002B636D" w:rsidRDefault="00F87E58" w:rsidP="00F87E58">
            <w:pPr>
              <w:pStyle w:val="cuadroCabe"/>
              <w:jc w:val="right"/>
              <w:rPr>
                <w:sz w:val="12"/>
                <w:szCs w:val="12"/>
              </w:rPr>
            </w:pPr>
            <w:r w:rsidRPr="002B636D">
              <w:rPr>
                <w:sz w:val="12"/>
                <w:szCs w:val="12"/>
              </w:rPr>
              <w:t> </w:t>
            </w:r>
          </w:p>
        </w:tc>
        <w:tc>
          <w:tcPr>
            <w:tcW w:w="1233" w:type="dxa"/>
            <w:tcBorders>
              <w:top w:val="single" w:sz="4" w:space="0" w:color="auto"/>
              <w:left w:val="single" w:sz="2" w:space="0" w:color="auto"/>
              <w:bottom w:val="single" w:sz="4" w:space="0" w:color="auto"/>
              <w:right w:val="single" w:sz="2" w:space="0" w:color="auto"/>
            </w:tcBorders>
            <w:shd w:val="clear" w:color="000000" w:fill="BDD7EE"/>
            <w:vAlign w:val="bottom"/>
            <w:hideMark/>
          </w:tcPr>
          <w:p w14:paraId="23670BB2"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single" w:sz="2" w:space="0" w:color="auto"/>
              <w:bottom w:val="single" w:sz="4" w:space="0" w:color="auto"/>
              <w:right w:val="single" w:sz="2" w:space="0" w:color="auto"/>
            </w:tcBorders>
            <w:shd w:val="clear" w:color="000000" w:fill="BDD7EE"/>
            <w:vAlign w:val="bottom"/>
            <w:hideMark/>
          </w:tcPr>
          <w:p w14:paraId="43387C36" w14:textId="77777777" w:rsidR="00F87E58" w:rsidRPr="002B636D" w:rsidRDefault="00F87E58" w:rsidP="00F87E58">
            <w:pPr>
              <w:pStyle w:val="cuadroCabe"/>
              <w:jc w:val="right"/>
              <w:rPr>
                <w:sz w:val="12"/>
                <w:szCs w:val="12"/>
              </w:rPr>
            </w:pPr>
            <w:r w:rsidRPr="002B636D">
              <w:rPr>
                <w:sz w:val="12"/>
                <w:szCs w:val="12"/>
              </w:rPr>
              <w:t> </w:t>
            </w:r>
          </w:p>
        </w:tc>
        <w:tc>
          <w:tcPr>
            <w:tcW w:w="976" w:type="dxa"/>
            <w:tcBorders>
              <w:top w:val="single" w:sz="4" w:space="0" w:color="auto"/>
              <w:left w:val="single" w:sz="2" w:space="0" w:color="auto"/>
              <w:bottom w:val="single" w:sz="4" w:space="0" w:color="auto"/>
              <w:right w:val="single" w:sz="2" w:space="0" w:color="auto"/>
            </w:tcBorders>
            <w:shd w:val="clear" w:color="000000" w:fill="BDD7EE"/>
            <w:vAlign w:val="bottom"/>
            <w:hideMark/>
          </w:tcPr>
          <w:p w14:paraId="69020792" w14:textId="77777777" w:rsidR="00F87E58" w:rsidRPr="002B636D" w:rsidRDefault="00F87E58" w:rsidP="00F87E58">
            <w:pPr>
              <w:pStyle w:val="cuadroCabe"/>
              <w:jc w:val="right"/>
              <w:rPr>
                <w:sz w:val="12"/>
                <w:szCs w:val="12"/>
              </w:rPr>
            </w:pPr>
            <w:r w:rsidRPr="002B636D">
              <w:rPr>
                <w:sz w:val="12"/>
                <w:szCs w:val="12"/>
              </w:rPr>
              <w:t> </w:t>
            </w:r>
          </w:p>
        </w:tc>
        <w:tc>
          <w:tcPr>
            <w:tcW w:w="1257" w:type="dxa"/>
            <w:tcBorders>
              <w:top w:val="single" w:sz="4" w:space="0" w:color="auto"/>
              <w:left w:val="single" w:sz="2" w:space="0" w:color="auto"/>
              <w:bottom w:val="single" w:sz="4" w:space="0" w:color="auto"/>
              <w:right w:val="single" w:sz="2" w:space="0" w:color="auto"/>
            </w:tcBorders>
            <w:shd w:val="clear" w:color="000000" w:fill="BDD7EE"/>
            <w:vAlign w:val="bottom"/>
            <w:hideMark/>
          </w:tcPr>
          <w:p w14:paraId="0DE951B8" w14:textId="77777777" w:rsidR="00F87E58" w:rsidRPr="002B636D" w:rsidRDefault="00F87E58" w:rsidP="00F87E58">
            <w:pPr>
              <w:pStyle w:val="cuadroCabe"/>
              <w:jc w:val="right"/>
              <w:rPr>
                <w:sz w:val="12"/>
                <w:szCs w:val="12"/>
              </w:rPr>
            </w:pPr>
            <w:r w:rsidRPr="002B636D">
              <w:rPr>
                <w:sz w:val="12"/>
                <w:szCs w:val="12"/>
              </w:rPr>
              <w:t> </w:t>
            </w:r>
          </w:p>
        </w:tc>
        <w:tc>
          <w:tcPr>
            <w:tcW w:w="1982"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4AF0C5FA" w14:textId="77777777" w:rsidR="00F87E58" w:rsidRPr="002B636D" w:rsidRDefault="00F87E58" w:rsidP="00F87E58">
            <w:pPr>
              <w:pStyle w:val="cuadroCabe"/>
              <w:jc w:val="right"/>
              <w:rPr>
                <w:b/>
                <w:bCs/>
                <w:sz w:val="12"/>
                <w:szCs w:val="12"/>
              </w:rPr>
            </w:pPr>
            <w:r w:rsidRPr="002B636D">
              <w:rPr>
                <w:b/>
                <w:bCs/>
                <w:sz w:val="12"/>
                <w:szCs w:val="12"/>
              </w:rPr>
              <w:t>PARTICIPACION</w:t>
            </w:r>
          </w:p>
        </w:tc>
        <w:tc>
          <w:tcPr>
            <w:tcW w:w="1395"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11E7E243" w14:textId="77777777" w:rsidR="00F87E58" w:rsidRPr="002B636D" w:rsidRDefault="00F87E58" w:rsidP="00F87E58">
            <w:pPr>
              <w:pStyle w:val="cuadroCabe"/>
              <w:jc w:val="right"/>
              <w:rPr>
                <w:b/>
                <w:bCs/>
                <w:sz w:val="12"/>
                <w:szCs w:val="12"/>
              </w:rPr>
            </w:pPr>
            <w:r w:rsidRPr="002B636D">
              <w:rPr>
                <w:b/>
                <w:bCs/>
                <w:sz w:val="12"/>
                <w:szCs w:val="12"/>
              </w:rPr>
              <w:t> </w:t>
            </w:r>
          </w:p>
        </w:tc>
        <w:tc>
          <w:tcPr>
            <w:tcW w:w="1395" w:type="dxa"/>
            <w:tcBorders>
              <w:top w:val="single" w:sz="4" w:space="0" w:color="auto"/>
              <w:left w:val="single" w:sz="2" w:space="0" w:color="auto"/>
              <w:bottom w:val="single" w:sz="4" w:space="0" w:color="auto"/>
            </w:tcBorders>
            <w:shd w:val="clear" w:color="000000" w:fill="BDD7EE"/>
            <w:vAlign w:val="center"/>
            <w:hideMark/>
          </w:tcPr>
          <w:p w14:paraId="07DFE109" w14:textId="77777777" w:rsidR="00F87E58" w:rsidRPr="002B636D" w:rsidRDefault="00F87E58" w:rsidP="00F87E58">
            <w:pPr>
              <w:pStyle w:val="cuadroCabe"/>
              <w:jc w:val="right"/>
              <w:rPr>
                <w:b/>
                <w:bCs/>
                <w:sz w:val="12"/>
                <w:szCs w:val="12"/>
              </w:rPr>
            </w:pPr>
            <w:r w:rsidRPr="002B636D">
              <w:rPr>
                <w:b/>
                <w:bCs/>
                <w:sz w:val="12"/>
                <w:szCs w:val="12"/>
              </w:rPr>
              <w:t> </w:t>
            </w:r>
          </w:p>
        </w:tc>
        <w:tc>
          <w:tcPr>
            <w:tcW w:w="1255" w:type="dxa"/>
            <w:tcBorders>
              <w:top w:val="single" w:sz="4" w:space="0" w:color="auto"/>
              <w:bottom w:val="single" w:sz="4" w:space="0" w:color="auto"/>
            </w:tcBorders>
            <w:shd w:val="clear" w:color="000000" w:fill="BDD7EE"/>
            <w:vAlign w:val="bottom"/>
            <w:hideMark/>
          </w:tcPr>
          <w:p w14:paraId="32C8CEB1" w14:textId="77777777" w:rsidR="00F87E58" w:rsidRPr="002B636D" w:rsidRDefault="00F87E58" w:rsidP="00F87E58">
            <w:pPr>
              <w:pStyle w:val="cuadroCabe"/>
              <w:jc w:val="right"/>
              <w:rPr>
                <w:b/>
                <w:bCs/>
                <w:sz w:val="12"/>
                <w:szCs w:val="12"/>
              </w:rPr>
            </w:pPr>
            <w:r w:rsidRPr="002B636D">
              <w:rPr>
                <w:b/>
                <w:bCs/>
                <w:sz w:val="12"/>
                <w:szCs w:val="12"/>
              </w:rPr>
              <w:t> </w:t>
            </w:r>
          </w:p>
        </w:tc>
        <w:tc>
          <w:tcPr>
            <w:tcW w:w="1395" w:type="dxa"/>
            <w:tcBorders>
              <w:top w:val="single" w:sz="4" w:space="0" w:color="auto"/>
              <w:bottom w:val="single" w:sz="4" w:space="0" w:color="auto"/>
            </w:tcBorders>
            <w:shd w:val="clear" w:color="000000" w:fill="BDD7EE"/>
            <w:vAlign w:val="bottom"/>
            <w:hideMark/>
          </w:tcPr>
          <w:p w14:paraId="5CAE2D86" w14:textId="77777777" w:rsidR="00F87E58" w:rsidRPr="002B636D" w:rsidRDefault="00F87E58" w:rsidP="00F87E58">
            <w:pPr>
              <w:pStyle w:val="cuadroCabe"/>
              <w:jc w:val="right"/>
              <w:rPr>
                <w:b/>
                <w:bCs/>
                <w:sz w:val="12"/>
                <w:szCs w:val="12"/>
              </w:rPr>
            </w:pPr>
            <w:r w:rsidRPr="002B636D">
              <w:rPr>
                <w:b/>
                <w:bCs/>
                <w:sz w:val="12"/>
                <w:szCs w:val="12"/>
              </w:rPr>
              <w:t> </w:t>
            </w:r>
          </w:p>
        </w:tc>
      </w:tr>
      <w:tr w:rsidR="00F87E58" w:rsidRPr="007B2311" w14:paraId="59784CC6" w14:textId="77777777" w:rsidTr="00321B53">
        <w:trPr>
          <w:trHeight w:val="198"/>
          <w:jc w:val="center"/>
        </w:trPr>
        <w:tc>
          <w:tcPr>
            <w:tcW w:w="548" w:type="dxa"/>
            <w:tcBorders>
              <w:top w:val="nil"/>
              <w:bottom w:val="single" w:sz="4" w:space="0" w:color="auto"/>
              <w:right w:val="single" w:sz="4" w:space="0" w:color="auto"/>
            </w:tcBorders>
            <w:shd w:val="clear" w:color="auto" w:fill="auto"/>
            <w:noWrap/>
            <w:vAlign w:val="center"/>
            <w:hideMark/>
          </w:tcPr>
          <w:p w14:paraId="47D011B7" w14:textId="77777777" w:rsidR="00F87E58" w:rsidRPr="007B2311" w:rsidRDefault="00F87E58" w:rsidP="00E118C0">
            <w:pPr>
              <w:pStyle w:val="cuatexto"/>
              <w:jc w:val="left"/>
              <w:rPr>
                <w:sz w:val="13"/>
                <w:szCs w:val="13"/>
              </w:rPr>
            </w:pPr>
            <w:r w:rsidRPr="007B2311">
              <w:rPr>
                <w:sz w:val="13"/>
                <w:szCs w:val="13"/>
              </w:rPr>
              <w:t>2001</w:t>
            </w:r>
          </w:p>
        </w:tc>
        <w:tc>
          <w:tcPr>
            <w:tcW w:w="837" w:type="dxa"/>
            <w:tcBorders>
              <w:top w:val="nil"/>
              <w:left w:val="nil"/>
              <w:bottom w:val="single" w:sz="4" w:space="0" w:color="auto"/>
              <w:right w:val="single" w:sz="4" w:space="0" w:color="auto"/>
            </w:tcBorders>
            <w:shd w:val="clear" w:color="auto" w:fill="auto"/>
            <w:noWrap/>
            <w:vAlign w:val="bottom"/>
            <w:hideMark/>
          </w:tcPr>
          <w:p w14:paraId="144462FD" w14:textId="77777777" w:rsidR="00F87E58" w:rsidRPr="007B2311" w:rsidRDefault="00F87E58" w:rsidP="00E118C0">
            <w:pPr>
              <w:pStyle w:val="cuatexto"/>
              <w:jc w:val="right"/>
              <w:rPr>
                <w:sz w:val="13"/>
                <w:szCs w:val="13"/>
              </w:rPr>
            </w:pPr>
            <w:r w:rsidRPr="007B2311">
              <w:rPr>
                <w:sz w:val="13"/>
                <w:szCs w:val="13"/>
              </w:rPr>
              <w:t> </w:t>
            </w:r>
          </w:p>
        </w:tc>
        <w:tc>
          <w:tcPr>
            <w:tcW w:w="976" w:type="dxa"/>
            <w:tcBorders>
              <w:top w:val="nil"/>
              <w:left w:val="nil"/>
              <w:bottom w:val="single" w:sz="4" w:space="0" w:color="auto"/>
              <w:right w:val="single" w:sz="4" w:space="0" w:color="auto"/>
            </w:tcBorders>
            <w:shd w:val="clear" w:color="auto" w:fill="auto"/>
            <w:noWrap/>
            <w:vAlign w:val="bottom"/>
            <w:hideMark/>
          </w:tcPr>
          <w:p w14:paraId="1E963EA8" w14:textId="77777777" w:rsidR="00F87E58" w:rsidRPr="007B2311" w:rsidRDefault="00F87E58" w:rsidP="00E118C0">
            <w:pPr>
              <w:pStyle w:val="cuatexto"/>
              <w:jc w:val="right"/>
              <w:rPr>
                <w:sz w:val="13"/>
                <w:szCs w:val="13"/>
              </w:rPr>
            </w:pPr>
            <w:r w:rsidRPr="007B2311">
              <w:rPr>
                <w:sz w:val="13"/>
                <w:szCs w:val="13"/>
              </w:rPr>
              <w:t> </w:t>
            </w:r>
          </w:p>
        </w:tc>
        <w:tc>
          <w:tcPr>
            <w:tcW w:w="861" w:type="dxa"/>
            <w:tcBorders>
              <w:top w:val="nil"/>
              <w:left w:val="nil"/>
              <w:bottom w:val="single" w:sz="4" w:space="0" w:color="auto"/>
              <w:right w:val="single" w:sz="2" w:space="0" w:color="auto"/>
            </w:tcBorders>
            <w:shd w:val="clear" w:color="auto" w:fill="auto"/>
            <w:noWrap/>
            <w:vAlign w:val="bottom"/>
            <w:hideMark/>
          </w:tcPr>
          <w:p w14:paraId="04EE7619" w14:textId="77777777" w:rsidR="00F87E58" w:rsidRPr="007B2311" w:rsidRDefault="00F87E58" w:rsidP="00E118C0">
            <w:pPr>
              <w:pStyle w:val="cuatexto"/>
              <w:jc w:val="right"/>
              <w:rPr>
                <w:sz w:val="13"/>
                <w:szCs w:val="13"/>
              </w:rPr>
            </w:pPr>
            <w:r w:rsidRPr="007B2311">
              <w:rPr>
                <w:sz w:val="13"/>
                <w:szCs w:val="13"/>
              </w:rPr>
              <w:t>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B354000"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4E50C33" w14:textId="77777777" w:rsidR="00F87E58" w:rsidRPr="007B2311" w:rsidRDefault="00F87E58" w:rsidP="00E118C0">
            <w:pPr>
              <w:pStyle w:val="cuatexto"/>
              <w:jc w:val="right"/>
              <w:rPr>
                <w:sz w:val="13"/>
                <w:szCs w:val="13"/>
              </w:rPr>
            </w:pPr>
            <w:r w:rsidRPr="007B2311">
              <w:rPr>
                <w:sz w:val="13"/>
                <w:szCs w:val="13"/>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7211F650" w14:textId="77777777" w:rsidR="00F87E58" w:rsidRPr="007B2311" w:rsidRDefault="00F87E58" w:rsidP="00E118C0">
            <w:pPr>
              <w:pStyle w:val="cuatexto"/>
              <w:jc w:val="right"/>
              <w:rPr>
                <w:sz w:val="13"/>
                <w:szCs w:val="13"/>
              </w:rPr>
            </w:pPr>
            <w:r w:rsidRPr="007B2311">
              <w:rPr>
                <w:sz w:val="13"/>
                <w:szCs w:val="13"/>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6234995" w14:textId="77777777" w:rsidR="00F87E58" w:rsidRPr="007B2311" w:rsidRDefault="00F87E58" w:rsidP="00E118C0">
            <w:pPr>
              <w:pStyle w:val="cuatexto"/>
              <w:jc w:val="right"/>
              <w:rPr>
                <w:sz w:val="13"/>
                <w:szCs w:val="13"/>
              </w:rPr>
            </w:pPr>
            <w:r w:rsidRPr="007B2311">
              <w:rPr>
                <w:sz w:val="13"/>
                <w:szCs w:val="13"/>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02CAAFFA" w14:textId="77777777" w:rsidR="00F87E58" w:rsidRPr="007B2311" w:rsidRDefault="00F87E58" w:rsidP="00E118C0">
            <w:pPr>
              <w:pStyle w:val="cuatexto"/>
              <w:jc w:val="right"/>
              <w:rPr>
                <w:b/>
                <w:bCs/>
                <w:sz w:val="13"/>
                <w:szCs w:val="13"/>
              </w:rPr>
            </w:pPr>
            <w:r w:rsidRPr="007B2311">
              <w:rPr>
                <w:b/>
                <w:bCs/>
                <w:sz w:val="13"/>
                <w:szCs w:val="13"/>
              </w:rPr>
              <w:t>1.377.000</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4CDAAF1"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nil"/>
              <w:left w:val="single" w:sz="2" w:space="0" w:color="auto"/>
              <w:bottom w:val="single" w:sz="4" w:space="0" w:color="auto"/>
              <w:right w:val="single" w:sz="4" w:space="0" w:color="auto"/>
            </w:tcBorders>
            <w:shd w:val="clear" w:color="auto" w:fill="auto"/>
            <w:noWrap/>
            <w:vAlign w:val="bottom"/>
            <w:hideMark/>
          </w:tcPr>
          <w:p w14:paraId="51239DF8" w14:textId="77777777" w:rsidR="00F87E58" w:rsidRPr="007B2311" w:rsidRDefault="00F87E58" w:rsidP="00E118C0">
            <w:pPr>
              <w:pStyle w:val="cuatexto"/>
              <w:jc w:val="right"/>
              <w:rPr>
                <w:sz w:val="13"/>
                <w:szCs w:val="13"/>
              </w:rPr>
            </w:pPr>
            <w:r w:rsidRPr="007B2311">
              <w:rPr>
                <w:sz w:val="13"/>
                <w:szCs w:val="13"/>
              </w:rPr>
              <w:t> </w:t>
            </w:r>
          </w:p>
        </w:tc>
        <w:tc>
          <w:tcPr>
            <w:tcW w:w="1255" w:type="dxa"/>
            <w:tcBorders>
              <w:top w:val="nil"/>
              <w:left w:val="nil"/>
              <w:bottom w:val="single" w:sz="4" w:space="0" w:color="auto"/>
              <w:right w:val="single" w:sz="4" w:space="0" w:color="auto"/>
            </w:tcBorders>
            <w:shd w:val="clear" w:color="auto" w:fill="auto"/>
            <w:noWrap/>
            <w:vAlign w:val="bottom"/>
            <w:hideMark/>
          </w:tcPr>
          <w:p w14:paraId="5E700956"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nil"/>
              <w:left w:val="nil"/>
              <w:bottom w:val="single" w:sz="4" w:space="0" w:color="auto"/>
            </w:tcBorders>
            <w:shd w:val="clear" w:color="auto" w:fill="auto"/>
            <w:noWrap/>
            <w:vAlign w:val="bottom"/>
            <w:hideMark/>
          </w:tcPr>
          <w:p w14:paraId="0B2304B5" w14:textId="77777777" w:rsidR="00F87E58" w:rsidRPr="007B2311" w:rsidRDefault="00F87E58" w:rsidP="00E118C0">
            <w:pPr>
              <w:pStyle w:val="cuatexto"/>
              <w:jc w:val="right"/>
              <w:rPr>
                <w:sz w:val="13"/>
                <w:szCs w:val="13"/>
              </w:rPr>
            </w:pPr>
            <w:r w:rsidRPr="007B2311">
              <w:rPr>
                <w:sz w:val="13"/>
                <w:szCs w:val="13"/>
              </w:rPr>
              <w:t> </w:t>
            </w:r>
          </w:p>
        </w:tc>
      </w:tr>
      <w:tr w:rsidR="00F87E58" w:rsidRPr="007B2311" w14:paraId="64A0D831" w14:textId="77777777" w:rsidTr="00321B53">
        <w:trPr>
          <w:trHeight w:val="198"/>
          <w:jc w:val="center"/>
        </w:trPr>
        <w:tc>
          <w:tcPr>
            <w:tcW w:w="548" w:type="dxa"/>
            <w:tcBorders>
              <w:top w:val="nil"/>
              <w:bottom w:val="single" w:sz="4" w:space="0" w:color="auto"/>
              <w:right w:val="single" w:sz="4" w:space="0" w:color="auto"/>
            </w:tcBorders>
            <w:shd w:val="clear" w:color="auto" w:fill="auto"/>
            <w:noWrap/>
            <w:vAlign w:val="center"/>
            <w:hideMark/>
          </w:tcPr>
          <w:p w14:paraId="77262A88" w14:textId="77777777" w:rsidR="00F87E58" w:rsidRPr="007B2311" w:rsidRDefault="00F87E58" w:rsidP="00E118C0">
            <w:pPr>
              <w:pStyle w:val="cuatexto"/>
              <w:jc w:val="left"/>
              <w:rPr>
                <w:sz w:val="13"/>
                <w:szCs w:val="13"/>
              </w:rPr>
            </w:pPr>
            <w:r w:rsidRPr="007B2311">
              <w:rPr>
                <w:sz w:val="13"/>
                <w:szCs w:val="13"/>
              </w:rPr>
              <w:t>2002</w:t>
            </w:r>
          </w:p>
        </w:tc>
        <w:tc>
          <w:tcPr>
            <w:tcW w:w="837" w:type="dxa"/>
            <w:tcBorders>
              <w:top w:val="nil"/>
              <w:left w:val="nil"/>
              <w:bottom w:val="single" w:sz="4" w:space="0" w:color="auto"/>
              <w:right w:val="single" w:sz="4" w:space="0" w:color="auto"/>
            </w:tcBorders>
            <w:shd w:val="clear" w:color="auto" w:fill="auto"/>
            <w:noWrap/>
            <w:vAlign w:val="bottom"/>
            <w:hideMark/>
          </w:tcPr>
          <w:p w14:paraId="0E3AA51C" w14:textId="77777777" w:rsidR="00F87E58" w:rsidRPr="007B2311" w:rsidRDefault="00F87E58" w:rsidP="00E118C0">
            <w:pPr>
              <w:pStyle w:val="cuatexto"/>
              <w:jc w:val="right"/>
              <w:rPr>
                <w:sz w:val="13"/>
                <w:szCs w:val="13"/>
              </w:rPr>
            </w:pPr>
            <w:r w:rsidRPr="007B2311">
              <w:rPr>
                <w:sz w:val="13"/>
                <w:szCs w:val="13"/>
              </w:rPr>
              <w:t> </w:t>
            </w:r>
          </w:p>
        </w:tc>
        <w:tc>
          <w:tcPr>
            <w:tcW w:w="976" w:type="dxa"/>
            <w:tcBorders>
              <w:top w:val="nil"/>
              <w:left w:val="nil"/>
              <w:bottom w:val="single" w:sz="4" w:space="0" w:color="auto"/>
              <w:right w:val="single" w:sz="4" w:space="0" w:color="auto"/>
            </w:tcBorders>
            <w:shd w:val="clear" w:color="auto" w:fill="auto"/>
            <w:noWrap/>
            <w:vAlign w:val="bottom"/>
            <w:hideMark/>
          </w:tcPr>
          <w:p w14:paraId="7ADCE6D4" w14:textId="77777777" w:rsidR="00F87E58" w:rsidRPr="007B2311" w:rsidRDefault="00F87E58" w:rsidP="00E118C0">
            <w:pPr>
              <w:pStyle w:val="cuatexto"/>
              <w:jc w:val="right"/>
              <w:rPr>
                <w:sz w:val="13"/>
                <w:szCs w:val="13"/>
              </w:rPr>
            </w:pPr>
            <w:r w:rsidRPr="007B2311">
              <w:rPr>
                <w:sz w:val="13"/>
                <w:szCs w:val="13"/>
              </w:rPr>
              <w:t> </w:t>
            </w:r>
          </w:p>
        </w:tc>
        <w:tc>
          <w:tcPr>
            <w:tcW w:w="861" w:type="dxa"/>
            <w:tcBorders>
              <w:top w:val="nil"/>
              <w:left w:val="nil"/>
              <w:bottom w:val="single" w:sz="4" w:space="0" w:color="auto"/>
              <w:right w:val="single" w:sz="2" w:space="0" w:color="auto"/>
            </w:tcBorders>
            <w:shd w:val="clear" w:color="auto" w:fill="auto"/>
            <w:noWrap/>
            <w:vAlign w:val="bottom"/>
            <w:hideMark/>
          </w:tcPr>
          <w:p w14:paraId="0790540C" w14:textId="77777777" w:rsidR="00F87E58" w:rsidRPr="007B2311" w:rsidRDefault="00F87E58" w:rsidP="00E118C0">
            <w:pPr>
              <w:pStyle w:val="cuatexto"/>
              <w:jc w:val="right"/>
              <w:rPr>
                <w:sz w:val="13"/>
                <w:szCs w:val="13"/>
              </w:rPr>
            </w:pPr>
            <w:r w:rsidRPr="007B2311">
              <w:rPr>
                <w:sz w:val="13"/>
                <w:szCs w:val="13"/>
              </w:rPr>
              <w:t>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6F4FBBE"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F6A8862" w14:textId="77777777" w:rsidR="00F87E58" w:rsidRPr="007B2311" w:rsidRDefault="00F87E58" w:rsidP="00E118C0">
            <w:pPr>
              <w:pStyle w:val="cuatexto"/>
              <w:jc w:val="right"/>
              <w:rPr>
                <w:sz w:val="13"/>
                <w:szCs w:val="13"/>
              </w:rPr>
            </w:pP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74FEE1B4" w14:textId="77777777" w:rsidR="00F87E58" w:rsidRPr="007B2311" w:rsidRDefault="00F87E58" w:rsidP="00E118C0">
            <w:pPr>
              <w:pStyle w:val="cuatexto"/>
              <w:jc w:val="right"/>
              <w:rPr>
                <w:sz w:val="13"/>
                <w:szCs w:val="13"/>
              </w:rPr>
            </w:pPr>
            <w:r w:rsidRPr="007B2311">
              <w:rPr>
                <w:sz w:val="13"/>
                <w:szCs w:val="13"/>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125A8E1" w14:textId="77777777" w:rsidR="00F87E58" w:rsidRPr="007B2311" w:rsidRDefault="00F87E58" w:rsidP="00E118C0">
            <w:pPr>
              <w:pStyle w:val="cuatexto"/>
              <w:jc w:val="right"/>
              <w:rPr>
                <w:sz w:val="13"/>
                <w:szCs w:val="13"/>
              </w:rPr>
            </w:pPr>
            <w:r w:rsidRPr="007B2311">
              <w:rPr>
                <w:sz w:val="13"/>
                <w:szCs w:val="13"/>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4CCCAE8F" w14:textId="77777777" w:rsidR="00F87E58" w:rsidRPr="007B2311" w:rsidRDefault="00F87E58" w:rsidP="00E118C0">
            <w:pPr>
              <w:pStyle w:val="cuatexto"/>
              <w:jc w:val="right"/>
              <w:rPr>
                <w:b/>
                <w:bCs/>
                <w:sz w:val="13"/>
                <w:szCs w:val="13"/>
              </w:rPr>
            </w:pPr>
            <w:r w:rsidRPr="007B2311">
              <w:rPr>
                <w:b/>
                <w:bCs/>
                <w:sz w:val="13"/>
                <w:szCs w:val="13"/>
              </w:rPr>
              <w:t>2.673.000</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351704D"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nil"/>
              <w:left w:val="single" w:sz="2" w:space="0" w:color="auto"/>
              <w:bottom w:val="single" w:sz="4" w:space="0" w:color="auto"/>
              <w:right w:val="single" w:sz="4" w:space="0" w:color="auto"/>
            </w:tcBorders>
            <w:shd w:val="clear" w:color="auto" w:fill="auto"/>
            <w:noWrap/>
            <w:vAlign w:val="bottom"/>
            <w:hideMark/>
          </w:tcPr>
          <w:p w14:paraId="464E1755" w14:textId="77777777" w:rsidR="00F87E58" w:rsidRPr="007B2311" w:rsidRDefault="00F87E58" w:rsidP="00E118C0">
            <w:pPr>
              <w:pStyle w:val="cuatexto"/>
              <w:jc w:val="right"/>
              <w:rPr>
                <w:sz w:val="13"/>
                <w:szCs w:val="13"/>
              </w:rPr>
            </w:pPr>
            <w:r w:rsidRPr="007B2311">
              <w:rPr>
                <w:sz w:val="13"/>
                <w:szCs w:val="13"/>
              </w:rPr>
              <w:t> </w:t>
            </w:r>
          </w:p>
        </w:tc>
        <w:tc>
          <w:tcPr>
            <w:tcW w:w="1255" w:type="dxa"/>
            <w:tcBorders>
              <w:top w:val="nil"/>
              <w:left w:val="nil"/>
              <w:bottom w:val="single" w:sz="4" w:space="0" w:color="auto"/>
              <w:right w:val="single" w:sz="4" w:space="0" w:color="auto"/>
            </w:tcBorders>
            <w:shd w:val="clear" w:color="auto" w:fill="auto"/>
            <w:noWrap/>
            <w:vAlign w:val="bottom"/>
            <w:hideMark/>
          </w:tcPr>
          <w:p w14:paraId="3CE1FE28"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nil"/>
              <w:left w:val="nil"/>
              <w:bottom w:val="single" w:sz="4" w:space="0" w:color="auto"/>
            </w:tcBorders>
            <w:shd w:val="clear" w:color="auto" w:fill="auto"/>
            <w:noWrap/>
            <w:vAlign w:val="bottom"/>
            <w:hideMark/>
          </w:tcPr>
          <w:p w14:paraId="44E01C0C" w14:textId="77777777" w:rsidR="00F87E58" w:rsidRPr="007B2311" w:rsidRDefault="00F87E58" w:rsidP="00E118C0">
            <w:pPr>
              <w:pStyle w:val="cuatexto"/>
              <w:jc w:val="right"/>
              <w:rPr>
                <w:sz w:val="13"/>
                <w:szCs w:val="13"/>
              </w:rPr>
            </w:pPr>
            <w:r w:rsidRPr="007B2311">
              <w:rPr>
                <w:sz w:val="13"/>
                <w:szCs w:val="13"/>
              </w:rPr>
              <w:t> </w:t>
            </w:r>
          </w:p>
        </w:tc>
      </w:tr>
      <w:tr w:rsidR="00F87E58" w:rsidRPr="007B2311" w14:paraId="17FBF80C" w14:textId="77777777" w:rsidTr="004663EF">
        <w:trPr>
          <w:trHeight w:val="78"/>
          <w:jc w:val="center"/>
        </w:trPr>
        <w:tc>
          <w:tcPr>
            <w:tcW w:w="548" w:type="dxa"/>
            <w:tcBorders>
              <w:top w:val="nil"/>
              <w:bottom w:val="single" w:sz="4" w:space="0" w:color="auto"/>
              <w:right w:val="single" w:sz="4" w:space="0" w:color="auto"/>
            </w:tcBorders>
            <w:shd w:val="clear" w:color="auto" w:fill="auto"/>
            <w:noWrap/>
            <w:vAlign w:val="center"/>
            <w:hideMark/>
          </w:tcPr>
          <w:p w14:paraId="0992B5DB" w14:textId="77777777" w:rsidR="00F87E58" w:rsidRPr="007B2311" w:rsidRDefault="00F87E58" w:rsidP="00E118C0">
            <w:pPr>
              <w:pStyle w:val="cuatexto"/>
              <w:jc w:val="left"/>
              <w:rPr>
                <w:sz w:val="13"/>
                <w:szCs w:val="13"/>
              </w:rPr>
            </w:pPr>
            <w:r w:rsidRPr="007B2311">
              <w:rPr>
                <w:sz w:val="13"/>
                <w:szCs w:val="13"/>
              </w:rPr>
              <w:t>2003</w:t>
            </w:r>
          </w:p>
        </w:tc>
        <w:tc>
          <w:tcPr>
            <w:tcW w:w="837" w:type="dxa"/>
            <w:tcBorders>
              <w:top w:val="nil"/>
              <w:left w:val="nil"/>
              <w:bottom w:val="single" w:sz="4" w:space="0" w:color="auto"/>
              <w:right w:val="single" w:sz="4" w:space="0" w:color="auto"/>
            </w:tcBorders>
            <w:shd w:val="clear" w:color="auto" w:fill="auto"/>
            <w:noWrap/>
            <w:vAlign w:val="center"/>
            <w:hideMark/>
          </w:tcPr>
          <w:p w14:paraId="5C57552B" w14:textId="77777777" w:rsidR="00F87E58" w:rsidRPr="007B2311" w:rsidRDefault="00F87E58" w:rsidP="00E118C0">
            <w:pPr>
              <w:pStyle w:val="cuatexto"/>
              <w:jc w:val="right"/>
              <w:rPr>
                <w:sz w:val="13"/>
                <w:szCs w:val="13"/>
              </w:rPr>
            </w:pPr>
            <w:r w:rsidRPr="007B2311">
              <w:rPr>
                <w:sz w:val="13"/>
                <w:szCs w:val="13"/>
              </w:rPr>
              <w:t> </w:t>
            </w:r>
          </w:p>
        </w:tc>
        <w:tc>
          <w:tcPr>
            <w:tcW w:w="976" w:type="dxa"/>
            <w:tcBorders>
              <w:top w:val="nil"/>
              <w:left w:val="nil"/>
              <w:bottom w:val="single" w:sz="4" w:space="0" w:color="auto"/>
              <w:right w:val="single" w:sz="4" w:space="0" w:color="auto"/>
            </w:tcBorders>
            <w:shd w:val="clear" w:color="auto" w:fill="auto"/>
            <w:noWrap/>
            <w:vAlign w:val="center"/>
            <w:hideMark/>
          </w:tcPr>
          <w:p w14:paraId="1D6B3ED2" w14:textId="77777777" w:rsidR="00F87E58" w:rsidRPr="007B2311" w:rsidRDefault="00F87E58" w:rsidP="00E118C0">
            <w:pPr>
              <w:pStyle w:val="cuatexto"/>
              <w:jc w:val="right"/>
              <w:rPr>
                <w:sz w:val="13"/>
                <w:szCs w:val="13"/>
              </w:rPr>
            </w:pPr>
            <w:r w:rsidRPr="007B2311">
              <w:rPr>
                <w:sz w:val="13"/>
                <w:szCs w:val="13"/>
              </w:rPr>
              <w:t> </w:t>
            </w:r>
          </w:p>
        </w:tc>
        <w:tc>
          <w:tcPr>
            <w:tcW w:w="861" w:type="dxa"/>
            <w:tcBorders>
              <w:top w:val="nil"/>
              <w:left w:val="nil"/>
              <w:bottom w:val="single" w:sz="4" w:space="0" w:color="auto"/>
              <w:right w:val="single" w:sz="2" w:space="0" w:color="auto"/>
            </w:tcBorders>
            <w:shd w:val="clear" w:color="auto" w:fill="auto"/>
            <w:noWrap/>
            <w:vAlign w:val="center"/>
            <w:hideMark/>
          </w:tcPr>
          <w:p w14:paraId="3655BCDB" w14:textId="77777777" w:rsidR="00F87E58" w:rsidRPr="007B2311" w:rsidRDefault="00F87E58" w:rsidP="00E118C0">
            <w:pPr>
              <w:pStyle w:val="cuatexto"/>
              <w:jc w:val="right"/>
              <w:rPr>
                <w:sz w:val="13"/>
                <w:szCs w:val="13"/>
              </w:rPr>
            </w:pPr>
            <w:r w:rsidRPr="007B2311">
              <w:rPr>
                <w:sz w:val="13"/>
                <w:szCs w:val="13"/>
              </w:rPr>
              <w:t>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123AEABD"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794C0B94" w14:textId="77777777" w:rsidR="00F87E58" w:rsidRPr="007B2311" w:rsidRDefault="00F87E58" w:rsidP="00E118C0">
            <w:pPr>
              <w:pStyle w:val="cuatexto"/>
              <w:jc w:val="right"/>
              <w:rPr>
                <w:sz w:val="13"/>
                <w:szCs w:val="13"/>
              </w:rPr>
            </w:pPr>
            <w:r w:rsidRPr="007B2311">
              <w:rPr>
                <w:sz w:val="13"/>
                <w:szCs w:val="13"/>
              </w:rPr>
              <w:t>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7565326F" w14:textId="77777777" w:rsidR="00F87E58" w:rsidRPr="007B2311" w:rsidRDefault="00F87E58" w:rsidP="00E118C0">
            <w:pPr>
              <w:pStyle w:val="cuatexto"/>
              <w:jc w:val="right"/>
              <w:rPr>
                <w:sz w:val="13"/>
                <w:szCs w:val="13"/>
              </w:rPr>
            </w:pPr>
            <w:r w:rsidRPr="007B2311">
              <w:rPr>
                <w:sz w:val="13"/>
                <w:szCs w:val="13"/>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464CCE53" w14:textId="77777777" w:rsidR="00F87E58" w:rsidRPr="007B2311" w:rsidRDefault="00F87E58" w:rsidP="00E118C0">
            <w:pPr>
              <w:pStyle w:val="cuatexto"/>
              <w:jc w:val="right"/>
              <w:rPr>
                <w:sz w:val="13"/>
                <w:szCs w:val="13"/>
              </w:rPr>
            </w:pPr>
            <w:r w:rsidRPr="007B2311">
              <w:rPr>
                <w:sz w:val="13"/>
                <w:szCs w:val="13"/>
              </w:rPr>
              <w:t> </w:t>
            </w:r>
          </w:p>
        </w:tc>
        <w:tc>
          <w:tcPr>
            <w:tcW w:w="1982" w:type="dxa"/>
            <w:tcBorders>
              <w:top w:val="nil"/>
              <w:left w:val="single" w:sz="2" w:space="0" w:color="auto"/>
              <w:bottom w:val="single" w:sz="4" w:space="0" w:color="auto"/>
              <w:right w:val="single" w:sz="2" w:space="0" w:color="auto"/>
            </w:tcBorders>
            <w:shd w:val="clear" w:color="auto" w:fill="auto"/>
            <w:noWrap/>
            <w:vAlign w:val="bottom"/>
            <w:hideMark/>
          </w:tcPr>
          <w:p w14:paraId="0B9425B0" w14:textId="77777777" w:rsidR="00F87E58" w:rsidRPr="007B2311" w:rsidRDefault="00F87E58" w:rsidP="00E118C0">
            <w:pPr>
              <w:pStyle w:val="cuatexto"/>
              <w:jc w:val="right"/>
              <w:rPr>
                <w:b/>
                <w:bCs/>
                <w:sz w:val="13"/>
                <w:szCs w:val="13"/>
              </w:rPr>
            </w:pPr>
            <w:r w:rsidRPr="007B2311">
              <w:rPr>
                <w:b/>
                <w:bCs/>
                <w:sz w:val="13"/>
                <w:szCs w:val="13"/>
              </w:rPr>
              <w:t>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D769B1E"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nil"/>
              <w:left w:val="single" w:sz="2" w:space="0" w:color="auto"/>
              <w:bottom w:val="single" w:sz="4" w:space="0" w:color="auto"/>
              <w:right w:val="single" w:sz="4" w:space="0" w:color="auto"/>
            </w:tcBorders>
            <w:shd w:val="clear" w:color="auto" w:fill="auto"/>
            <w:noWrap/>
            <w:vAlign w:val="bottom"/>
            <w:hideMark/>
          </w:tcPr>
          <w:p w14:paraId="5A29A0FE" w14:textId="77777777" w:rsidR="00F87E58" w:rsidRPr="007B2311" w:rsidRDefault="00F87E58" w:rsidP="00E118C0">
            <w:pPr>
              <w:pStyle w:val="cuatexto"/>
              <w:jc w:val="right"/>
              <w:rPr>
                <w:sz w:val="13"/>
                <w:szCs w:val="13"/>
              </w:rPr>
            </w:pPr>
            <w:r w:rsidRPr="007B2311">
              <w:rPr>
                <w:sz w:val="13"/>
                <w:szCs w:val="13"/>
              </w:rPr>
              <w:t> </w:t>
            </w:r>
          </w:p>
        </w:tc>
        <w:tc>
          <w:tcPr>
            <w:tcW w:w="1255" w:type="dxa"/>
            <w:tcBorders>
              <w:top w:val="nil"/>
              <w:left w:val="nil"/>
              <w:bottom w:val="single" w:sz="4" w:space="0" w:color="auto"/>
              <w:right w:val="single" w:sz="4" w:space="0" w:color="auto"/>
            </w:tcBorders>
            <w:shd w:val="clear" w:color="auto" w:fill="auto"/>
            <w:noWrap/>
            <w:vAlign w:val="bottom"/>
            <w:hideMark/>
          </w:tcPr>
          <w:p w14:paraId="0A121AFA"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nil"/>
              <w:left w:val="nil"/>
              <w:bottom w:val="single" w:sz="4" w:space="0" w:color="auto"/>
            </w:tcBorders>
            <w:shd w:val="clear" w:color="auto" w:fill="auto"/>
            <w:noWrap/>
            <w:vAlign w:val="bottom"/>
            <w:hideMark/>
          </w:tcPr>
          <w:p w14:paraId="73A18F1B" w14:textId="77777777" w:rsidR="00F87E58" w:rsidRPr="007B2311" w:rsidRDefault="00F87E58" w:rsidP="00E118C0">
            <w:pPr>
              <w:pStyle w:val="cuatexto"/>
              <w:jc w:val="right"/>
              <w:rPr>
                <w:sz w:val="13"/>
                <w:szCs w:val="13"/>
              </w:rPr>
            </w:pPr>
            <w:r w:rsidRPr="007B2311">
              <w:rPr>
                <w:sz w:val="13"/>
                <w:szCs w:val="13"/>
              </w:rPr>
              <w:t> </w:t>
            </w:r>
          </w:p>
        </w:tc>
      </w:tr>
      <w:tr w:rsidR="00F87E58" w:rsidRPr="007B2311" w14:paraId="15A6283D" w14:textId="77777777" w:rsidTr="004663EF">
        <w:trPr>
          <w:trHeight w:val="70"/>
          <w:jc w:val="center"/>
        </w:trPr>
        <w:tc>
          <w:tcPr>
            <w:tcW w:w="548" w:type="dxa"/>
            <w:tcBorders>
              <w:top w:val="nil"/>
              <w:bottom w:val="single" w:sz="4" w:space="0" w:color="auto"/>
              <w:right w:val="single" w:sz="4" w:space="0" w:color="auto"/>
            </w:tcBorders>
            <w:shd w:val="clear" w:color="auto" w:fill="auto"/>
            <w:noWrap/>
            <w:vAlign w:val="center"/>
            <w:hideMark/>
          </w:tcPr>
          <w:p w14:paraId="386793F1" w14:textId="77777777" w:rsidR="00F87E58" w:rsidRPr="007B2311" w:rsidRDefault="00F87E58" w:rsidP="00E118C0">
            <w:pPr>
              <w:pStyle w:val="cuatexto"/>
              <w:jc w:val="left"/>
              <w:rPr>
                <w:sz w:val="13"/>
                <w:szCs w:val="13"/>
              </w:rPr>
            </w:pPr>
            <w:r w:rsidRPr="007B2311">
              <w:rPr>
                <w:sz w:val="13"/>
                <w:szCs w:val="13"/>
              </w:rPr>
              <w:t>2004</w:t>
            </w:r>
          </w:p>
        </w:tc>
        <w:tc>
          <w:tcPr>
            <w:tcW w:w="837" w:type="dxa"/>
            <w:tcBorders>
              <w:top w:val="nil"/>
              <w:left w:val="nil"/>
              <w:bottom w:val="single" w:sz="4" w:space="0" w:color="auto"/>
              <w:right w:val="single" w:sz="4" w:space="0" w:color="auto"/>
            </w:tcBorders>
            <w:shd w:val="clear" w:color="auto" w:fill="auto"/>
            <w:noWrap/>
            <w:vAlign w:val="center"/>
            <w:hideMark/>
          </w:tcPr>
          <w:p w14:paraId="78A34523" w14:textId="77777777" w:rsidR="00F87E58" w:rsidRPr="007B2311" w:rsidRDefault="00F87E58" w:rsidP="00E118C0">
            <w:pPr>
              <w:pStyle w:val="cuatexto"/>
              <w:jc w:val="right"/>
              <w:rPr>
                <w:sz w:val="13"/>
                <w:szCs w:val="13"/>
              </w:rPr>
            </w:pPr>
            <w:r w:rsidRPr="007B2311">
              <w:rPr>
                <w:sz w:val="13"/>
                <w:szCs w:val="13"/>
              </w:rPr>
              <w:t> </w:t>
            </w:r>
          </w:p>
        </w:tc>
        <w:tc>
          <w:tcPr>
            <w:tcW w:w="976" w:type="dxa"/>
            <w:tcBorders>
              <w:top w:val="nil"/>
              <w:left w:val="nil"/>
              <w:bottom w:val="single" w:sz="4" w:space="0" w:color="auto"/>
              <w:right w:val="single" w:sz="4" w:space="0" w:color="auto"/>
            </w:tcBorders>
            <w:shd w:val="clear" w:color="auto" w:fill="auto"/>
            <w:noWrap/>
            <w:vAlign w:val="center"/>
            <w:hideMark/>
          </w:tcPr>
          <w:p w14:paraId="2AA03F96" w14:textId="77777777" w:rsidR="00F87E58" w:rsidRPr="007B2311" w:rsidRDefault="00F87E58" w:rsidP="00E118C0">
            <w:pPr>
              <w:pStyle w:val="cuatexto"/>
              <w:jc w:val="right"/>
              <w:rPr>
                <w:sz w:val="13"/>
                <w:szCs w:val="13"/>
              </w:rPr>
            </w:pPr>
            <w:r w:rsidRPr="007B2311">
              <w:rPr>
                <w:sz w:val="13"/>
                <w:szCs w:val="13"/>
              </w:rPr>
              <w:t> </w:t>
            </w:r>
          </w:p>
        </w:tc>
        <w:tc>
          <w:tcPr>
            <w:tcW w:w="861" w:type="dxa"/>
            <w:tcBorders>
              <w:top w:val="nil"/>
              <w:left w:val="nil"/>
              <w:bottom w:val="single" w:sz="4" w:space="0" w:color="auto"/>
              <w:right w:val="single" w:sz="2" w:space="0" w:color="auto"/>
            </w:tcBorders>
            <w:shd w:val="clear" w:color="auto" w:fill="auto"/>
            <w:noWrap/>
            <w:vAlign w:val="center"/>
            <w:hideMark/>
          </w:tcPr>
          <w:p w14:paraId="60B4184F" w14:textId="77777777" w:rsidR="00F87E58" w:rsidRPr="007B2311" w:rsidRDefault="00F87E58" w:rsidP="00E118C0">
            <w:pPr>
              <w:pStyle w:val="cuatexto"/>
              <w:jc w:val="right"/>
              <w:rPr>
                <w:sz w:val="13"/>
                <w:szCs w:val="13"/>
              </w:rPr>
            </w:pPr>
            <w:r w:rsidRPr="007B2311">
              <w:rPr>
                <w:sz w:val="13"/>
                <w:szCs w:val="13"/>
              </w:rPr>
              <w:t>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78157F17"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6BB980E0" w14:textId="77777777" w:rsidR="00F87E58" w:rsidRPr="007B2311" w:rsidRDefault="00F87E58" w:rsidP="00E118C0">
            <w:pPr>
              <w:pStyle w:val="cuatexto"/>
              <w:jc w:val="right"/>
              <w:rPr>
                <w:sz w:val="13"/>
                <w:szCs w:val="13"/>
              </w:rPr>
            </w:pPr>
            <w:r w:rsidRPr="007B2311">
              <w:rPr>
                <w:sz w:val="13"/>
                <w:szCs w:val="13"/>
              </w:rPr>
              <w:t>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46920464" w14:textId="77777777" w:rsidR="00F87E58" w:rsidRPr="007B2311" w:rsidRDefault="00F87E58" w:rsidP="00E118C0">
            <w:pPr>
              <w:pStyle w:val="cuatexto"/>
              <w:jc w:val="right"/>
              <w:rPr>
                <w:sz w:val="13"/>
                <w:szCs w:val="13"/>
              </w:rPr>
            </w:pPr>
            <w:r w:rsidRPr="007B2311">
              <w:rPr>
                <w:sz w:val="13"/>
                <w:szCs w:val="13"/>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6ABF4345" w14:textId="77777777" w:rsidR="00F87E58" w:rsidRPr="007B2311" w:rsidRDefault="00F87E58" w:rsidP="00E118C0">
            <w:pPr>
              <w:pStyle w:val="cuatexto"/>
              <w:jc w:val="right"/>
              <w:rPr>
                <w:sz w:val="13"/>
                <w:szCs w:val="13"/>
              </w:rPr>
            </w:pPr>
            <w:r w:rsidRPr="007B2311">
              <w:rPr>
                <w:sz w:val="13"/>
                <w:szCs w:val="13"/>
              </w:rPr>
              <w:t> </w:t>
            </w:r>
          </w:p>
        </w:tc>
        <w:tc>
          <w:tcPr>
            <w:tcW w:w="1982" w:type="dxa"/>
            <w:tcBorders>
              <w:top w:val="nil"/>
              <w:left w:val="single" w:sz="2" w:space="0" w:color="auto"/>
              <w:bottom w:val="single" w:sz="4" w:space="0" w:color="auto"/>
              <w:right w:val="single" w:sz="2" w:space="0" w:color="auto"/>
            </w:tcBorders>
            <w:shd w:val="clear" w:color="auto" w:fill="auto"/>
            <w:noWrap/>
            <w:vAlign w:val="bottom"/>
            <w:hideMark/>
          </w:tcPr>
          <w:p w14:paraId="4684B131" w14:textId="77777777" w:rsidR="00F87E58" w:rsidRPr="007B2311" w:rsidRDefault="00F87E58" w:rsidP="00E118C0">
            <w:pPr>
              <w:pStyle w:val="cuatexto"/>
              <w:jc w:val="right"/>
              <w:rPr>
                <w:b/>
                <w:bCs/>
                <w:sz w:val="13"/>
                <w:szCs w:val="13"/>
              </w:rPr>
            </w:pPr>
            <w:r w:rsidRPr="007B2311">
              <w:rPr>
                <w:b/>
                <w:bCs/>
                <w:sz w:val="13"/>
                <w:szCs w:val="13"/>
              </w:rPr>
              <w:t>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B8E79B1"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nil"/>
              <w:left w:val="single" w:sz="2" w:space="0" w:color="auto"/>
              <w:bottom w:val="single" w:sz="4" w:space="0" w:color="auto"/>
              <w:right w:val="single" w:sz="4" w:space="0" w:color="auto"/>
            </w:tcBorders>
            <w:shd w:val="clear" w:color="auto" w:fill="auto"/>
            <w:noWrap/>
            <w:vAlign w:val="bottom"/>
            <w:hideMark/>
          </w:tcPr>
          <w:p w14:paraId="53DF73C9" w14:textId="77777777" w:rsidR="00F87E58" w:rsidRPr="007B2311" w:rsidRDefault="00F87E58" w:rsidP="00E118C0">
            <w:pPr>
              <w:pStyle w:val="cuatexto"/>
              <w:jc w:val="right"/>
              <w:rPr>
                <w:sz w:val="13"/>
                <w:szCs w:val="13"/>
              </w:rPr>
            </w:pPr>
            <w:r w:rsidRPr="007B2311">
              <w:rPr>
                <w:sz w:val="13"/>
                <w:szCs w:val="13"/>
              </w:rPr>
              <w:t> </w:t>
            </w:r>
          </w:p>
        </w:tc>
        <w:tc>
          <w:tcPr>
            <w:tcW w:w="1255" w:type="dxa"/>
            <w:tcBorders>
              <w:top w:val="nil"/>
              <w:left w:val="nil"/>
              <w:bottom w:val="single" w:sz="4" w:space="0" w:color="auto"/>
              <w:right w:val="single" w:sz="4" w:space="0" w:color="auto"/>
            </w:tcBorders>
            <w:shd w:val="clear" w:color="auto" w:fill="auto"/>
            <w:noWrap/>
            <w:vAlign w:val="bottom"/>
            <w:hideMark/>
          </w:tcPr>
          <w:p w14:paraId="3E69C2DB" w14:textId="77777777" w:rsidR="00F87E58" w:rsidRPr="007B2311" w:rsidRDefault="00F87E58" w:rsidP="00E118C0">
            <w:pPr>
              <w:pStyle w:val="cuatexto"/>
              <w:jc w:val="right"/>
              <w:rPr>
                <w:sz w:val="13"/>
                <w:szCs w:val="13"/>
              </w:rPr>
            </w:pPr>
            <w:r w:rsidRPr="007B2311">
              <w:rPr>
                <w:sz w:val="13"/>
                <w:szCs w:val="13"/>
              </w:rPr>
              <w:t> </w:t>
            </w:r>
          </w:p>
        </w:tc>
        <w:tc>
          <w:tcPr>
            <w:tcW w:w="1395" w:type="dxa"/>
            <w:tcBorders>
              <w:top w:val="nil"/>
              <w:left w:val="nil"/>
              <w:bottom w:val="single" w:sz="4" w:space="0" w:color="auto"/>
            </w:tcBorders>
            <w:shd w:val="clear" w:color="auto" w:fill="auto"/>
            <w:noWrap/>
            <w:vAlign w:val="bottom"/>
            <w:hideMark/>
          </w:tcPr>
          <w:p w14:paraId="7A65276B" w14:textId="77777777" w:rsidR="00F87E58" w:rsidRPr="007B2311" w:rsidRDefault="00F87E58" w:rsidP="00E118C0">
            <w:pPr>
              <w:pStyle w:val="cuatexto"/>
              <w:jc w:val="right"/>
              <w:rPr>
                <w:sz w:val="13"/>
                <w:szCs w:val="13"/>
              </w:rPr>
            </w:pPr>
            <w:r w:rsidRPr="007B2311">
              <w:rPr>
                <w:sz w:val="13"/>
                <w:szCs w:val="13"/>
              </w:rPr>
              <w:t> </w:t>
            </w:r>
          </w:p>
        </w:tc>
      </w:tr>
      <w:tr w:rsidR="00F87E58" w:rsidRPr="002B636D" w14:paraId="6DE608BC" w14:textId="77777777" w:rsidTr="00321B53">
        <w:trPr>
          <w:trHeight w:val="252"/>
          <w:jc w:val="center"/>
        </w:trPr>
        <w:tc>
          <w:tcPr>
            <w:tcW w:w="548" w:type="dxa"/>
            <w:tcBorders>
              <w:top w:val="single" w:sz="4" w:space="0" w:color="auto"/>
              <w:bottom w:val="single" w:sz="4" w:space="0" w:color="auto"/>
              <w:right w:val="single" w:sz="4" w:space="0" w:color="auto"/>
            </w:tcBorders>
            <w:shd w:val="clear" w:color="000000" w:fill="BDD7EE"/>
            <w:noWrap/>
            <w:vAlign w:val="center"/>
            <w:hideMark/>
          </w:tcPr>
          <w:p w14:paraId="22626316" w14:textId="77777777" w:rsidR="00F87E58" w:rsidRPr="002B636D" w:rsidRDefault="00F87E58" w:rsidP="00F87E58">
            <w:pPr>
              <w:pStyle w:val="cuadroCabe"/>
              <w:jc w:val="left"/>
              <w:rPr>
                <w:sz w:val="12"/>
                <w:szCs w:val="12"/>
              </w:rPr>
            </w:pPr>
            <w:r w:rsidRPr="002B636D">
              <w:rPr>
                <w:sz w:val="12"/>
                <w:szCs w:val="12"/>
              </w:rPr>
              <w:t>Total</w:t>
            </w:r>
          </w:p>
        </w:tc>
        <w:tc>
          <w:tcPr>
            <w:tcW w:w="837" w:type="dxa"/>
            <w:tcBorders>
              <w:top w:val="single" w:sz="4" w:space="0" w:color="auto"/>
              <w:left w:val="nil"/>
              <w:bottom w:val="single" w:sz="4" w:space="0" w:color="auto"/>
              <w:right w:val="single" w:sz="4" w:space="0" w:color="auto"/>
            </w:tcBorders>
            <w:shd w:val="clear" w:color="000000" w:fill="BDD7EE"/>
            <w:noWrap/>
            <w:vAlign w:val="center"/>
            <w:hideMark/>
          </w:tcPr>
          <w:p w14:paraId="337FFBF0" w14:textId="77777777" w:rsidR="00F87E58" w:rsidRPr="002B636D" w:rsidRDefault="00F87E58" w:rsidP="00F87E58">
            <w:pPr>
              <w:pStyle w:val="cuadroCabe"/>
              <w:jc w:val="right"/>
              <w:rPr>
                <w:sz w:val="12"/>
                <w:szCs w:val="12"/>
              </w:rPr>
            </w:pPr>
            <w:r w:rsidRPr="002B636D">
              <w:rPr>
                <w:sz w:val="12"/>
                <w:szCs w:val="12"/>
              </w:rPr>
              <w:t> </w:t>
            </w:r>
          </w:p>
        </w:tc>
        <w:tc>
          <w:tcPr>
            <w:tcW w:w="976" w:type="dxa"/>
            <w:tcBorders>
              <w:top w:val="single" w:sz="4" w:space="0" w:color="auto"/>
              <w:left w:val="nil"/>
              <w:bottom w:val="single" w:sz="4" w:space="0" w:color="auto"/>
              <w:right w:val="single" w:sz="4" w:space="0" w:color="auto"/>
            </w:tcBorders>
            <w:shd w:val="clear" w:color="000000" w:fill="BDD7EE"/>
            <w:noWrap/>
            <w:vAlign w:val="center"/>
            <w:hideMark/>
          </w:tcPr>
          <w:p w14:paraId="4FF101D3" w14:textId="77777777" w:rsidR="00F87E58" w:rsidRPr="002B636D" w:rsidRDefault="00F87E58" w:rsidP="00F87E58">
            <w:pPr>
              <w:pStyle w:val="cuadroCabe"/>
              <w:jc w:val="right"/>
              <w:rPr>
                <w:sz w:val="12"/>
                <w:szCs w:val="12"/>
              </w:rPr>
            </w:pPr>
            <w:r w:rsidRPr="002B636D">
              <w:rPr>
                <w:sz w:val="12"/>
                <w:szCs w:val="12"/>
              </w:rPr>
              <w:t> </w:t>
            </w:r>
          </w:p>
        </w:tc>
        <w:tc>
          <w:tcPr>
            <w:tcW w:w="861" w:type="dxa"/>
            <w:tcBorders>
              <w:top w:val="single" w:sz="4" w:space="0" w:color="auto"/>
              <w:left w:val="nil"/>
              <w:bottom w:val="single" w:sz="4" w:space="0" w:color="auto"/>
              <w:right w:val="single" w:sz="2" w:space="0" w:color="auto"/>
            </w:tcBorders>
            <w:shd w:val="clear" w:color="000000" w:fill="BDD7EE"/>
            <w:noWrap/>
            <w:vAlign w:val="center"/>
            <w:hideMark/>
          </w:tcPr>
          <w:p w14:paraId="6BDFDB1C" w14:textId="77777777" w:rsidR="00F87E58" w:rsidRPr="002B636D" w:rsidRDefault="00F87E58" w:rsidP="00F87E58">
            <w:pPr>
              <w:pStyle w:val="cuadroCabe"/>
              <w:jc w:val="right"/>
              <w:rPr>
                <w:sz w:val="12"/>
                <w:szCs w:val="12"/>
              </w:rPr>
            </w:pPr>
            <w:r w:rsidRPr="002B636D">
              <w:rPr>
                <w:sz w:val="12"/>
                <w:szCs w:val="12"/>
              </w:rPr>
              <w:t> </w:t>
            </w:r>
          </w:p>
        </w:tc>
        <w:tc>
          <w:tcPr>
            <w:tcW w:w="1233"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05E5AAC0"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56D438AD" w14:textId="77777777" w:rsidR="00F87E58" w:rsidRPr="002B636D" w:rsidRDefault="00F87E58" w:rsidP="00F87E58">
            <w:pPr>
              <w:pStyle w:val="cuadroCabe"/>
              <w:jc w:val="right"/>
              <w:rPr>
                <w:sz w:val="12"/>
                <w:szCs w:val="12"/>
              </w:rPr>
            </w:pPr>
            <w:r w:rsidRPr="002B636D">
              <w:rPr>
                <w:sz w:val="12"/>
                <w:szCs w:val="12"/>
              </w:rPr>
              <w:t>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268F3624" w14:textId="77777777" w:rsidR="00F87E58" w:rsidRPr="002B636D" w:rsidRDefault="00F87E58" w:rsidP="00F87E58">
            <w:pPr>
              <w:pStyle w:val="cuadroCabe"/>
              <w:jc w:val="right"/>
              <w:rPr>
                <w:sz w:val="12"/>
                <w:szCs w:val="12"/>
              </w:rPr>
            </w:pPr>
            <w:r w:rsidRPr="002B636D">
              <w:rPr>
                <w:sz w:val="12"/>
                <w:szCs w:val="12"/>
              </w:rPr>
              <w:t>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5F1CCF21" w14:textId="77777777" w:rsidR="00F87E58" w:rsidRPr="002B636D" w:rsidRDefault="00F87E58" w:rsidP="00F87E58">
            <w:pPr>
              <w:pStyle w:val="cuadroCabe"/>
              <w:jc w:val="right"/>
              <w:rPr>
                <w:sz w:val="12"/>
                <w:szCs w:val="12"/>
              </w:rPr>
            </w:pPr>
            <w:r w:rsidRPr="002B636D">
              <w:rPr>
                <w:sz w:val="12"/>
                <w:szCs w:val="12"/>
              </w:rPr>
              <w:t> </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F430CD6" w14:textId="77777777" w:rsidR="00F87E58" w:rsidRPr="002B636D" w:rsidRDefault="00F87E58" w:rsidP="00F87E58">
            <w:pPr>
              <w:pStyle w:val="cuadroCabe"/>
              <w:jc w:val="right"/>
              <w:rPr>
                <w:b/>
                <w:bCs/>
                <w:sz w:val="12"/>
                <w:szCs w:val="12"/>
              </w:rPr>
            </w:pPr>
            <w:r w:rsidRPr="002B636D">
              <w:rPr>
                <w:b/>
                <w:bCs/>
                <w:sz w:val="12"/>
                <w:szCs w:val="12"/>
              </w:rPr>
              <w:t>4.050.000</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A506480"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single" w:sz="2" w:space="0" w:color="auto"/>
              <w:bottom w:val="single" w:sz="4" w:space="0" w:color="auto"/>
              <w:right w:val="single" w:sz="4" w:space="0" w:color="auto"/>
            </w:tcBorders>
            <w:shd w:val="clear" w:color="000000" w:fill="BDD7EE"/>
            <w:noWrap/>
            <w:vAlign w:val="bottom"/>
            <w:hideMark/>
          </w:tcPr>
          <w:p w14:paraId="792C7EF4" w14:textId="77777777" w:rsidR="00F87E58" w:rsidRPr="002B636D" w:rsidRDefault="00F87E58" w:rsidP="00F87E58">
            <w:pPr>
              <w:pStyle w:val="cuadroCabe"/>
              <w:jc w:val="right"/>
              <w:rPr>
                <w:sz w:val="12"/>
                <w:szCs w:val="12"/>
              </w:rPr>
            </w:pPr>
            <w:r w:rsidRPr="002B636D">
              <w:rPr>
                <w:sz w:val="12"/>
                <w:szCs w:val="12"/>
              </w:rPr>
              <w:t> </w:t>
            </w:r>
          </w:p>
        </w:tc>
        <w:tc>
          <w:tcPr>
            <w:tcW w:w="1255" w:type="dxa"/>
            <w:tcBorders>
              <w:top w:val="single" w:sz="4" w:space="0" w:color="auto"/>
              <w:left w:val="nil"/>
              <w:bottom w:val="single" w:sz="4" w:space="0" w:color="auto"/>
              <w:right w:val="single" w:sz="4" w:space="0" w:color="auto"/>
            </w:tcBorders>
            <w:shd w:val="clear" w:color="000000" w:fill="BDD7EE"/>
            <w:noWrap/>
            <w:vAlign w:val="bottom"/>
            <w:hideMark/>
          </w:tcPr>
          <w:p w14:paraId="3B0F4B9B"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nil"/>
              <w:bottom w:val="single" w:sz="4" w:space="0" w:color="auto"/>
            </w:tcBorders>
            <w:shd w:val="clear" w:color="000000" w:fill="BDD7EE"/>
            <w:noWrap/>
            <w:vAlign w:val="bottom"/>
            <w:hideMark/>
          </w:tcPr>
          <w:p w14:paraId="54D4419D" w14:textId="77777777" w:rsidR="00F87E58" w:rsidRPr="002B636D" w:rsidRDefault="00F87E58" w:rsidP="00F87E58">
            <w:pPr>
              <w:pStyle w:val="cuadroCabe"/>
              <w:jc w:val="right"/>
              <w:rPr>
                <w:sz w:val="12"/>
                <w:szCs w:val="12"/>
              </w:rPr>
            </w:pPr>
            <w:r w:rsidRPr="002B636D">
              <w:rPr>
                <w:sz w:val="12"/>
                <w:szCs w:val="12"/>
              </w:rPr>
              <w:t> </w:t>
            </w:r>
          </w:p>
        </w:tc>
      </w:tr>
      <w:tr w:rsidR="00F87E58" w:rsidRPr="002B636D" w14:paraId="79FAEB5A" w14:textId="77777777" w:rsidTr="00321B53">
        <w:trPr>
          <w:trHeight w:val="252"/>
          <w:jc w:val="center"/>
        </w:trPr>
        <w:tc>
          <w:tcPr>
            <w:tcW w:w="548" w:type="dxa"/>
            <w:tcBorders>
              <w:top w:val="single" w:sz="4" w:space="0" w:color="auto"/>
              <w:bottom w:val="single" w:sz="4" w:space="0" w:color="auto"/>
              <w:right w:val="single" w:sz="2" w:space="0" w:color="auto"/>
            </w:tcBorders>
            <w:shd w:val="clear" w:color="000000" w:fill="BDD7EE"/>
            <w:noWrap/>
            <w:vAlign w:val="center"/>
            <w:hideMark/>
          </w:tcPr>
          <w:p w14:paraId="2CEA194C" w14:textId="77777777" w:rsidR="00F87E58" w:rsidRPr="002B636D" w:rsidRDefault="00F87E58" w:rsidP="00F87E58">
            <w:pPr>
              <w:pStyle w:val="cuadroCabe"/>
              <w:jc w:val="left"/>
              <w:rPr>
                <w:sz w:val="12"/>
                <w:szCs w:val="12"/>
              </w:rPr>
            </w:pPr>
            <w:r w:rsidRPr="002B636D">
              <w:rPr>
                <w:sz w:val="12"/>
                <w:szCs w:val="12"/>
              </w:rPr>
              <w:t> </w:t>
            </w:r>
          </w:p>
        </w:tc>
        <w:tc>
          <w:tcPr>
            <w:tcW w:w="3907" w:type="dxa"/>
            <w:gridSpan w:val="4"/>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2BD93BF9" w14:textId="77777777" w:rsidR="00F87E58" w:rsidRPr="002B636D" w:rsidRDefault="00F87E58" w:rsidP="00F87E58">
            <w:pPr>
              <w:pStyle w:val="cuadroCabe"/>
              <w:jc w:val="right"/>
              <w:rPr>
                <w:sz w:val="12"/>
                <w:szCs w:val="12"/>
              </w:rPr>
            </w:pPr>
            <w:r w:rsidRPr="002B636D">
              <w:rPr>
                <w:sz w:val="12"/>
                <w:szCs w:val="12"/>
              </w:rPr>
              <w:t>DESGLOSE FINANCIACION</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47DE7E3F" w14:textId="77777777" w:rsidR="00F87E58" w:rsidRPr="002B636D" w:rsidRDefault="00F87E58" w:rsidP="00F87E58">
            <w:pPr>
              <w:pStyle w:val="cuadroCabe"/>
              <w:jc w:val="right"/>
              <w:rPr>
                <w:sz w:val="12"/>
                <w:szCs w:val="12"/>
              </w:rPr>
            </w:pPr>
            <w:r w:rsidRPr="002B636D">
              <w:rPr>
                <w:sz w:val="12"/>
                <w:szCs w:val="12"/>
              </w:rPr>
              <w:t>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3D9E18F8" w14:textId="77777777" w:rsidR="00F87E58" w:rsidRPr="002B636D" w:rsidRDefault="00F87E58" w:rsidP="00F87E58">
            <w:pPr>
              <w:pStyle w:val="cuadroCabe"/>
              <w:jc w:val="right"/>
              <w:rPr>
                <w:sz w:val="12"/>
                <w:szCs w:val="12"/>
              </w:rPr>
            </w:pPr>
            <w:r w:rsidRPr="002B636D">
              <w:rPr>
                <w:sz w:val="12"/>
                <w:szCs w:val="12"/>
              </w:rPr>
              <w:t>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7530B303" w14:textId="77777777" w:rsidR="00F87E58" w:rsidRPr="002B636D" w:rsidRDefault="00F87E58" w:rsidP="00F87E58">
            <w:pPr>
              <w:pStyle w:val="cuadroCabe"/>
              <w:jc w:val="right"/>
              <w:rPr>
                <w:sz w:val="12"/>
                <w:szCs w:val="12"/>
              </w:rPr>
            </w:pPr>
            <w:r w:rsidRPr="002B636D">
              <w:rPr>
                <w:sz w:val="12"/>
                <w:szCs w:val="12"/>
              </w:rPr>
              <w:t> </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85080E2" w14:textId="77777777" w:rsidR="00F87E58" w:rsidRPr="002B636D" w:rsidRDefault="00F87E58" w:rsidP="00F87E58">
            <w:pPr>
              <w:pStyle w:val="cuadroCabe"/>
              <w:jc w:val="right"/>
              <w:rPr>
                <w:b/>
                <w:bCs/>
                <w:sz w:val="12"/>
                <w:szCs w:val="12"/>
              </w:rPr>
            </w:pPr>
            <w:r w:rsidRPr="002B636D">
              <w:rPr>
                <w:b/>
                <w:bCs/>
                <w:sz w:val="12"/>
                <w:szCs w:val="12"/>
              </w:rPr>
              <w:t>PRESTAMOS (*)</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36D559C"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single" w:sz="2" w:space="0" w:color="auto"/>
              <w:bottom w:val="single" w:sz="4" w:space="0" w:color="auto"/>
              <w:right w:val="single" w:sz="4" w:space="0" w:color="auto"/>
            </w:tcBorders>
            <w:shd w:val="clear" w:color="000000" w:fill="BDD7EE"/>
            <w:noWrap/>
            <w:vAlign w:val="bottom"/>
            <w:hideMark/>
          </w:tcPr>
          <w:p w14:paraId="447A3702" w14:textId="77777777" w:rsidR="00F87E58" w:rsidRPr="002B636D" w:rsidRDefault="00F87E58" w:rsidP="00F87E58">
            <w:pPr>
              <w:pStyle w:val="cuadroCabe"/>
              <w:jc w:val="right"/>
              <w:rPr>
                <w:sz w:val="12"/>
                <w:szCs w:val="12"/>
              </w:rPr>
            </w:pPr>
            <w:r w:rsidRPr="002B636D">
              <w:rPr>
                <w:sz w:val="12"/>
                <w:szCs w:val="12"/>
              </w:rPr>
              <w:t> </w:t>
            </w:r>
          </w:p>
        </w:tc>
        <w:tc>
          <w:tcPr>
            <w:tcW w:w="1255" w:type="dxa"/>
            <w:tcBorders>
              <w:top w:val="single" w:sz="4" w:space="0" w:color="auto"/>
              <w:left w:val="nil"/>
              <w:bottom w:val="single" w:sz="4" w:space="0" w:color="auto"/>
              <w:right w:val="single" w:sz="4" w:space="0" w:color="auto"/>
            </w:tcBorders>
            <w:shd w:val="clear" w:color="000000" w:fill="BDD7EE"/>
            <w:noWrap/>
            <w:vAlign w:val="bottom"/>
            <w:hideMark/>
          </w:tcPr>
          <w:p w14:paraId="1F9D32F4"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nil"/>
              <w:bottom w:val="single" w:sz="4" w:space="0" w:color="auto"/>
            </w:tcBorders>
            <w:shd w:val="clear" w:color="000000" w:fill="BDD7EE"/>
            <w:noWrap/>
            <w:vAlign w:val="bottom"/>
            <w:hideMark/>
          </w:tcPr>
          <w:p w14:paraId="6CB86B57" w14:textId="77777777" w:rsidR="00F87E58" w:rsidRPr="002B636D" w:rsidRDefault="00F87E58" w:rsidP="00F87E58">
            <w:pPr>
              <w:pStyle w:val="cuadroCabe"/>
              <w:jc w:val="right"/>
              <w:rPr>
                <w:sz w:val="12"/>
                <w:szCs w:val="12"/>
              </w:rPr>
            </w:pPr>
            <w:r w:rsidRPr="002B636D">
              <w:rPr>
                <w:sz w:val="12"/>
                <w:szCs w:val="12"/>
              </w:rPr>
              <w:t> </w:t>
            </w:r>
          </w:p>
        </w:tc>
      </w:tr>
      <w:tr w:rsidR="00F87E58" w:rsidRPr="002B636D" w14:paraId="380D22B0" w14:textId="77777777" w:rsidTr="00321B53">
        <w:trPr>
          <w:trHeight w:val="252"/>
          <w:jc w:val="center"/>
        </w:trPr>
        <w:tc>
          <w:tcPr>
            <w:tcW w:w="548" w:type="dxa"/>
            <w:tcBorders>
              <w:top w:val="single" w:sz="4" w:space="0" w:color="auto"/>
              <w:bottom w:val="single" w:sz="4" w:space="0" w:color="auto"/>
              <w:right w:val="single" w:sz="4" w:space="0" w:color="auto"/>
            </w:tcBorders>
            <w:shd w:val="clear" w:color="000000" w:fill="BDD7EE"/>
            <w:noWrap/>
            <w:vAlign w:val="center"/>
            <w:hideMark/>
          </w:tcPr>
          <w:p w14:paraId="2A23DA8D" w14:textId="77777777" w:rsidR="00F87E58" w:rsidRPr="002B636D" w:rsidRDefault="00F87E58" w:rsidP="00E118C0">
            <w:pPr>
              <w:pStyle w:val="cuadroCabe"/>
              <w:spacing w:line="240" w:lineRule="auto"/>
              <w:jc w:val="left"/>
              <w:rPr>
                <w:sz w:val="12"/>
                <w:szCs w:val="12"/>
              </w:rPr>
            </w:pPr>
            <w:r w:rsidRPr="002B636D">
              <w:rPr>
                <w:sz w:val="12"/>
                <w:szCs w:val="12"/>
              </w:rPr>
              <w:t> </w:t>
            </w:r>
          </w:p>
        </w:tc>
        <w:tc>
          <w:tcPr>
            <w:tcW w:w="837" w:type="dxa"/>
            <w:tcBorders>
              <w:top w:val="single" w:sz="4" w:space="0" w:color="auto"/>
              <w:left w:val="nil"/>
              <w:bottom w:val="single" w:sz="4" w:space="0" w:color="auto"/>
              <w:right w:val="single" w:sz="4" w:space="0" w:color="auto"/>
            </w:tcBorders>
            <w:shd w:val="clear" w:color="000000" w:fill="BDD7EE"/>
            <w:noWrap/>
            <w:vAlign w:val="center"/>
            <w:hideMark/>
          </w:tcPr>
          <w:p w14:paraId="3C841AA1" w14:textId="77777777" w:rsidR="00F87E58" w:rsidRPr="002B636D" w:rsidRDefault="00F87E58" w:rsidP="00E118C0">
            <w:pPr>
              <w:pStyle w:val="cuadroCabe"/>
              <w:spacing w:line="240" w:lineRule="auto"/>
              <w:jc w:val="right"/>
              <w:rPr>
                <w:sz w:val="12"/>
                <w:szCs w:val="12"/>
              </w:rPr>
            </w:pPr>
            <w:r w:rsidRPr="002B636D">
              <w:rPr>
                <w:sz w:val="12"/>
                <w:szCs w:val="12"/>
              </w:rPr>
              <w:t>Inversiones</w:t>
            </w:r>
          </w:p>
        </w:tc>
        <w:tc>
          <w:tcPr>
            <w:tcW w:w="976" w:type="dxa"/>
            <w:tcBorders>
              <w:top w:val="single" w:sz="4" w:space="0" w:color="auto"/>
              <w:left w:val="nil"/>
              <w:bottom w:val="single" w:sz="4" w:space="0" w:color="auto"/>
              <w:right w:val="single" w:sz="4" w:space="0" w:color="auto"/>
            </w:tcBorders>
            <w:shd w:val="clear" w:color="000000" w:fill="BDD7EE"/>
            <w:vAlign w:val="center"/>
            <w:hideMark/>
          </w:tcPr>
          <w:p w14:paraId="32FE704D" w14:textId="77777777" w:rsidR="00F87E58" w:rsidRPr="002B636D" w:rsidRDefault="00F87E58" w:rsidP="00E118C0">
            <w:pPr>
              <w:pStyle w:val="cuadroCabe"/>
              <w:spacing w:line="240" w:lineRule="auto"/>
              <w:jc w:val="right"/>
              <w:rPr>
                <w:sz w:val="12"/>
                <w:szCs w:val="12"/>
              </w:rPr>
            </w:pPr>
            <w:r w:rsidRPr="002B636D">
              <w:rPr>
                <w:sz w:val="12"/>
                <w:szCs w:val="12"/>
              </w:rPr>
              <w:t>Amortizacion deuda</w:t>
            </w:r>
          </w:p>
        </w:tc>
        <w:tc>
          <w:tcPr>
            <w:tcW w:w="861" w:type="dxa"/>
            <w:tcBorders>
              <w:top w:val="single" w:sz="4" w:space="0" w:color="auto"/>
              <w:left w:val="nil"/>
              <w:bottom w:val="single" w:sz="4" w:space="0" w:color="auto"/>
              <w:right w:val="single" w:sz="2" w:space="0" w:color="auto"/>
            </w:tcBorders>
            <w:shd w:val="clear" w:color="000000" w:fill="BDD7EE"/>
            <w:vAlign w:val="center"/>
            <w:hideMark/>
          </w:tcPr>
          <w:p w14:paraId="6626FD55" w14:textId="77777777" w:rsidR="00F87E58" w:rsidRPr="002B636D" w:rsidRDefault="00F87E58" w:rsidP="00E118C0">
            <w:pPr>
              <w:pStyle w:val="cuadroCabe"/>
              <w:spacing w:line="240" w:lineRule="auto"/>
              <w:jc w:val="right"/>
              <w:rPr>
                <w:sz w:val="12"/>
                <w:szCs w:val="12"/>
              </w:rPr>
            </w:pPr>
            <w:r w:rsidRPr="002B636D">
              <w:rPr>
                <w:sz w:val="12"/>
                <w:szCs w:val="12"/>
              </w:rPr>
              <w:t>Déficit</w:t>
            </w:r>
          </w:p>
          <w:p w14:paraId="00D18B09" w14:textId="77777777" w:rsidR="00F87E58" w:rsidRPr="002B636D" w:rsidRDefault="00F87E58" w:rsidP="00E118C0">
            <w:pPr>
              <w:pStyle w:val="cuadroCabe"/>
              <w:spacing w:line="240" w:lineRule="auto"/>
              <w:jc w:val="right"/>
              <w:rPr>
                <w:sz w:val="12"/>
                <w:szCs w:val="12"/>
              </w:rPr>
            </w:pPr>
            <w:r w:rsidRPr="002B636D">
              <w:rPr>
                <w:sz w:val="12"/>
                <w:szCs w:val="12"/>
              </w:rPr>
              <w:t xml:space="preserve"> tesorería </w:t>
            </w:r>
          </w:p>
        </w:tc>
        <w:tc>
          <w:tcPr>
            <w:tcW w:w="1233"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01CF93FE" w14:textId="77777777" w:rsidR="00F87E58" w:rsidRPr="002B636D" w:rsidRDefault="00F87E58" w:rsidP="00E118C0">
            <w:pPr>
              <w:pStyle w:val="cuadroCabe"/>
              <w:spacing w:line="240" w:lineRule="auto"/>
              <w:jc w:val="right"/>
              <w:rPr>
                <w:sz w:val="12"/>
                <w:szCs w:val="12"/>
              </w:rPr>
            </w:pPr>
            <w:r w:rsidRPr="002B636D">
              <w:rPr>
                <w:sz w:val="12"/>
                <w:szCs w:val="12"/>
              </w:rPr>
              <w:t>TOTAL</w:t>
            </w:r>
          </w:p>
          <w:p w14:paraId="136D21D6" w14:textId="77777777" w:rsidR="00F87E58" w:rsidRPr="002B636D" w:rsidRDefault="00F87E58" w:rsidP="00E118C0">
            <w:pPr>
              <w:pStyle w:val="cuadroCabe"/>
              <w:spacing w:line="240" w:lineRule="auto"/>
              <w:jc w:val="right"/>
              <w:rPr>
                <w:sz w:val="12"/>
                <w:szCs w:val="12"/>
              </w:rPr>
            </w:pPr>
            <w:r w:rsidRPr="002B636D">
              <w:rPr>
                <w:sz w:val="12"/>
                <w:szCs w:val="12"/>
              </w:rPr>
              <w:t xml:space="preserve"> FINANCIACION</w:t>
            </w:r>
          </w:p>
        </w:tc>
        <w:tc>
          <w:tcPr>
            <w:tcW w:w="1395"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5CB7D44F" w14:textId="77777777" w:rsidR="00F87E58" w:rsidRDefault="00F87E58" w:rsidP="00E118C0">
            <w:pPr>
              <w:pStyle w:val="cuadroCabe"/>
              <w:spacing w:line="240" w:lineRule="auto"/>
              <w:jc w:val="right"/>
              <w:rPr>
                <w:sz w:val="12"/>
                <w:szCs w:val="12"/>
              </w:rPr>
            </w:pPr>
            <w:r w:rsidRPr="002B636D">
              <w:rPr>
                <w:sz w:val="12"/>
                <w:szCs w:val="12"/>
              </w:rPr>
              <w:t>PLAN INVERSIONES 2020-2022</w:t>
            </w:r>
          </w:p>
          <w:p w14:paraId="1358C9C9" w14:textId="77777777" w:rsidR="00F87E58" w:rsidRPr="002B636D" w:rsidRDefault="00F87E58" w:rsidP="00E118C0">
            <w:pPr>
              <w:pStyle w:val="cuadroCabe"/>
              <w:spacing w:line="240" w:lineRule="auto"/>
              <w:jc w:val="right"/>
              <w:rPr>
                <w:sz w:val="12"/>
                <w:szCs w:val="12"/>
              </w:rPr>
            </w:pPr>
            <w:r w:rsidRPr="002B636D">
              <w:rPr>
                <w:sz w:val="12"/>
                <w:szCs w:val="12"/>
              </w:rPr>
              <w:t xml:space="preserve"> (préstamo 3,8 MM)</w:t>
            </w:r>
          </w:p>
        </w:tc>
        <w:tc>
          <w:tcPr>
            <w:tcW w:w="976"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5041CF2D" w14:textId="77777777" w:rsidR="00F87E58" w:rsidRDefault="00F87E58" w:rsidP="00E118C0">
            <w:pPr>
              <w:pStyle w:val="cuadroCabe"/>
              <w:spacing w:line="240" w:lineRule="auto"/>
              <w:jc w:val="right"/>
              <w:rPr>
                <w:sz w:val="12"/>
                <w:szCs w:val="12"/>
              </w:rPr>
            </w:pPr>
            <w:r w:rsidRPr="002B636D">
              <w:rPr>
                <w:sz w:val="12"/>
                <w:szCs w:val="12"/>
              </w:rPr>
              <w:t>Gasto</w:t>
            </w:r>
          </w:p>
          <w:p w14:paraId="07B5E32B" w14:textId="77777777" w:rsidR="00F87E58" w:rsidRPr="002B636D" w:rsidRDefault="00F87E58" w:rsidP="00E118C0">
            <w:pPr>
              <w:pStyle w:val="cuadroCabe"/>
              <w:spacing w:line="240" w:lineRule="auto"/>
              <w:jc w:val="right"/>
              <w:rPr>
                <w:sz w:val="12"/>
                <w:szCs w:val="12"/>
              </w:rPr>
            </w:pPr>
            <w:r w:rsidRPr="002B636D">
              <w:rPr>
                <w:sz w:val="12"/>
                <w:szCs w:val="12"/>
              </w:rPr>
              <w:t xml:space="preserve"> reapertura trasincendio</w:t>
            </w:r>
          </w:p>
        </w:tc>
        <w:tc>
          <w:tcPr>
            <w:tcW w:w="1257" w:type="dxa"/>
            <w:tcBorders>
              <w:top w:val="single" w:sz="4" w:space="0" w:color="auto"/>
              <w:left w:val="single" w:sz="2" w:space="0" w:color="auto"/>
              <w:bottom w:val="single" w:sz="4" w:space="0" w:color="auto"/>
              <w:right w:val="single" w:sz="2" w:space="0" w:color="auto"/>
            </w:tcBorders>
            <w:shd w:val="clear" w:color="000000" w:fill="BDD7EE"/>
            <w:vAlign w:val="center"/>
            <w:hideMark/>
          </w:tcPr>
          <w:p w14:paraId="67D898B9" w14:textId="77777777" w:rsidR="00F87E58" w:rsidRDefault="00F87E58" w:rsidP="00E118C0">
            <w:pPr>
              <w:pStyle w:val="cuadroCabe"/>
              <w:spacing w:line="240" w:lineRule="auto"/>
              <w:jc w:val="right"/>
              <w:rPr>
                <w:sz w:val="12"/>
                <w:szCs w:val="12"/>
              </w:rPr>
            </w:pPr>
            <w:r w:rsidRPr="002B636D">
              <w:rPr>
                <w:sz w:val="12"/>
                <w:szCs w:val="12"/>
              </w:rPr>
              <w:t xml:space="preserve"> INVERSIONES INCENDIO </w:t>
            </w:r>
          </w:p>
          <w:p w14:paraId="7B67E292" w14:textId="77777777" w:rsidR="00F87E58" w:rsidRPr="002B636D" w:rsidRDefault="00F87E58" w:rsidP="00E118C0">
            <w:pPr>
              <w:pStyle w:val="cuadroCabe"/>
              <w:spacing w:line="240" w:lineRule="auto"/>
              <w:jc w:val="right"/>
              <w:rPr>
                <w:sz w:val="12"/>
                <w:szCs w:val="12"/>
              </w:rPr>
            </w:pPr>
            <w:r w:rsidRPr="002B636D">
              <w:rPr>
                <w:sz w:val="12"/>
                <w:szCs w:val="12"/>
              </w:rPr>
              <w:t>(préstamo 1,5 MM)</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5B6BF46C" w14:textId="77777777" w:rsidR="00F87E58" w:rsidRPr="002B636D" w:rsidRDefault="00F87E58" w:rsidP="00E118C0">
            <w:pPr>
              <w:pStyle w:val="cuadroCabe"/>
              <w:spacing w:line="240" w:lineRule="auto"/>
              <w:jc w:val="right"/>
              <w:rPr>
                <w:b/>
                <w:bCs/>
                <w:sz w:val="12"/>
                <w:szCs w:val="12"/>
              </w:rPr>
            </w:pPr>
            <w:r w:rsidRPr="002B636D">
              <w:rPr>
                <w:b/>
                <w:bCs/>
                <w:sz w:val="12"/>
                <w:szCs w:val="12"/>
              </w:rPr>
              <w:t> </w:t>
            </w:r>
          </w:p>
        </w:tc>
        <w:tc>
          <w:tcPr>
            <w:tcW w:w="1395" w:type="dxa"/>
            <w:tcBorders>
              <w:top w:val="single" w:sz="4" w:space="0" w:color="auto"/>
              <w:left w:val="single" w:sz="2" w:space="0" w:color="auto"/>
              <w:bottom w:val="single" w:sz="4" w:space="0" w:color="auto"/>
              <w:right w:val="single" w:sz="2" w:space="0" w:color="auto"/>
            </w:tcBorders>
            <w:shd w:val="clear" w:color="000000" w:fill="BDD7EE"/>
            <w:vAlign w:val="center"/>
          </w:tcPr>
          <w:p w14:paraId="578CB6F6" w14:textId="77777777" w:rsidR="00F87E58" w:rsidRPr="002B636D" w:rsidRDefault="00F87E58" w:rsidP="00E118C0">
            <w:pPr>
              <w:pStyle w:val="cuadroCabe"/>
              <w:spacing w:line="240" w:lineRule="auto"/>
              <w:jc w:val="right"/>
              <w:rPr>
                <w:b/>
                <w:bCs/>
                <w:sz w:val="12"/>
                <w:szCs w:val="12"/>
              </w:rPr>
            </w:pPr>
            <w:r w:rsidRPr="002B636D">
              <w:rPr>
                <w:b/>
                <w:bCs/>
                <w:sz w:val="12"/>
                <w:szCs w:val="12"/>
              </w:rPr>
              <w:t>TOTAL PRESTAMO ACUMULADO</w:t>
            </w:r>
          </w:p>
        </w:tc>
        <w:tc>
          <w:tcPr>
            <w:tcW w:w="1395" w:type="dxa"/>
            <w:tcBorders>
              <w:top w:val="single" w:sz="4" w:space="0" w:color="auto"/>
              <w:left w:val="single" w:sz="2" w:space="0" w:color="auto"/>
              <w:bottom w:val="single" w:sz="4" w:space="0" w:color="auto"/>
              <w:right w:val="single" w:sz="4" w:space="0" w:color="auto"/>
            </w:tcBorders>
            <w:shd w:val="clear" w:color="000000" w:fill="BDD7EE"/>
            <w:vAlign w:val="center"/>
          </w:tcPr>
          <w:p w14:paraId="4C53F281" w14:textId="77777777" w:rsidR="00F87E58" w:rsidRPr="002B636D" w:rsidRDefault="00F87E58" w:rsidP="00E118C0">
            <w:pPr>
              <w:pStyle w:val="cuadroCabe"/>
              <w:spacing w:line="240" w:lineRule="auto"/>
              <w:jc w:val="right"/>
              <w:rPr>
                <w:b/>
                <w:bCs/>
                <w:sz w:val="12"/>
                <w:szCs w:val="12"/>
              </w:rPr>
            </w:pPr>
            <w:r w:rsidRPr="002B636D">
              <w:rPr>
                <w:b/>
                <w:bCs/>
                <w:sz w:val="12"/>
                <w:szCs w:val="12"/>
              </w:rPr>
              <w:t>PRESTAMO PARTICIPATIVO ANUAL</w:t>
            </w:r>
          </w:p>
        </w:tc>
        <w:tc>
          <w:tcPr>
            <w:tcW w:w="1255" w:type="dxa"/>
            <w:tcBorders>
              <w:top w:val="single" w:sz="4" w:space="0" w:color="auto"/>
              <w:left w:val="nil"/>
              <w:bottom w:val="single" w:sz="4" w:space="0" w:color="auto"/>
              <w:right w:val="single" w:sz="4" w:space="0" w:color="auto"/>
            </w:tcBorders>
            <w:shd w:val="clear" w:color="000000" w:fill="BDD7EE"/>
            <w:vAlign w:val="center"/>
          </w:tcPr>
          <w:p w14:paraId="4B8B115C" w14:textId="77777777" w:rsidR="00F87E58" w:rsidRDefault="00F87E58" w:rsidP="00E118C0">
            <w:pPr>
              <w:pStyle w:val="cuadroCabe"/>
              <w:spacing w:line="240" w:lineRule="auto"/>
              <w:jc w:val="right"/>
              <w:rPr>
                <w:b/>
                <w:bCs/>
                <w:sz w:val="12"/>
                <w:szCs w:val="12"/>
              </w:rPr>
            </w:pPr>
            <w:r w:rsidRPr="002B636D">
              <w:rPr>
                <w:b/>
                <w:bCs/>
                <w:sz w:val="12"/>
                <w:szCs w:val="12"/>
              </w:rPr>
              <w:t xml:space="preserve">PRESTAMO </w:t>
            </w:r>
          </w:p>
          <w:p w14:paraId="3125CFBD" w14:textId="77777777" w:rsidR="00F87E58" w:rsidRDefault="00F87E58" w:rsidP="00E118C0">
            <w:pPr>
              <w:pStyle w:val="cuadroCabe"/>
              <w:spacing w:line="240" w:lineRule="auto"/>
              <w:jc w:val="right"/>
              <w:rPr>
                <w:b/>
                <w:bCs/>
                <w:sz w:val="12"/>
                <w:szCs w:val="12"/>
              </w:rPr>
            </w:pPr>
            <w:r w:rsidRPr="002B636D">
              <w:rPr>
                <w:b/>
                <w:bCs/>
                <w:sz w:val="12"/>
                <w:szCs w:val="12"/>
              </w:rPr>
              <w:t xml:space="preserve">PARTICIPATIVO </w:t>
            </w:r>
          </w:p>
          <w:p w14:paraId="129F4CEC" w14:textId="77777777" w:rsidR="00F87E58" w:rsidRPr="002B636D" w:rsidRDefault="00F87E58" w:rsidP="00E118C0">
            <w:pPr>
              <w:pStyle w:val="cuadroCabe"/>
              <w:spacing w:line="240" w:lineRule="auto"/>
              <w:jc w:val="right"/>
              <w:rPr>
                <w:b/>
                <w:bCs/>
                <w:sz w:val="12"/>
                <w:szCs w:val="12"/>
              </w:rPr>
            </w:pPr>
            <w:r w:rsidRPr="002B636D">
              <w:rPr>
                <w:b/>
                <w:bCs/>
                <w:sz w:val="12"/>
                <w:szCs w:val="12"/>
              </w:rPr>
              <w:t>ACUMULADO</w:t>
            </w:r>
          </w:p>
        </w:tc>
        <w:tc>
          <w:tcPr>
            <w:tcW w:w="1395" w:type="dxa"/>
            <w:tcBorders>
              <w:top w:val="single" w:sz="4" w:space="0" w:color="auto"/>
              <w:left w:val="nil"/>
              <w:bottom w:val="single" w:sz="4" w:space="0" w:color="auto"/>
            </w:tcBorders>
            <w:shd w:val="clear" w:color="000000" w:fill="BDD7EE"/>
            <w:vAlign w:val="center"/>
          </w:tcPr>
          <w:p w14:paraId="0456A340" w14:textId="77777777" w:rsidR="00F87E58" w:rsidRDefault="00F87E58" w:rsidP="00E118C0">
            <w:pPr>
              <w:pStyle w:val="cuadroCabe"/>
              <w:spacing w:line="240" w:lineRule="auto"/>
              <w:jc w:val="right"/>
              <w:rPr>
                <w:b/>
                <w:bCs/>
                <w:sz w:val="12"/>
                <w:szCs w:val="12"/>
              </w:rPr>
            </w:pPr>
            <w:r w:rsidRPr="002B636D">
              <w:rPr>
                <w:b/>
                <w:bCs/>
                <w:sz w:val="12"/>
                <w:szCs w:val="12"/>
              </w:rPr>
              <w:t xml:space="preserve">PRESTAMO </w:t>
            </w:r>
          </w:p>
          <w:p w14:paraId="0AC1737E" w14:textId="77777777" w:rsidR="00F87E58" w:rsidRDefault="00F87E58" w:rsidP="00E118C0">
            <w:pPr>
              <w:pStyle w:val="cuadroCabe"/>
              <w:spacing w:line="240" w:lineRule="auto"/>
              <w:jc w:val="right"/>
              <w:rPr>
                <w:b/>
                <w:bCs/>
                <w:sz w:val="12"/>
                <w:szCs w:val="12"/>
              </w:rPr>
            </w:pPr>
            <w:r w:rsidRPr="002B636D">
              <w:rPr>
                <w:b/>
                <w:bCs/>
                <w:sz w:val="12"/>
                <w:szCs w:val="12"/>
              </w:rPr>
              <w:t xml:space="preserve">NO PARTICIPATIVO </w:t>
            </w:r>
          </w:p>
          <w:p w14:paraId="3A7866D1" w14:textId="77777777" w:rsidR="00F87E58" w:rsidRPr="002B636D" w:rsidRDefault="00F87E58" w:rsidP="00E118C0">
            <w:pPr>
              <w:pStyle w:val="cuadroCabe"/>
              <w:spacing w:line="240" w:lineRule="auto"/>
              <w:jc w:val="right"/>
              <w:rPr>
                <w:b/>
                <w:bCs/>
                <w:sz w:val="12"/>
                <w:szCs w:val="12"/>
              </w:rPr>
            </w:pPr>
            <w:r w:rsidRPr="002B636D">
              <w:rPr>
                <w:b/>
                <w:bCs/>
                <w:sz w:val="12"/>
                <w:szCs w:val="12"/>
              </w:rPr>
              <w:t>ACUMULADO</w:t>
            </w:r>
          </w:p>
        </w:tc>
      </w:tr>
      <w:tr w:rsidR="00F87E58" w:rsidRPr="002B636D" w14:paraId="3CA4A711" w14:textId="77777777" w:rsidTr="00321B53">
        <w:trPr>
          <w:trHeight w:val="196"/>
          <w:jc w:val="center"/>
        </w:trPr>
        <w:tc>
          <w:tcPr>
            <w:tcW w:w="548" w:type="dxa"/>
            <w:tcBorders>
              <w:top w:val="single" w:sz="4" w:space="0" w:color="auto"/>
              <w:bottom w:val="single" w:sz="4" w:space="0" w:color="auto"/>
              <w:right w:val="single" w:sz="4" w:space="0" w:color="auto"/>
            </w:tcBorders>
            <w:shd w:val="clear" w:color="auto" w:fill="auto"/>
            <w:noWrap/>
            <w:vAlign w:val="center"/>
            <w:hideMark/>
          </w:tcPr>
          <w:p w14:paraId="6AF88DB4" w14:textId="77777777" w:rsidR="00F87E58" w:rsidRPr="002B636D" w:rsidRDefault="00F87E58" w:rsidP="00F87E58">
            <w:pPr>
              <w:pStyle w:val="cuatexto"/>
              <w:jc w:val="left"/>
              <w:rPr>
                <w:sz w:val="14"/>
                <w:szCs w:val="14"/>
              </w:rPr>
            </w:pPr>
            <w:r w:rsidRPr="002B636D">
              <w:rPr>
                <w:sz w:val="14"/>
                <w:szCs w:val="14"/>
              </w:rPr>
              <w:t>2005</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5C613570" w14:textId="77777777" w:rsidR="00F87E58" w:rsidRPr="002B636D" w:rsidRDefault="00F87E58" w:rsidP="00F87E58">
            <w:pPr>
              <w:pStyle w:val="cuatexto"/>
              <w:jc w:val="right"/>
              <w:rPr>
                <w:sz w:val="14"/>
                <w:szCs w:val="14"/>
              </w:rPr>
            </w:pPr>
            <w:r w:rsidRPr="002B636D">
              <w:rPr>
                <w:sz w:val="14"/>
                <w:szCs w:val="14"/>
              </w:rPr>
              <w:t>6.057.302</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184BFE0E" w14:textId="77777777" w:rsidR="00F87E58" w:rsidRPr="002B636D" w:rsidRDefault="00F87E58" w:rsidP="00F87E58">
            <w:pPr>
              <w:pStyle w:val="cuatexto"/>
              <w:jc w:val="right"/>
              <w:rPr>
                <w:sz w:val="14"/>
                <w:szCs w:val="14"/>
              </w:rPr>
            </w:pPr>
            <w:r w:rsidRPr="002B636D">
              <w:rPr>
                <w:sz w:val="14"/>
                <w:szCs w:val="14"/>
              </w:rPr>
              <w:t>525.000</w:t>
            </w:r>
          </w:p>
        </w:tc>
        <w:tc>
          <w:tcPr>
            <w:tcW w:w="861" w:type="dxa"/>
            <w:tcBorders>
              <w:top w:val="single" w:sz="4" w:space="0" w:color="auto"/>
              <w:left w:val="nil"/>
              <w:bottom w:val="single" w:sz="4" w:space="0" w:color="auto"/>
              <w:right w:val="single" w:sz="2" w:space="0" w:color="auto"/>
            </w:tcBorders>
            <w:shd w:val="clear" w:color="auto" w:fill="auto"/>
            <w:noWrap/>
            <w:vAlign w:val="bottom"/>
            <w:hideMark/>
          </w:tcPr>
          <w:p w14:paraId="365E15EF" w14:textId="77777777" w:rsidR="00F87E58" w:rsidRPr="002B636D" w:rsidRDefault="00F87E58" w:rsidP="00F87E58">
            <w:pPr>
              <w:pStyle w:val="cuatexto"/>
              <w:jc w:val="right"/>
              <w:rPr>
                <w:sz w:val="14"/>
                <w:szCs w:val="14"/>
              </w:rPr>
            </w:pPr>
            <w:r w:rsidRPr="002B636D">
              <w:rPr>
                <w:sz w:val="14"/>
                <w:szCs w:val="14"/>
              </w:rPr>
              <w:t>3.515.149</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27C4A2A" w14:textId="77777777" w:rsidR="00F87E58" w:rsidRPr="002B636D" w:rsidRDefault="00F87E58" w:rsidP="00F87E58">
            <w:pPr>
              <w:pStyle w:val="cuatexto"/>
              <w:jc w:val="right"/>
              <w:rPr>
                <w:sz w:val="14"/>
                <w:szCs w:val="14"/>
              </w:rPr>
            </w:pPr>
            <w:r w:rsidRPr="002B636D">
              <w:rPr>
                <w:sz w:val="14"/>
                <w:szCs w:val="14"/>
              </w:rPr>
              <w:t>10.097.452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5360D05"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59E318B"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0DF41DE"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2FEEA71C" w14:textId="77777777" w:rsidR="00F87E58" w:rsidRPr="002B636D" w:rsidRDefault="00F87E58" w:rsidP="00F87E58">
            <w:pPr>
              <w:pStyle w:val="cuatexto"/>
              <w:jc w:val="right"/>
              <w:rPr>
                <w:b/>
                <w:bCs/>
                <w:sz w:val="14"/>
                <w:szCs w:val="14"/>
              </w:rPr>
            </w:pPr>
            <w:r w:rsidRPr="002B636D">
              <w:rPr>
                <w:b/>
                <w:bCs/>
                <w:sz w:val="14"/>
                <w:szCs w:val="14"/>
              </w:rPr>
              <w:t>10.097.452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18D9F42" w14:textId="77777777" w:rsidR="00F87E58" w:rsidRPr="002B636D" w:rsidRDefault="00F87E58" w:rsidP="00F87E58">
            <w:pPr>
              <w:pStyle w:val="cuatexto"/>
              <w:jc w:val="right"/>
              <w:rPr>
                <w:b/>
                <w:bCs/>
                <w:sz w:val="14"/>
                <w:szCs w:val="14"/>
              </w:rPr>
            </w:pPr>
            <w:r w:rsidRPr="002B636D">
              <w:rPr>
                <w:b/>
                <w:bCs/>
                <w:sz w:val="14"/>
                <w:szCs w:val="14"/>
              </w:rPr>
              <w:t>10.097.452</w:t>
            </w:r>
          </w:p>
        </w:tc>
        <w:tc>
          <w:tcPr>
            <w:tcW w:w="1395" w:type="dxa"/>
            <w:tcBorders>
              <w:top w:val="single" w:sz="4" w:space="0" w:color="auto"/>
              <w:left w:val="single" w:sz="2" w:space="0" w:color="auto"/>
              <w:bottom w:val="single" w:sz="4" w:space="0" w:color="auto"/>
              <w:right w:val="single" w:sz="4" w:space="0" w:color="auto"/>
            </w:tcBorders>
            <w:shd w:val="clear" w:color="auto" w:fill="auto"/>
            <w:noWrap/>
            <w:vAlign w:val="bottom"/>
          </w:tcPr>
          <w:p w14:paraId="612388C2" w14:textId="77777777" w:rsidR="00F87E58" w:rsidRPr="002B636D" w:rsidRDefault="00F87E58" w:rsidP="00F87E58">
            <w:pPr>
              <w:pStyle w:val="cuatexto"/>
              <w:jc w:val="right"/>
              <w:rPr>
                <w:sz w:val="14"/>
                <w:szCs w:val="14"/>
              </w:rPr>
            </w:pPr>
            <w:r w:rsidRPr="002B636D">
              <w:rPr>
                <w:sz w:val="14"/>
                <w:szCs w:val="14"/>
              </w:rPr>
              <w:t>0</w:t>
            </w:r>
          </w:p>
        </w:tc>
        <w:tc>
          <w:tcPr>
            <w:tcW w:w="1255" w:type="dxa"/>
            <w:tcBorders>
              <w:top w:val="single" w:sz="4" w:space="0" w:color="auto"/>
              <w:left w:val="nil"/>
              <w:bottom w:val="single" w:sz="4" w:space="0" w:color="auto"/>
              <w:right w:val="single" w:sz="4" w:space="0" w:color="auto"/>
            </w:tcBorders>
            <w:shd w:val="clear" w:color="auto" w:fill="auto"/>
            <w:noWrap/>
            <w:vAlign w:val="bottom"/>
          </w:tcPr>
          <w:p w14:paraId="2B4255F7" w14:textId="77777777" w:rsidR="00F87E58" w:rsidRPr="002B636D" w:rsidRDefault="00F87E58" w:rsidP="00F87E58">
            <w:pPr>
              <w:pStyle w:val="cuatexto"/>
              <w:jc w:val="right"/>
              <w:rPr>
                <w:sz w:val="14"/>
                <w:szCs w:val="14"/>
              </w:rPr>
            </w:pPr>
            <w:r w:rsidRPr="002B636D">
              <w:rPr>
                <w:sz w:val="14"/>
                <w:szCs w:val="14"/>
              </w:rPr>
              <w:t>0</w:t>
            </w:r>
          </w:p>
        </w:tc>
        <w:tc>
          <w:tcPr>
            <w:tcW w:w="1395" w:type="dxa"/>
            <w:tcBorders>
              <w:top w:val="single" w:sz="4" w:space="0" w:color="auto"/>
              <w:left w:val="nil"/>
              <w:bottom w:val="single" w:sz="4" w:space="0" w:color="auto"/>
            </w:tcBorders>
            <w:shd w:val="clear" w:color="auto" w:fill="auto"/>
            <w:noWrap/>
            <w:vAlign w:val="bottom"/>
          </w:tcPr>
          <w:p w14:paraId="2AE8B641" w14:textId="77777777" w:rsidR="00F87E58" w:rsidRPr="002B636D" w:rsidRDefault="00F87E58" w:rsidP="00F87E58">
            <w:pPr>
              <w:pStyle w:val="cuatexto"/>
              <w:jc w:val="right"/>
              <w:rPr>
                <w:sz w:val="14"/>
                <w:szCs w:val="14"/>
              </w:rPr>
            </w:pPr>
            <w:r w:rsidRPr="002B636D">
              <w:rPr>
                <w:sz w:val="14"/>
                <w:szCs w:val="14"/>
              </w:rPr>
              <w:t>10.097.452</w:t>
            </w:r>
          </w:p>
        </w:tc>
      </w:tr>
      <w:tr w:rsidR="00F87E58" w:rsidRPr="002B636D" w14:paraId="215B554D"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13AA0DA5" w14:textId="77777777" w:rsidR="00F87E58" w:rsidRPr="002B636D" w:rsidRDefault="00F87E58" w:rsidP="00F87E58">
            <w:pPr>
              <w:pStyle w:val="cuatexto"/>
              <w:jc w:val="left"/>
              <w:rPr>
                <w:sz w:val="14"/>
                <w:szCs w:val="14"/>
              </w:rPr>
            </w:pPr>
            <w:r w:rsidRPr="002B636D">
              <w:rPr>
                <w:sz w:val="14"/>
                <w:szCs w:val="14"/>
              </w:rPr>
              <w:t>2006</w:t>
            </w:r>
          </w:p>
        </w:tc>
        <w:tc>
          <w:tcPr>
            <w:tcW w:w="837" w:type="dxa"/>
            <w:tcBorders>
              <w:top w:val="nil"/>
              <w:left w:val="nil"/>
              <w:bottom w:val="single" w:sz="4" w:space="0" w:color="auto"/>
              <w:right w:val="single" w:sz="4" w:space="0" w:color="auto"/>
            </w:tcBorders>
            <w:shd w:val="clear" w:color="auto" w:fill="auto"/>
            <w:noWrap/>
            <w:vAlign w:val="bottom"/>
            <w:hideMark/>
          </w:tcPr>
          <w:p w14:paraId="7DDA3DF1" w14:textId="77777777" w:rsidR="00F87E58" w:rsidRPr="002B636D" w:rsidRDefault="00F87E58" w:rsidP="00F87E58">
            <w:pPr>
              <w:pStyle w:val="cuatexto"/>
              <w:jc w:val="right"/>
              <w:rPr>
                <w:sz w:val="14"/>
                <w:szCs w:val="14"/>
              </w:rPr>
            </w:pPr>
            <w:r w:rsidRPr="002B636D">
              <w:rPr>
                <w:sz w:val="14"/>
                <w:szCs w:val="14"/>
              </w:rPr>
              <w:t>6.693.568</w:t>
            </w:r>
          </w:p>
        </w:tc>
        <w:tc>
          <w:tcPr>
            <w:tcW w:w="976" w:type="dxa"/>
            <w:tcBorders>
              <w:top w:val="nil"/>
              <w:left w:val="nil"/>
              <w:bottom w:val="single" w:sz="4" w:space="0" w:color="auto"/>
              <w:right w:val="single" w:sz="4" w:space="0" w:color="auto"/>
            </w:tcBorders>
            <w:shd w:val="clear" w:color="auto" w:fill="auto"/>
            <w:noWrap/>
            <w:vAlign w:val="bottom"/>
            <w:hideMark/>
          </w:tcPr>
          <w:p w14:paraId="38873FEF" w14:textId="77777777" w:rsidR="00F87E58" w:rsidRPr="002B636D" w:rsidRDefault="00F87E58" w:rsidP="00F87E58">
            <w:pPr>
              <w:pStyle w:val="cuatexto"/>
              <w:jc w:val="right"/>
              <w:rPr>
                <w:sz w:val="14"/>
                <w:szCs w:val="14"/>
              </w:rPr>
            </w:pPr>
            <w:r w:rsidRPr="002B636D">
              <w:rPr>
                <w:sz w:val="14"/>
                <w:szCs w:val="14"/>
              </w:rPr>
              <w:t>1.435.709</w:t>
            </w:r>
          </w:p>
        </w:tc>
        <w:tc>
          <w:tcPr>
            <w:tcW w:w="861" w:type="dxa"/>
            <w:tcBorders>
              <w:top w:val="nil"/>
              <w:left w:val="nil"/>
              <w:bottom w:val="single" w:sz="4" w:space="0" w:color="auto"/>
              <w:right w:val="single" w:sz="2" w:space="0" w:color="auto"/>
            </w:tcBorders>
            <w:shd w:val="clear" w:color="auto" w:fill="auto"/>
            <w:noWrap/>
            <w:vAlign w:val="bottom"/>
            <w:hideMark/>
          </w:tcPr>
          <w:p w14:paraId="37AC978E" w14:textId="77777777" w:rsidR="00F87E58" w:rsidRPr="002B636D" w:rsidRDefault="00F87E58" w:rsidP="00F87E58">
            <w:pPr>
              <w:pStyle w:val="cuatexto"/>
              <w:jc w:val="right"/>
              <w:rPr>
                <w:sz w:val="14"/>
                <w:szCs w:val="14"/>
              </w:rPr>
            </w:pPr>
            <w:r w:rsidRPr="002B636D">
              <w:rPr>
                <w:sz w:val="14"/>
                <w:szCs w:val="14"/>
              </w:rPr>
              <w:t>944.091</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33EF35B" w14:textId="77777777" w:rsidR="00F87E58" w:rsidRPr="002B636D" w:rsidRDefault="00F87E58" w:rsidP="00F87E58">
            <w:pPr>
              <w:pStyle w:val="cuatexto"/>
              <w:jc w:val="right"/>
              <w:rPr>
                <w:sz w:val="14"/>
                <w:szCs w:val="14"/>
              </w:rPr>
            </w:pPr>
            <w:r w:rsidRPr="002B636D">
              <w:rPr>
                <w:sz w:val="14"/>
                <w:szCs w:val="14"/>
              </w:rPr>
              <w:t>9.073.369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10AE2EB"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29B02AC3"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6654910"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56B0DCED" w14:textId="77777777" w:rsidR="00F87E58" w:rsidRPr="002B636D" w:rsidRDefault="00F87E58" w:rsidP="00F87E58">
            <w:pPr>
              <w:pStyle w:val="cuatexto"/>
              <w:jc w:val="right"/>
              <w:rPr>
                <w:b/>
                <w:bCs/>
                <w:sz w:val="14"/>
                <w:szCs w:val="14"/>
              </w:rPr>
            </w:pPr>
            <w:r w:rsidRPr="002B636D">
              <w:rPr>
                <w:b/>
                <w:bCs/>
                <w:sz w:val="14"/>
                <w:szCs w:val="14"/>
              </w:rPr>
              <w:t>9.073.369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5A186270" w14:textId="77777777" w:rsidR="00F87E58" w:rsidRPr="002B636D" w:rsidRDefault="00F87E58" w:rsidP="00F87E58">
            <w:pPr>
              <w:pStyle w:val="cuatexto"/>
              <w:jc w:val="right"/>
              <w:rPr>
                <w:b/>
                <w:bCs/>
                <w:sz w:val="14"/>
                <w:szCs w:val="14"/>
              </w:rPr>
            </w:pPr>
            <w:r w:rsidRPr="002B636D">
              <w:rPr>
                <w:b/>
                <w:bCs/>
                <w:sz w:val="14"/>
                <w:szCs w:val="14"/>
              </w:rPr>
              <w:t>19.170.821</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74854391" w14:textId="77777777" w:rsidR="00F87E58" w:rsidRPr="002B636D" w:rsidRDefault="00F87E58" w:rsidP="00F87E58">
            <w:pPr>
              <w:pStyle w:val="cuatexto"/>
              <w:jc w:val="right"/>
              <w:rPr>
                <w:sz w:val="14"/>
                <w:szCs w:val="14"/>
              </w:rPr>
            </w:pPr>
            <w:r w:rsidRPr="002B636D">
              <w:rPr>
                <w:sz w:val="14"/>
                <w:szCs w:val="14"/>
              </w:rPr>
              <w:t>4.300.000</w:t>
            </w:r>
          </w:p>
        </w:tc>
        <w:tc>
          <w:tcPr>
            <w:tcW w:w="1255" w:type="dxa"/>
            <w:tcBorders>
              <w:top w:val="nil"/>
              <w:left w:val="nil"/>
              <w:bottom w:val="single" w:sz="4" w:space="0" w:color="auto"/>
              <w:right w:val="single" w:sz="4" w:space="0" w:color="auto"/>
            </w:tcBorders>
            <w:shd w:val="clear" w:color="auto" w:fill="auto"/>
            <w:noWrap/>
            <w:vAlign w:val="bottom"/>
          </w:tcPr>
          <w:p w14:paraId="377E0C8F" w14:textId="77777777" w:rsidR="00F87E58" w:rsidRPr="002B636D" w:rsidRDefault="00F87E58" w:rsidP="00F87E58">
            <w:pPr>
              <w:pStyle w:val="cuatexto"/>
              <w:jc w:val="right"/>
              <w:rPr>
                <w:sz w:val="14"/>
                <w:szCs w:val="14"/>
              </w:rPr>
            </w:pPr>
            <w:r w:rsidRPr="002B636D">
              <w:rPr>
                <w:sz w:val="14"/>
                <w:szCs w:val="14"/>
              </w:rPr>
              <w:t>4.300.000</w:t>
            </w:r>
          </w:p>
        </w:tc>
        <w:tc>
          <w:tcPr>
            <w:tcW w:w="1395" w:type="dxa"/>
            <w:tcBorders>
              <w:top w:val="nil"/>
              <w:left w:val="nil"/>
              <w:bottom w:val="single" w:sz="4" w:space="0" w:color="auto"/>
            </w:tcBorders>
            <w:shd w:val="clear" w:color="auto" w:fill="auto"/>
            <w:noWrap/>
            <w:vAlign w:val="bottom"/>
          </w:tcPr>
          <w:p w14:paraId="79B49F97" w14:textId="77777777" w:rsidR="00F87E58" w:rsidRPr="002B636D" w:rsidRDefault="00F87E58" w:rsidP="00F87E58">
            <w:pPr>
              <w:pStyle w:val="cuatexto"/>
              <w:jc w:val="right"/>
              <w:rPr>
                <w:sz w:val="14"/>
                <w:szCs w:val="14"/>
              </w:rPr>
            </w:pPr>
            <w:r w:rsidRPr="002B636D">
              <w:rPr>
                <w:sz w:val="14"/>
                <w:szCs w:val="14"/>
              </w:rPr>
              <w:t>14.870.821</w:t>
            </w:r>
          </w:p>
        </w:tc>
      </w:tr>
      <w:tr w:rsidR="00F87E58" w:rsidRPr="002B636D" w14:paraId="0F629720"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7E41EBF" w14:textId="77777777" w:rsidR="00F87E58" w:rsidRPr="002B636D" w:rsidRDefault="00F87E58" w:rsidP="00F87E58">
            <w:pPr>
              <w:pStyle w:val="cuatexto"/>
              <w:jc w:val="left"/>
              <w:rPr>
                <w:sz w:val="14"/>
                <w:szCs w:val="14"/>
              </w:rPr>
            </w:pPr>
            <w:r w:rsidRPr="002B636D">
              <w:rPr>
                <w:sz w:val="14"/>
                <w:szCs w:val="14"/>
              </w:rPr>
              <w:t>2007</w:t>
            </w:r>
          </w:p>
        </w:tc>
        <w:tc>
          <w:tcPr>
            <w:tcW w:w="837" w:type="dxa"/>
            <w:tcBorders>
              <w:top w:val="nil"/>
              <w:left w:val="nil"/>
              <w:bottom w:val="single" w:sz="4" w:space="0" w:color="auto"/>
              <w:right w:val="single" w:sz="4" w:space="0" w:color="auto"/>
            </w:tcBorders>
            <w:shd w:val="clear" w:color="auto" w:fill="auto"/>
            <w:noWrap/>
            <w:vAlign w:val="bottom"/>
            <w:hideMark/>
          </w:tcPr>
          <w:p w14:paraId="157C72EF" w14:textId="77777777" w:rsidR="00F87E58" w:rsidRPr="002B636D" w:rsidRDefault="00F87E58" w:rsidP="00F87E58">
            <w:pPr>
              <w:pStyle w:val="cuatexto"/>
              <w:jc w:val="right"/>
              <w:rPr>
                <w:sz w:val="14"/>
                <w:szCs w:val="14"/>
              </w:rPr>
            </w:pPr>
            <w:r w:rsidRPr="002B636D">
              <w:rPr>
                <w:sz w:val="14"/>
                <w:szCs w:val="14"/>
              </w:rPr>
              <w:t>5.622.327</w:t>
            </w:r>
          </w:p>
        </w:tc>
        <w:tc>
          <w:tcPr>
            <w:tcW w:w="976" w:type="dxa"/>
            <w:tcBorders>
              <w:top w:val="nil"/>
              <w:left w:val="nil"/>
              <w:bottom w:val="single" w:sz="4" w:space="0" w:color="auto"/>
              <w:right w:val="single" w:sz="4" w:space="0" w:color="auto"/>
            </w:tcBorders>
            <w:shd w:val="clear" w:color="auto" w:fill="auto"/>
            <w:noWrap/>
            <w:vAlign w:val="bottom"/>
            <w:hideMark/>
          </w:tcPr>
          <w:p w14:paraId="625203BA" w14:textId="77777777" w:rsidR="00F87E58" w:rsidRPr="002B636D" w:rsidRDefault="00F87E58" w:rsidP="00F87E58">
            <w:pPr>
              <w:pStyle w:val="cuatexto"/>
              <w:jc w:val="right"/>
              <w:rPr>
                <w:sz w:val="14"/>
                <w:szCs w:val="14"/>
              </w:rPr>
            </w:pPr>
            <w:r w:rsidRPr="002B636D">
              <w:rPr>
                <w:sz w:val="14"/>
                <w:szCs w:val="14"/>
              </w:rPr>
              <w:t>1.911.200</w:t>
            </w:r>
          </w:p>
        </w:tc>
        <w:tc>
          <w:tcPr>
            <w:tcW w:w="861" w:type="dxa"/>
            <w:tcBorders>
              <w:top w:val="nil"/>
              <w:left w:val="nil"/>
              <w:bottom w:val="single" w:sz="4" w:space="0" w:color="auto"/>
              <w:right w:val="single" w:sz="2" w:space="0" w:color="auto"/>
            </w:tcBorders>
            <w:shd w:val="clear" w:color="auto" w:fill="auto"/>
            <w:noWrap/>
            <w:vAlign w:val="bottom"/>
            <w:hideMark/>
          </w:tcPr>
          <w:p w14:paraId="7F65ECA7" w14:textId="77777777" w:rsidR="00F87E58" w:rsidRPr="002B636D" w:rsidRDefault="00F87E58" w:rsidP="00F87E58">
            <w:pPr>
              <w:pStyle w:val="cuatexto"/>
              <w:jc w:val="right"/>
              <w:rPr>
                <w:sz w:val="14"/>
                <w:szCs w:val="14"/>
              </w:rPr>
            </w:pPr>
            <w:r w:rsidRPr="002B636D">
              <w:rPr>
                <w:sz w:val="14"/>
                <w:szCs w:val="14"/>
              </w:rPr>
              <w:t>2.101.264</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434CD11" w14:textId="77777777" w:rsidR="00F87E58" w:rsidRPr="002B636D" w:rsidRDefault="00F87E58" w:rsidP="00F87E58">
            <w:pPr>
              <w:pStyle w:val="cuatexto"/>
              <w:jc w:val="right"/>
              <w:rPr>
                <w:sz w:val="14"/>
                <w:szCs w:val="14"/>
              </w:rPr>
            </w:pPr>
            <w:r w:rsidRPr="002B636D">
              <w:rPr>
                <w:sz w:val="14"/>
                <w:szCs w:val="14"/>
              </w:rPr>
              <w:t>9.634.792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8ABA52B"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BEC51F6"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4114792"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05F399F6" w14:textId="77777777" w:rsidR="00F87E58" w:rsidRPr="002B636D" w:rsidRDefault="00F87E58" w:rsidP="00F87E58">
            <w:pPr>
              <w:pStyle w:val="cuatexto"/>
              <w:jc w:val="right"/>
              <w:rPr>
                <w:b/>
                <w:bCs/>
                <w:sz w:val="14"/>
                <w:szCs w:val="14"/>
              </w:rPr>
            </w:pPr>
            <w:r w:rsidRPr="002B636D">
              <w:rPr>
                <w:b/>
                <w:bCs/>
                <w:sz w:val="14"/>
                <w:szCs w:val="14"/>
              </w:rPr>
              <w:t>9.634.792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6D6637C0" w14:textId="77777777" w:rsidR="00F87E58" w:rsidRPr="002B636D" w:rsidRDefault="00F87E58" w:rsidP="00F87E58">
            <w:pPr>
              <w:pStyle w:val="cuatexto"/>
              <w:jc w:val="right"/>
              <w:rPr>
                <w:b/>
                <w:bCs/>
                <w:sz w:val="14"/>
                <w:szCs w:val="14"/>
              </w:rPr>
            </w:pPr>
            <w:r w:rsidRPr="002B636D">
              <w:rPr>
                <w:b/>
                <w:bCs/>
                <w:sz w:val="14"/>
                <w:szCs w:val="14"/>
              </w:rPr>
              <w:t>28.805.613</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575A23C" w14:textId="77777777" w:rsidR="00F87E58" w:rsidRPr="002B636D" w:rsidRDefault="00F87E58" w:rsidP="00F87E58">
            <w:pPr>
              <w:pStyle w:val="cuatexto"/>
              <w:jc w:val="right"/>
              <w:rPr>
                <w:sz w:val="14"/>
                <w:szCs w:val="14"/>
              </w:rPr>
            </w:pPr>
            <w:r w:rsidRPr="002B636D">
              <w:rPr>
                <w:sz w:val="14"/>
                <w:szCs w:val="14"/>
              </w:rPr>
              <w:t>4.400.000</w:t>
            </w:r>
          </w:p>
        </w:tc>
        <w:tc>
          <w:tcPr>
            <w:tcW w:w="1255" w:type="dxa"/>
            <w:tcBorders>
              <w:top w:val="nil"/>
              <w:left w:val="nil"/>
              <w:bottom w:val="single" w:sz="4" w:space="0" w:color="auto"/>
              <w:right w:val="single" w:sz="4" w:space="0" w:color="auto"/>
            </w:tcBorders>
            <w:shd w:val="clear" w:color="auto" w:fill="auto"/>
            <w:noWrap/>
            <w:vAlign w:val="bottom"/>
          </w:tcPr>
          <w:p w14:paraId="0CDD976A" w14:textId="77777777" w:rsidR="00F87E58" w:rsidRPr="002B636D" w:rsidRDefault="00F87E58" w:rsidP="00F87E58">
            <w:pPr>
              <w:pStyle w:val="cuatexto"/>
              <w:jc w:val="right"/>
              <w:rPr>
                <w:sz w:val="14"/>
                <w:szCs w:val="14"/>
              </w:rPr>
            </w:pPr>
            <w:r w:rsidRPr="002B636D">
              <w:rPr>
                <w:sz w:val="14"/>
                <w:szCs w:val="14"/>
              </w:rPr>
              <w:t>8.700.000</w:t>
            </w:r>
          </w:p>
        </w:tc>
        <w:tc>
          <w:tcPr>
            <w:tcW w:w="1395" w:type="dxa"/>
            <w:tcBorders>
              <w:top w:val="nil"/>
              <w:left w:val="nil"/>
              <w:bottom w:val="single" w:sz="4" w:space="0" w:color="auto"/>
            </w:tcBorders>
            <w:shd w:val="clear" w:color="auto" w:fill="auto"/>
            <w:noWrap/>
            <w:vAlign w:val="bottom"/>
          </w:tcPr>
          <w:p w14:paraId="2C067927" w14:textId="77777777" w:rsidR="00F87E58" w:rsidRPr="002B636D" w:rsidRDefault="00F87E58" w:rsidP="00F87E58">
            <w:pPr>
              <w:pStyle w:val="cuatexto"/>
              <w:jc w:val="right"/>
              <w:rPr>
                <w:sz w:val="14"/>
                <w:szCs w:val="14"/>
              </w:rPr>
            </w:pPr>
            <w:r w:rsidRPr="002B636D">
              <w:rPr>
                <w:sz w:val="14"/>
                <w:szCs w:val="14"/>
              </w:rPr>
              <w:t>20.105.613</w:t>
            </w:r>
          </w:p>
        </w:tc>
      </w:tr>
      <w:tr w:rsidR="00F87E58" w:rsidRPr="002B636D" w14:paraId="556B6B16"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544C64D1" w14:textId="77777777" w:rsidR="00F87E58" w:rsidRPr="002B636D" w:rsidRDefault="00F87E58" w:rsidP="00F87E58">
            <w:pPr>
              <w:pStyle w:val="cuatexto"/>
              <w:jc w:val="left"/>
              <w:rPr>
                <w:sz w:val="14"/>
                <w:szCs w:val="14"/>
              </w:rPr>
            </w:pPr>
            <w:r w:rsidRPr="002B636D">
              <w:rPr>
                <w:sz w:val="14"/>
                <w:szCs w:val="14"/>
              </w:rPr>
              <w:t>2008</w:t>
            </w:r>
          </w:p>
        </w:tc>
        <w:tc>
          <w:tcPr>
            <w:tcW w:w="837" w:type="dxa"/>
            <w:tcBorders>
              <w:top w:val="nil"/>
              <w:left w:val="nil"/>
              <w:bottom w:val="single" w:sz="4" w:space="0" w:color="auto"/>
              <w:right w:val="single" w:sz="4" w:space="0" w:color="auto"/>
            </w:tcBorders>
            <w:shd w:val="clear" w:color="auto" w:fill="auto"/>
            <w:noWrap/>
            <w:vAlign w:val="bottom"/>
            <w:hideMark/>
          </w:tcPr>
          <w:p w14:paraId="11C476A0" w14:textId="77777777" w:rsidR="00F87E58" w:rsidRPr="002B636D" w:rsidRDefault="00F87E58" w:rsidP="00F87E58">
            <w:pPr>
              <w:pStyle w:val="cuatexto"/>
              <w:jc w:val="right"/>
              <w:rPr>
                <w:sz w:val="14"/>
                <w:szCs w:val="14"/>
              </w:rPr>
            </w:pPr>
            <w:r w:rsidRPr="002B636D">
              <w:rPr>
                <w:sz w:val="14"/>
                <w:szCs w:val="14"/>
              </w:rPr>
              <w:t>2.014.009</w:t>
            </w:r>
          </w:p>
        </w:tc>
        <w:tc>
          <w:tcPr>
            <w:tcW w:w="976" w:type="dxa"/>
            <w:tcBorders>
              <w:top w:val="nil"/>
              <w:left w:val="nil"/>
              <w:bottom w:val="single" w:sz="4" w:space="0" w:color="auto"/>
              <w:right w:val="single" w:sz="4" w:space="0" w:color="auto"/>
            </w:tcBorders>
            <w:shd w:val="clear" w:color="auto" w:fill="auto"/>
            <w:noWrap/>
            <w:vAlign w:val="bottom"/>
            <w:hideMark/>
          </w:tcPr>
          <w:p w14:paraId="3907A3A7" w14:textId="77777777" w:rsidR="00F87E58" w:rsidRPr="002B636D" w:rsidRDefault="00F87E58" w:rsidP="00F87E58">
            <w:pPr>
              <w:pStyle w:val="cuatexto"/>
              <w:jc w:val="right"/>
              <w:rPr>
                <w:sz w:val="14"/>
                <w:szCs w:val="14"/>
              </w:rPr>
            </w:pPr>
            <w:r w:rsidRPr="002B636D">
              <w:rPr>
                <w:sz w:val="14"/>
                <w:szCs w:val="14"/>
              </w:rPr>
              <w:t>1.978.433</w:t>
            </w:r>
          </w:p>
        </w:tc>
        <w:tc>
          <w:tcPr>
            <w:tcW w:w="861" w:type="dxa"/>
            <w:tcBorders>
              <w:top w:val="nil"/>
              <w:left w:val="nil"/>
              <w:bottom w:val="single" w:sz="4" w:space="0" w:color="auto"/>
              <w:right w:val="single" w:sz="2" w:space="0" w:color="auto"/>
            </w:tcBorders>
            <w:shd w:val="clear" w:color="auto" w:fill="auto"/>
            <w:noWrap/>
            <w:vAlign w:val="bottom"/>
            <w:hideMark/>
          </w:tcPr>
          <w:p w14:paraId="751E1B1A" w14:textId="77777777" w:rsidR="00F87E58" w:rsidRPr="002B636D" w:rsidRDefault="00F87E58" w:rsidP="00F87E58">
            <w:pPr>
              <w:pStyle w:val="cuatexto"/>
              <w:jc w:val="right"/>
              <w:rPr>
                <w:sz w:val="14"/>
                <w:szCs w:val="14"/>
              </w:rPr>
            </w:pPr>
            <w:r w:rsidRPr="002B636D">
              <w:rPr>
                <w:sz w:val="14"/>
                <w:szCs w:val="14"/>
              </w:rPr>
              <w:t>1.848.127</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F02A1B1" w14:textId="77777777" w:rsidR="00F87E58" w:rsidRPr="002B636D" w:rsidRDefault="00F87E58" w:rsidP="00F87E58">
            <w:pPr>
              <w:pStyle w:val="cuatexto"/>
              <w:jc w:val="right"/>
              <w:rPr>
                <w:sz w:val="14"/>
                <w:szCs w:val="14"/>
              </w:rPr>
            </w:pPr>
            <w:r w:rsidRPr="002B636D">
              <w:rPr>
                <w:sz w:val="14"/>
                <w:szCs w:val="14"/>
              </w:rPr>
              <w:t>5.840.569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301D6D9"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389C0A9D"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5500353"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799C5C45" w14:textId="77777777" w:rsidR="00F87E58" w:rsidRPr="002B636D" w:rsidRDefault="00F87E58" w:rsidP="00F87E58">
            <w:pPr>
              <w:pStyle w:val="cuatexto"/>
              <w:jc w:val="right"/>
              <w:rPr>
                <w:b/>
                <w:bCs/>
                <w:sz w:val="14"/>
                <w:szCs w:val="14"/>
              </w:rPr>
            </w:pPr>
            <w:r w:rsidRPr="002B636D">
              <w:rPr>
                <w:b/>
                <w:bCs/>
                <w:sz w:val="14"/>
                <w:szCs w:val="14"/>
              </w:rPr>
              <w:t>5.840.569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E8CAA17" w14:textId="77777777" w:rsidR="00F87E58" w:rsidRPr="002B636D" w:rsidRDefault="00F87E58" w:rsidP="00F87E58">
            <w:pPr>
              <w:pStyle w:val="cuatexto"/>
              <w:jc w:val="right"/>
              <w:rPr>
                <w:b/>
                <w:bCs/>
                <w:sz w:val="14"/>
                <w:szCs w:val="14"/>
              </w:rPr>
            </w:pPr>
            <w:r w:rsidRPr="002B636D">
              <w:rPr>
                <w:b/>
                <w:bCs/>
                <w:sz w:val="14"/>
                <w:szCs w:val="14"/>
              </w:rPr>
              <w:t>34.646.181</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75662B44" w14:textId="77777777" w:rsidR="00F87E58" w:rsidRPr="002B636D" w:rsidRDefault="00F87E58" w:rsidP="00F87E58">
            <w:pPr>
              <w:pStyle w:val="cuatexto"/>
              <w:jc w:val="right"/>
              <w:rPr>
                <w:sz w:val="14"/>
                <w:szCs w:val="14"/>
              </w:rPr>
            </w:pPr>
            <w:r w:rsidRPr="002B636D">
              <w:rPr>
                <w:sz w:val="14"/>
                <w:szCs w:val="14"/>
              </w:rPr>
              <w:t>4.200.000</w:t>
            </w:r>
          </w:p>
        </w:tc>
        <w:tc>
          <w:tcPr>
            <w:tcW w:w="1255" w:type="dxa"/>
            <w:tcBorders>
              <w:top w:val="nil"/>
              <w:left w:val="nil"/>
              <w:bottom w:val="single" w:sz="4" w:space="0" w:color="auto"/>
              <w:right w:val="single" w:sz="4" w:space="0" w:color="auto"/>
            </w:tcBorders>
            <w:shd w:val="clear" w:color="auto" w:fill="auto"/>
            <w:noWrap/>
            <w:vAlign w:val="bottom"/>
          </w:tcPr>
          <w:p w14:paraId="6B96B3BB" w14:textId="77777777" w:rsidR="00F87E58" w:rsidRPr="002B636D" w:rsidRDefault="00F87E58" w:rsidP="00F87E58">
            <w:pPr>
              <w:pStyle w:val="cuatexto"/>
              <w:jc w:val="right"/>
              <w:rPr>
                <w:sz w:val="14"/>
                <w:szCs w:val="14"/>
              </w:rPr>
            </w:pPr>
            <w:r w:rsidRPr="002B636D">
              <w:rPr>
                <w:sz w:val="14"/>
                <w:szCs w:val="14"/>
              </w:rPr>
              <w:t>12.900.000</w:t>
            </w:r>
          </w:p>
        </w:tc>
        <w:tc>
          <w:tcPr>
            <w:tcW w:w="1395" w:type="dxa"/>
            <w:tcBorders>
              <w:top w:val="nil"/>
              <w:left w:val="nil"/>
              <w:bottom w:val="single" w:sz="4" w:space="0" w:color="auto"/>
            </w:tcBorders>
            <w:shd w:val="clear" w:color="auto" w:fill="auto"/>
            <w:noWrap/>
            <w:vAlign w:val="bottom"/>
          </w:tcPr>
          <w:p w14:paraId="0F79F9A8" w14:textId="77777777" w:rsidR="00F87E58" w:rsidRPr="002B636D" w:rsidRDefault="00F87E58" w:rsidP="00F87E58">
            <w:pPr>
              <w:pStyle w:val="cuatexto"/>
              <w:jc w:val="right"/>
              <w:rPr>
                <w:sz w:val="14"/>
                <w:szCs w:val="14"/>
              </w:rPr>
            </w:pPr>
            <w:r w:rsidRPr="002B636D">
              <w:rPr>
                <w:sz w:val="14"/>
                <w:szCs w:val="14"/>
              </w:rPr>
              <w:t>21.746.181</w:t>
            </w:r>
          </w:p>
        </w:tc>
      </w:tr>
      <w:tr w:rsidR="00F87E58" w:rsidRPr="002B636D" w14:paraId="41FC0457"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14F808A8" w14:textId="77777777" w:rsidR="00F87E58" w:rsidRPr="002B636D" w:rsidRDefault="00F87E58" w:rsidP="00F87E58">
            <w:pPr>
              <w:pStyle w:val="cuatexto"/>
              <w:jc w:val="left"/>
              <w:rPr>
                <w:sz w:val="14"/>
                <w:szCs w:val="14"/>
              </w:rPr>
            </w:pPr>
            <w:r w:rsidRPr="002B636D">
              <w:rPr>
                <w:sz w:val="14"/>
                <w:szCs w:val="14"/>
              </w:rPr>
              <w:t>2009</w:t>
            </w:r>
          </w:p>
        </w:tc>
        <w:tc>
          <w:tcPr>
            <w:tcW w:w="837" w:type="dxa"/>
            <w:tcBorders>
              <w:top w:val="nil"/>
              <w:left w:val="nil"/>
              <w:bottom w:val="single" w:sz="4" w:space="0" w:color="auto"/>
              <w:right w:val="single" w:sz="4" w:space="0" w:color="auto"/>
            </w:tcBorders>
            <w:shd w:val="clear" w:color="auto" w:fill="auto"/>
            <w:noWrap/>
            <w:vAlign w:val="bottom"/>
            <w:hideMark/>
          </w:tcPr>
          <w:p w14:paraId="0A70CA75" w14:textId="77777777" w:rsidR="00F87E58" w:rsidRPr="002B636D" w:rsidRDefault="00F87E58" w:rsidP="00F87E58">
            <w:pPr>
              <w:pStyle w:val="cuatexto"/>
              <w:jc w:val="right"/>
              <w:rPr>
                <w:sz w:val="14"/>
                <w:szCs w:val="14"/>
              </w:rPr>
            </w:pPr>
            <w:r w:rsidRPr="002B636D">
              <w:rPr>
                <w:sz w:val="14"/>
                <w:szCs w:val="14"/>
              </w:rPr>
              <w:t>3.225.475</w:t>
            </w:r>
          </w:p>
        </w:tc>
        <w:tc>
          <w:tcPr>
            <w:tcW w:w="976" w:type="dxa"/>
            <w:tcBorders>
              <w:top w:val="nil"/>
              <w:left w:val="nil"/>
              <w:bottom w:val="single" w:sz="4" w:space="0" w:color="auto"/>
              <w:right w:val="single" w:sz="4" w:space="0" w:color="auto"/>
            </w:tcBorders>
            <w:shd w:val="clear" w:color="auto" w:fill="auto"/>
            <w:noWrap/>
            <w:vAlign w:val="bottom"/>
            <w:hideMark/>
          </w:tcPr>
          <w:p w14:paraId="2413B18A" w14:textId="77777777" w:rsidR="00F87E58" w:rsidRPr="002B636D" w:rsidRDefault="00F87E58" w:rsidP="00F87E58">
            <w:pPr>
              <w:pStyle w:val="cuatexto"/>
              <w:jc w:val="right"/>
              <w:rPr>
                <w:sz w:val="14"/>
                <w:szCs w:val="14"/>
              </w:rPr>
            </w:pPr>
            <w:r w:rsidRPr="002B636D">
              <w:rPr>
                <w:sz w:val="14"/>
                <w:szCs w:val="14"/>
              </w:rPr>
              <w:t>1.766.754</w:t>
            </w:r>
          </w:p>
        </w:tc>
        <w:tc>
          <w:tcPr>
            <w:tcW w:w="861" w:type="dxa"/>
            <w:tcBorders>
              <w:top w:val="nil"/>
              <w:left w:val="nil"/>
              <w:bottom w:val="single" w:sz="4" w:space="0" w:color="auto"/>
              <w:right w:val="single" w:sz="2" w:space="0" w:color="auto"/>
            </w:tcBorders>
            <w:shd w:val="clear" w:color="auto" w:fill="auto"/>
            <w:noWrap/>
            <w:vAlign w:val="bottom"/>
            <w:hideMark/>
          </w:tcPr>
          <w:p w14:paraId="228EB61A" w14:textId="77777777" w:rsidR="00F87E58" w:rsidRPr="002B636D" w:rsidRDefault="00F87E58" w:rsidP="00F87E58">
            <w:pPr>
              <w:pStyle w:val="cuatexto"/>
              <w:jc w:val="right"/>
              <w:rPr>
                <w:sz w:val="14"/>
                <w:szCs w:val="14"/>
              </w:rPr>
            </w:pPr>
            <w:r w:rsidRPr="002B636D">
              <w:rPr>
                <w:sz w:val="14"/>
                <w:szCs w:val="14"/>
              </w:rPr>
              <w:t>986.154</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7ECDB69" w14:textId="77777777" w:rsidR="00F87E58" w:rsidRPr="002B636D" w:rsidRDefault="00F87E58" w:rsidP="00F87E58">
            <w:pPr>
              <w:pStyle w:val="cuatexto"/>
              <w:jc w:val="right"/>
              <w:rPr>
                <w:sz w:val="14"/>
                <w:szCs w:val="14"/>
              </w:rPr>
            </w:pPr>
            <w:r w:rsidRPr="002B636D">
              <w:rPr>
                <w:sz w:val="14"/>
                <w:szCs w:val="14"/>
              </w:rPr>
              <w:t>5.978.384</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4AA2E6D"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7FC3D8EC"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765C0F6"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35A84E25" w14:textId="77777777" w:rsidR="00F87E58" w:rsidRPr="002B636D" w:rsidRDefault="00F87E58" w:rsidP="00F87E58">
            <w:pPr>
              <w:pStyle w:val="cuatexto"/>
              <w:jc w:val="right"/>
              <w:rPr>
                <w:b/>
                <w:bCs/>
                <w:sz w:val="14"/>
                <w:szCs w:val="14"/>
              </w:rPr>
            </w:pPr>
            <w:r w:rsidRPr="002B636D">
              <w:rPr>
                <w:b/>
                <w:bCs/>
                <w:sz w:val="14"/>
                <w:szCs w:val="14"/>
              </w:rPr>
              <w:t>5.978.384</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14CAC4CD" w14:textId="77777777" w:rsidR="00F87E58" w:rsidRPr="002B636D" w:rsidRDefault="00F87E58" w:rsidP="00F87E58">
            <w:pPr>
              <w:pStyle w:val="cuatexto"/>
              <w:jc w:val="right"/>
              <w:rPr>
                <w:b/>
                <w:bCs/>
                <w:sz w:val="14"/>
                <w:szCs w:val="14"/>
              </w:rPr>
            </w:pPr>
            <w:r w:rsidRPr="002B636D">
              <w:rPr>
                <w:b/>
                <w:bCs/>
                <w:sz w:val="14"/>
                <w:szCs w:val="14"/>
              </w:rPr>
              <w:t>40.624.565</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41EC9A67" w14:textId="77777777" w:rsidR="00F87E58" w:rsidRPr="002B636D" w:rsidRDefault="00F87E58" w:rsidP="00F87E58">
            <w:pPr>
              <w:pStyle w:val="cuatexto"/>
              <w:jc w:val="right"/>
              <w:rPr>
                <w:sz w:val="14"/>
                <w:szCs w:val="14"/>
              </w:rPr>
            </w:pPr>
            <w:r w:rsidRPr="002B636D">
              <w:rPr>
                <w:sz w:val="14"/>
                <w:szCs w:val="14"/>
              </w:rPr>
              <w:t>3.850.000</w:t>
            </w:r>
          </w:p>
        </w:tc>
        <w:tc>
          <w:tcPr>
            <w:tcW w:w="1255" w:type="dxa"/>
            <w:tcBorders>
              <w:top w:val="nil"/>
              <w:left w:val="nil"/>
              <w:bottom w:val="single" w:sz="4" w:space="0" w:color="auto"/>
              <w:right w:val="single" w:sz="4" w:space="0" w:color="auto"/>
            </w:tcBorders>
            <w:shd w:val="clear" w:color="auto" w:fill="auto"/>
            <w:noWrap/>
            <w:vAlign w:val="bottom"/>
          </w:tcPr>
          <w:p w14:paraId="2CEC4885" w14:textId="77777777" w:rsidR="00F87E58" w:rsidRPr="002B636D" w:rsidRDefault="00F87E58" w:rsidP="00F87E58">
            <w:pPr>
              <w:pStyle w:val="cuatexto"/>
              <w:jc w:val="right"/>
              <w:rPr>
                <w:sz w:val="14"/>
                <w:szCs w:val="14"/>
              </w:rPr>
            </w:pPr>
            <w:r w:rsidRPr="002B636D">
              <w:rPr>
                <w:sz w:val="14"/>
                <w:szCs w:val="14"/>
              </w:rPr>
              <w:t>16.750.000</w:t>
            </w:r>
          </w:p>
        </w:tc>
        <w:tc>
          <w:tcPr>
            <w:tcW w:w="1395" w:type="dxa"/>
            <w:tcBorders>
              <w:top w:val="nil"/>
              <w:left w:val="nil"/>
              <w:bottom w:val="single" w:sz="4" w:space="0" w:color="auto"/>
            </w:tcBorders>
            <w:shd w:val="clear" w:color="auto" w:fill="auto"/>
            <w:noWrap/>
            <w:vAlign w:val="bottom"/>
          </w:tcPr>
          <w:p w14:paraId="7FA6EDC1" w14:textId="77777777" w:rsidR="00F87E58" w:rsidRPr="002B636D" w:rsidRDefault="00F87E58" w:rsidP="00F87E58">
            <w:pPr>
              <w:pStyle w:val="cuatexto"/>
              <w:jc w:val="right"/>
              <w:rPr>
                <w:sz w:val="14"/>
                <w:szCs w:val="14"/>
              </w:rPr>
            </w:pPr>
            <w:r w:rsidRPr="002B636D">
              <w:rPr>
                <w:sz w:val="14"/>
                <w:szCs w:val="14"/>
              </w:rPr>
              <w:t>23.874.565</w:t>
            </w:r>
          </w:p>
        </w:tc>
      </w:tr>
      <w:tr w:rsidR="00F87E58" w:rsidRPr="002B636D" w14:paraId="56FFD88B"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7C3F67ED" w14:textId="77777777" w:rsidR="00F87E58" w:rsidRPr="002B636D" w:rsidRDefault="00F87E58" w:rsidP="00F87E58">
            <w:pPr>
              <w:pStyle w:val="cuatexto"/>
              <w:jc w:val="left"/>
              <w:rPr>
                <w:sz w:val="14"/>
                <w:szCs w:val="14"/>
              </w:rPr>
            </w:pPr>
            <w:r w:rsidRPr="002B636D">
              <w:rPr>
                <w:sz w:val="14"/>
                <w:szCs w:val="14"/>
              </w:rPr>
              <w:t>2010</w:t>
            </w:r>
          </w:p>
        </w:tc>
        <w:tc>
          <w:tcPr>
            <w:tcW w:w="837" w:type="dxa"/>
            <w:tcBorders>
              <w:top w:val="nil"/>
              <w:left w:val="nil"/>
              <w:bottom w:val="single" w:sz="4" w:space="0" w:color="auto"/>
              <w:right w:val="single" w:sz="4" w:space="0" w:color="auto"/>
            </w:tcBorders>
            <w:shd w:val="clear" w:color="auto" w:fill="auto"/>
            <w:noWrap/>
            <w:vAlign w:val="bottom"/>
            <w:hideMark/>
          </w:tcPr>
          <w:p w14:paraId="2782E5A3" w14:textId="77777777" w:rsidR="00F87E58" w:rsidRPr="002B636D" w:rsidRDefault="00F87E58" w:rsidP="00F87E58">
            <w:pPr>
              <w:pStyle w:val="cuatexto"/>
              <w:jc w:val="right"/>
              <w:rPr>
                <w:sz w:val="14"/>
                <w:szCs w:val="14"/>
              </w:rPr>
            </w:pPr>
            <w:r w:rsidRPr="002B636D">
              <w:rPr>
                <w:sz w:val="14"/>
                <w:szCs w:val="14"/>
              </w:rPr>
              <w:t>1.233.136</w:t>
            </w:r>
          </w:p>
        </w:tc>
        <w:tc>
          <w:tcPr>
            <w:tcW w:w="976" w:type="dxa"/>
            <w:tcBorders>
              <w:top w:val="nil"/>
              <w:left w:val="nil"/>
              <w:bottom w:val="single" w:sz="4" w:space="0" w:color="auto"/>
              <w:right w:val="single" w:sz="4" w:space="0" w:color="auto"/>
            </w:tcBorders>
            <w:shd w:val="clear" w:color="auto" w:fill="auto"/>
            <w:noWrap/>
            <w:vAlign w:val="bottom"/>
            <w:hideMark/>
          </w:tcPr>
          <w:p w14:paraId="63B05F7A" w14:textId="77777777" w:rsidR="00F87E58" w:rsidRPr="002B636D" w:rsidRDefault="00F87E58" w:rsidP="00F87E58">
            <w:pPr>
              <w:pStyle w:val="cuatexto"/>
              <w:jc w:val="right"/>
              <w:rPr>
                <w:sz w:val="14"/>
                <w:szCs w:val="14"/>
              </w:rPr>
            </w:pPr>
            <w:r w:rsidRPr="002B636D">
              <w:rPr>
                <w:sz w:val="14"/>
                <w:szCs w:val="14"/>
              </w:rPr>
              <w:t>1.438.889</w:t>
            </w:r>
          </w:p>
        </w:tc>
        <w:tc>
          <w:tcPr>
            <w:tcW w:w="861" w:type="dxa"/>
            <w:tcBorders>
              <w:top w:val="nil"/>
              <w:left w:val="nil"/>
              <w:bottom w:val="single" w:sz="4" w:space="0" w:color="auto"/>
              <w:right w:val="single" w:sz="2" w:space="0" w:color="auto"/>
            </w:tcBorders>
            <w:shd w:val="clear" w:color="auto" w:fill="auto"/>
            <w:noWrap/>
            <w:vAlign w:val="bottom"/>
            <w:hideMark/>
          </w:tcPr>
          <w:p w14:paraId="004BAD2E" w14:textId="77777777" w:rsidR="00F87E58" w:rsidRPr="002B636D" w:rsidRDefault="00F87E58" w:rsidP="00F87E58">
            <w:pPr>
              <w:pStyle w:val="cuatexto"/>
              <w:jc w:val="right"/>
              <w:rPr>
                <w:sz w:val="14"/>
                <w:szCs w:val="14"/>
              </w:rPr>
            </w:pPr>
            <w:r w:rsidRPr="002B636D">
              <w:rPr>
                <w:sz w:val="14"/>
                <w:szCs w:val="14"/>
              </w:rPr>
              <w:t>1.377.558</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23F79BA" w14:textId="77777777" w:rsidR="00F87E58" w:rsidRPr="002B636D" w:rsidRDefault="00F87E58" w:rsidP="00F87E58">
            <w:pPr>
              <w:pStyle w:val="cuatexto"/>
              <w:jc w:val="right"/>
              <w:rPr>
                <w:sz w:val="14"/>
                <w:szCs w:val="14"/>
              </w:rPr>
            </w:pPr>
            <w:r w:rsidRPr="002B636D">
              <w:rPr>
                <w:sz w:val="14"/>
                <w:szCs w:val="14"/>
              </w:rPr>
              <w:t>4.049.582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82DC15F"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5E60117B"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68B8FD3"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531959F5" w14:textId="77777777" w:rsidR="00F87E58" w:rsidRPr="002B636D" w:rsidRDefault="00F87E58" w:rsidP="00F87E58">
            <w:pPr>
              <w:pStyle w:val="cuatexto"/>
              <w:jc w:val="right"/>
              <w:rPr>
                <w:b/>
                <w:bCs/>
                <w:sz w:val="14"/>
                <w:szCs w:val="14"/>
              </w:rPr>
            </w:pPr>
            <w:r w:rsidRPr="002B636D">
              <w:rPr>
                <w:b/>
                <w:bCs/>
                <w:sz w:val="14"/>
                <w:szCs w:val="14"/>
              </w:rPr>
              <w:t>4.049.582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0E9CF0B6" w14:textId="77777777" w:rsidR="00F87E58" w:rsidRPr="002B636D" w:rsidRDefault="00F87E58" w:rsidP="00F87E58">
            <w:pPr>
              <w:pStyle w:val="cuatexto"/>
              <w:jc w:val="right"/>
              <w:rPr>
                <w:b/>
                <w:bCs/>
                <w:sz w:val="14"/>
                <w:szCs w:val="14"/>
              </w:rPr>
            </w:pPr>
            <w:r w:rsidRPr="002B636D">
              <w:rPr>
                <w:b/>
                <w:bCs/>
                <w:sz w:val="14"/>
                <w:szCs w:val="14"/>
              </w:rPr>
              <w:t>44.674.148</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35CB2E64" w14:textId="77777777" w:rsidR="00F87E58" w:rsidRPr="002B636D" w:rsidRDefault="00F87E58" w:rsidP="00F87E58">
            <w:pPr>
              <w:pStyle w:val="cuatexto"/>
              <w:jc w:val="right"/>
              <w:rPr>
                <w:sz w:val="14"/>
                <w:szCs w:val="14"/>
              </w:rPr>
            </w:pPr>
            <w:r w:rsidRPr="002B636D">
              <w:rPr>
                <w:sz w:val="14"/>
                <w:szCs w:val="14"/>
              </w:rPr>
              <w:t>4.300.000</w:t>
            </w:r>
          </w:p>
        </w:tc>
        <w:tc>
          <w:tcPr>
            <w:tcW w:w="1255" w:type="dxa"/>
            <w:tcBorders>
              <w:top w:val="nil"/>
              <w:left w:val="nil"/>
              <w:bottom w:val="single" w:sz="4" w:space="0" w:color="auto"/>
              <w:right w:val="single" w:sz="4" w:space="0" w:color="auto"/>
            </w:tcBorders>
            <w:shd w:val="clear" w:color="auto" w:fill="auto"/>
            <w:noWrap/>
            <w:vAlign w:val="bottom"/>
          </w:tcPr>
          <w:p w14:paraId="4EBF759D" w14:textId="77777777" w:rsidR="00F87E58" w:rsidRPr="002B636D" w:rsidRDefault="00F87E58" w:rsidP="00F87E58">
            <w:pPr>
              <w:pStyle w:val="cuatexto"/>
              <w:jc w:val="right"/>
              <w:rPr>
                <w:sz w:val="14"/>
                <w:szCs w:val="14"/>
              </w:rPr>
            </w:pPr>
            <w:r w:rsidRPr="002B636D">
              <w:rPr>
                <w:sz w:val="14"/>
                <w:szCs w:val="14"/>
              </w:rPr>
              <w:t>21.050.000</w:t>
            </w:r>
          </w:p>
        </w:tc>
        <w:tc>
          <w:tcPr>
            <w:tcW w:w="1395" w:type="dxa"/>
            <w:tcBorders>
              <w:top w:val="nil"/>
              <w:left w:val="nil"/>
              <w:bottom w:val="single" w:sz="4" w:space="0" w:color="auto"/>
            </w:tcBorders>
            <w:shd w:val="clear" w:color="auto" w:fill="auto"/>
            <w:noWrap/>
            <w:vAlign w:val="bottom"/>
          </w:tcPr>
          <w:p w14:paraId="220FE639" w14:textId="77777777" w:rsidR="00F87E58" w:rsidRPr="002B636D" w:rsidRDefault="00F87E58" w:rsidP="00F87E58">
            <w:pPr>
              <w:pStyle w:val="cuatexto"/>
              <w:jc w:val="right"/>
              <w:rPr>
                <w:sz w:val="14"/>
                <w:szCs w:val="14"/>
              </w:rPr>
            </w:pPr>
            <w:r w:rsidRPr="002B636D">
              <w:rPr>
                <w:sz w:val="14"/>
                <w:szCs w:val="14"/>
              </w:rPr>
              <w:t>23.624.148</w:t>
            </w:r>
          </w:p>
        </w:tc>
      </w:tr>
      <w:tr w:rsidR="00F87E58" w:rsidRPr="002B636D" w14:paraId="5F60096D"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30234369" w14:textId="77777777" w:rsidR="00F87E58" w:rsidRPr="002B636D" w:rsidRDefault="00F87E58" w:rsidP="00F87E58">
            <w:pPr>
              <w:pStyle w:val="cuatexto"/>
              <w:jc w:val="left"/>
              <w:rPr>
                <w:sz w:val="14"/>
                <w:szCs w:val="14"/>
              </w:rPr>
            </w:pPr>
            <w:r w:rsidRPr="002B636D">
              <w:rPr>
                <w:sz w:val="14"/>
                <w:szCs w:val="14"/>
              </w:rPr>
              <w:t>2011</w:t>
            </w:r>
          </w:p>
        </w:tc>
        <w:tc>
          <w:tcPr>
            <w:tcW w:w="837" w:type="dxa"/>
            <w:tcBorders>
              <w:top w:val="nil"/>
              <w:left w:val="nil"/>
              <w:bottom w:val="single" w:sz="4" w:space="0" w:color="auto"/>
              <w:right w:val="single" w:sz="4" w:space="0" w:color="auto"/>
            </w:tcBorders>
            <w:shd w:val="clear" w:color="auto" w:fill="auto"/>
            <w:noWrap/>
            <w:vAlign w:val="bottom"/>
            <w:hideMark/>
          </w:tcPr>
          <w:p w14:paraId="53DDD0BC" w14:textId="77777777" w:rsidR="00F87E58" w:rsidRPr="002B636D" w:rsidRDefault="00F87E58" w:rsidP="00F87E58">
            <w:pPr>
              <w:pStyle w:val="cuatexto"/>
              <w:jc w:val="right"/>
              <w:rPr>
                <w:sz w:val="14"/>
                <w:szCs w:val="14"/>
              </w:rPr>
            </w:pPr>
            <w:r w:rsidRPr="002B636D">
              <w:rPr>
                <w:sz w:val="14"/>
                <w:szCs w:val="14"/>
              </w:rPr>
              <w:t>575.258</w:t>
            </w:r>
          </w:p>
        </w:tc>
        <w:tc>
          <w:tcPr>
            <w:tcW w:w="976" w:type="dxa"/>
            <w:tcBorders>
              <w:top w:val="nil"/>
              <w:left w:val="nil"/>
              <w:bottom w:val="single" w:sz="4" w:space="0" w:color="auto"/>
              <w:right w:val="single" w:sz="4" w:space="0" w:color="auto"/>
            </w:tcBorders>
            <w:shd w:val="clear" w:color="auto" w:fill="auto"/>
            <w:noWrap/>
            <w:vAlign w:val="bottom"/>
            <w:hideMark/>
          </w:tcPr>
          <w:p w14:paraId="7F9DA1F9" w14:textId="77777777" w:rsidR="00F87E58" w:rsidRPr="002B636D" w:rsidRDefault="00F87E58" w:rsidP="00F87E58">
            <w:pPr>
              <w:pStyle w:val="cuatexto"/>
              <w:jc w:val="right"/>
              <w:rPr>
                <w:sz w:val="14"/>
                <w:szCs w:val="14"/>
              </w:rPr>
            </w:pPr>
            <w:r w:rsidRPr="002B636D">
              <w:rPr>
                <w:sz w:val="14"/>
                <w:szCs w:val="14"/>
              </w:rPr>
              <w:t>1.613.186</w:t>
            </w:r>
          </w:p>
        </w:tc>
        <w:tc>
          <w:tcPr>
            <w:tcW w:w="861" w:type="dxa"/>
            <w:tcBorders>
              <w:top w:val="nil"/>
              <w:left w:val="nil"/>
              <w:bottom w:val="single" w:sz="4" w:space="0" w:color="auto"/>
              <w:right w:val="single" w:sz="2" w:space="0" w:color="auto"/>
            </w:tcBorders>
            <w:shd w:val="clear" w:color="auto" w:fill="auto"/>
            <w:noWrap/>
            <w:vAlign w:val="bottom"/>
            <w:hideMark/>
          </w:tcPr>
          <w:p w14:paraId="5D5BB9F4" w14:textId="77777777" w:rsidR="00F87E58" w:rsidRPr="002B636D" w:rsidRDefault="00F87E58" w:rsidP="00F87E58">
            <w:pPr>
              <w:pStyle w:val="cuatexto"/>
              <w:jc w:val="right"/>
              <w:rPr>
                <w:sz w:val="14"/>
                <w:szCs w:val="14"/>
              </w:rPr>
            </w:pPr>
            <w:r w:rsidRPr="002B636D">
              <w:rPr>
                <w:sz w:val="14"/>
                <w:szCs w:val="14"/>
              </w:rPr>
              <w:t>1.811.864</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2F9A015" w14:textId="77777777" w:rsidR="00F87E58" w:rsidRPr="002B636D" w:rsidRDefault="00F87E58" w:rsidP="00F87E58">
            <w:pPr>
              <w:pStyle w:val="cuatexto"/>
              <w:jc w:val="right"/>
              <w:rPr>
                <w:sz w:val="14"/>
                <w:szCs w:val="14"/>
              </w:rPr>
            </w:pPr>
            <w:r w:rsidRPr="002B636D">
              <w:rPr>
                <w:sz w:val="14"/>
                <w:szCs w:val="14"/>
              </w:rPr>
              <w:t>4.000.308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D7F0252"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C88E292"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5A68F2A0"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0730BA12" w14:textId="77777777" w:rsidR="00F87E58" w:rsidRPr="002B636D" w:rsidRDefault="00F87E58" w:rsidP="00F87E58">
            <w:pPr>
              <w:pStyle w:val="cuatexto"/>
              <w:jc w:val="right"/>
              <w:rPr>
                <w:b/>
                <w:bCs/>
                <w:sz w:val="14"/>
                <w:szCs w:val="14"/>
              </w:rPr>
            </w:pPr>
            <w:r w:rsidRPr="002B636D">
              <w:rPr>
                <w:b/>
                <w:bCs/>
                <w:sz w:val="14"/>
                <w:szCs w:val="14"/>
              </w:rPr>
              <w:t>4.000.309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35F0520" w14:textId="77777777" w:rsidR="00F87E58" w:rsidRPr="002B636D" w:rsidRDefault="00F87E58" w:rsidP="00F87E58">
            <w:pPr>
              <w:pStyle w:val="cuatexto"/>
              <w:jc w:val="right"/>
              <w:rPr>
                <w:b/>
                <w:bCs/>
                <w:sz w:val="14"/>
                <w:szCs w:val="14"/>
              </w:rPr>
            </w:pPr>
            <w:r w:rsidRPr="002B636D">
              <w:rPr>
                <w:b/>
                <w:bCs/>
                <w:sz w:val="14"/>
                <w:szCs w:val="14"/>
              </w:rPr>
              <w:t>48.674.456</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1F548C7F" w14:textId="77777777" w:rsidR="00F87E58" w:rsidRPr="002B636D" w:rsidRDefault="00F87E58" w:rsidP="00F87E58">
            <w:pPr>
              <w:pStyle w:val="cuatexto"/>
              <w:jc w:val="right"/>
              <w:rPr>
                <w:sz w:val="14"/>
                <w:szCs w:val="14"/>
              </w:rPr>
            </w:pPr>
            <w:r w:rsidRPr="002B636D">
              <w:rPr>
                <w:sz w:val="14"/>
                <w:szCs w:val="14"/>
              </w:rPr>
              <w:t>4.325.000</w:t>
            </w:r>
          </w:p>
        </w:tc>
        <w:tc>
          <w:tcPr>
            <w:tcW w:w="1255" w:type="dxa"/>
            <w:tcBorders>
              <w:top w:val="nil"/>
              <w:left w:val="nil"/>
              <w:bottom w:val="single" w:sz="4" w:space="0" w:color="auto"/>
              <w:right w:val="single" w:sz="4" w:space="0" w:color="auto"/>
            </w:tcBorders>
            <w:shd w:val="clear" w:color="auto" w:fill="auto"/>
            <w:noWrap/>
            <w:vAlign w:val="bottom"/>
          </w:tcPr>
          <w:p w14:paraId="099E9EF6" w14:textId="77777777" w:rsidR="00F87E58" w:rsidRPr="002B636D" w:rsidRDefault="00F87E58" w:rsidP="00F87E58">
            <w:pPr>
              <w:pStyle w:val="cuatexto"/>
              <w:jc w:val="right"/>
              <w:rPr>
                <w:sz w:val="14"/>
                <w:szCs w:val="14"/>
              </w:rPr>
            </w:pPr>
            <w:r w:rsidRPr="002B636D">
              <w:rPr>
                <w:sz w:val="14"/>
                <w:szCs w:val="14"/>
              </w:rPr>
              <w:t>25.375.000</w:t>
            </w:r>
          </w:p>
        </w:tc>
        <w:tc>
          <w:tcPr>
            <w:tcW w:w="1395" w:type="dxa"/>
            <w:tcBorders>
              <w:top w:val="nil"/>
              <w:left w:val="nil"/>
              <w:bottom w:val="single" w:sz="4" w:space="0" w:color="auto"/>
            </w:tcBorders>
            <w:shd w:val="clear" w:color="auto" w:fill="auto"/>
            <w:noWrap/>
            <w:vAlign w:val="bottom"/>
          </w:tcPr>
          <w:p w14:paraId="2544E709" w14:textId="77777777" w:rsidR="00F87E58" w:rsidRPr="002B636D" w:rsidRDefault="00F87E58" w:rsidP="00F87E58">
            <w:pPr>
              <w:pStyle w:val="cuatexto"/>
              <w:jc w:val="right"/>
              <w:rPr>
                <w:sz w:val="14"/>
                <w:szCs w:val="14"/>
              </w:rPr>
            </w:pPr>
            <w:r w:rsidRPr="002B636D">
              <w:rPr>
                <w:sz w:val="14"/>
                <w:szCs w:val="14"/>
              </w:rPr>
              <w:t>23.299.456</w:t>
            </w:r>
          </w:p>
        </w:tc>
      </w:tr>
      <w:tr w:rsidR="00F87E58" w:rsidRPr="002B636D" w14:paraId="134B43EC"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02568D8B" w14:textId="77777777" w:rsidR="00F87E58" w:rsidRPr="002B636D" w:rsidRDefault="00F87E58" w:rsidP="00F87E58">
            <w:pPr>
              <w:pStyle w:val="cuatexto"/>
              <w:jc w:val="left"/>
              <w:rPr>
                <w:sz w:val="14"/>
                <w:szCs w:val="14"/>
              </w:rPr>
            </w:pPr>
            <w:r w:rsidRPr="002B636D">
              <w:rPr>
                <w:sz w:val="14"/>
                <w:szCs w:val="14"/>
              </w:rPr>
              <w:t>2012</w:t>
            </w:r>
          </w:p>
        </w:tc>
        <w:tc>
          <w:tcPr>
            <w:tcW w:w="837" w:type="dxa"/>
            <w:tcBorders>
              <w:top w:val="nil"/>
              <w:left w:val="nil"/>
              <w:bottom w:val="single" w:sz="4" w:space="0" w:color="auto"/>
              <w:right w:val="single" w:sz="4" w:space="0" w:color="auto"/>
            </w:tcBorders>
            <w:shd w:val="clear" w:color="auto" w:fill="auto"/>
            <w:noWrap/>
            <w:vAlign w:val="bottom"/>
            <w:hideMark/>
          </w:tcPr>
          <w:p w14:paraId="4D80B309" w14:textId="77777777" w:rsidR="00F87E58" w:rsidRPr="002B636D" w:rsidRDefault="00F87E58" w:rsidP="00F87E58">
            <w:pPr>
              <w:pStyle w:val="cuatexto"/>
              <w:jc w:val="right"/>
              <w:rPr>
                <w:sz w:val="14"/>
                <w:szCs w:val="14"/>
              </w:rPr>
            </w:pPr>
            <w:r w:rsidRPr="002B636D">
              <w:rPr>
                <w:sz w:val="14"/>
                <w:szCs w:val="14"/>
              </w:rPr>
              <w:t>196.512</w:t>
            </w:r>
          </w:p>
        </w:tc>
        <w:tc>
          <w:tcPr>
            <w:tcW w:w="976" w:type="dxa"/>
            <w:tcBorders>
              <w:top w:val="nil"/>
              <w:left w:val="nil"/>
              <w:bottom w:val="single" w:sz="4" w:space="0" w:color="auto"/>
              <w:right w:val="single" w:sz="4" w:space="0" w:color="auto"/>
            </w:tcBorders>
            <w:shd w:val="clear" w:color="auto" w:fill="auto"/>
            <w:noWrap/>
            <w:vAlign w:val="bottom"/>
            <w:hideMark/>
          </w:tcPr>
          <w:p w14:paraId="5D613A2F" w14:textId="77777777" w:rsidR="00F87E58" w:rsidRPr="002B636D" w:rsidRDefault="00F87E58" w:rsidP="00F87E58">
            <w:pPr>
              <w:pStyle w:val="cuatexto"/>
              <w:jc w:val="right"/>
              <w:rPr>
                <w:sz w:val="14"/>
                <w:szCs w:val="14"/>
              </w:rPr>
            </w:pPr>
            <w:r w:rsidRPr="002B636D">
              <w:rPr>
                <w:sz w:val="14"/>
                <w:szCs w:val="14"/>
              </w:rPr>
              <w:t>1.571.234</w:t>
            </w:r>
          </w:p>
        </w:tc>
        <w:tc>
          <w:tcPr>
            <w:tcW w:w="861" w:type="dxa"/>
            <w:tcBorders>
              <w:top w:val="nil"/>
              <w:left w:val="nil"/>
              <w:bottom w:val="single" w:sz="4" w:space="0" w:color="auto"/>
              <w:right w:val="single" w:sz="2" w:space="0" w:color="auto"/>
            </w:tcBorders>
            <w:shd w:val="clear" w:color="auto" w:fill="auto"/>
            <w:noWrap/>
            <w:vAlign w:val="bottom"/>
            <w:hideMark/>
          </w:tcPr>
          <w:p w14:paraId="76020CB7" w14:textId="77777777" w:rsidR="00F87E58" w:rsidRPr="002B636D" w:rsidRDefault="00F87E58" w:rsidP="00F87E58">
            <w:pPr>
              <w:pStyle w:val="cuatexto"/>
              <w:jc w:val="right"/>
              <w:rPr>
                <w:sz w:val="14"/>
                <w:szCs w:val="14"/>
              </w:rPr>
            </w:pPr>
            <w:r w:rsidRPr="002B636D">
              <w:rPr>
                <w:sz w:val="14"/>
                <w:szCs w:val="14"/>
              </w:rPr>
              <w:t>1.568.540</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7AEBB0C" w14:textId="77777777" w:rsidR="00F87E58" w:rsidRPr="002B636D" w:rsidRDefault="00F87E58" w:rsidP="00F87E58">
            <w:pPr>
              <w:pStyle w:val="cuatexto"/>
              <w:jc w:val="right"/>
              <w:rPr>
                <w:sz w:val="14"/>
                <w:szCs w:val="14"/>
              </w:rPr>
            </w:pPr>
            <w:r w:rsidRPr="002B636D">
              <w:rPr>
                <w:sz w:val="14"/>
                <w:szCs w:val="14"/>
              </w:rPr>
              <w:t>3.336.286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54A8ADC"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7BDE90B"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BA24401"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1B17C19E" w14:textId="77777777" w:rsidR="00F87E58" w:rsidRPr="002B636D" w:rsidRDefault="00F87E58" w:rsidP="00F87E58">
            <w:pPr>
              <w:pStyle w:val="cuatexto"/>
              <w:jc w:val="right"/>
              <w:rPr>
                <w:b/>
                <w:bCs/>
                <w:sz w:val="14"/>
                <w:szCs w:val="14"/>
              </w:rPr>
            </w:pPr>
            <w:r w:rsidRPr="002B636D">
              <w:rPr>
                <w:b/>
                <w:bCs/>
                <w:sz w:val="14"/>
                <w:szCs w:val="14"/>
              </w:rPr>
              <w:t>3.336.286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96B898F" w14:textId="77777777" w:rsidR="00F87E58" w:rsidRPr="002B636D" w:rsidRDefault="00F87E58" w:rsidP="00F87E58">
            <w:pPr>
              <w:pStyle w:val="cuatexto"/>
              <w:jc w:val="right"/>
              <w:rPr>
                <w:b/>
                <w:bCs/>
                <w:sz w:val="14"/>
                <w:szCs w:val="14"/>
              </w:rPr>
            </w:pPr>
            <w:r w:rsidRPr="002B636D">
              <w:rPr>
                <w:b/>
                <w:bCs/>
                <w:sz w:val="14"/>
                <w:szCs w:val="14"/>
              </w:rPr>
              <w:t>52.010.742</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2D8937E0" w14:textId="77777777" w:rsidR="00F87E58" w:rsidRPr="002B636D" w:rsidRDefault="00F87E58" w:rsidP="00F87E58">
            <w:pPr>
              <w:pStyle w:val="cuatexto"/>
              <w:jc w:val="right"/>
              <w:rPr>
                <w:sz w:val="14"/>
                <w:szCs w:val="14"/>
              </w:rPr>
            </w:pPr>
            <w:r w:rsidRPr="002B636D">
              <w:rPr>
                <w:sz w:val="14"/>
                <w:szCs w:val="14"/>
              </w:rPr>
              <w:t>4.050.000</w:t>
            </w:r>
          </w:p>
        </w:tc>
        <w:tc>
          <w:tcPr>
            <w:tcW w:w="1255" w:type="dxa"/>
            <w:tcBorders>
              <w:top w:val="nil"/>
              <w:left w:val="nil"/>
              <w:bottom w:val="single" w:sz="4" w:space="0" w:color="auto"/>
              <w:right w:val="single" w:sz="4" w:space="0" w:color="auto"/>
            </w:tcBorders>
            <w:shd w:val="clear" w:color="auto" w:fill="auto"/>
            <w:noWrap/>
            <w:vAlign w:val="bottom"/>
          </w:tcPr>
          <w:p w14:paraId="043148D9" w14:textId="77777777" w:rsidR="00F87E58" w:rsidRPr="002B636D" w:rsidRDefault="00F87E58" w:rsidP="00F87E58">
            <w:pPr>
              <w:pStyle w:val="cuatexto"/>
              <w:jc w:val="right"/>
              <w:rPr>
                <w:sz w:val="14"/>
                <w:szCs w:val="14"/>
              </w:rPr>
            </w:pPr>
            <w:r w:rsidRPr="002B636D">
              <w:rPr>
                <w:sz w:val="14"/>
                <w:szCs w:val="14"/>
              </w:rPr>
              <w:t>29.425.000</w:t>
            </w:r>
          </w:p>
        </w:tc>
        <w:tc>
          <w:tcPr>
            <w:tcW w:w="1395" w:type="dxa"/>
            <w:tcBorders>
              <w:top w:val="nil"/>
              <w:left w:val="nil"/>
              <w:bottom w:val="single" w:sz="4" w:space="0" w:color="auto"/>
            </w:tcBorders>
            <w:shd w:val="clear" w:color="auto" w:fill="auto"/>
            <w:noWrap/>
            <w:vAlign w:val="bottom"/>
          </w:tcPr>
          <w:p w14:paraId="71C45058" w14:textId="77777777" w:rsidR="00F87E58" w:rsidRPr="002B636D" w:rsidRDefault="00F87E58" w:rsidP="00F87E58">
            <w:pPr>
              <w:pStyle w:val="cuatexto"/>
              <w:jc w:val="right"/>
              <w:rPr>
                <w:sz w:val="14"/>
                <w:szCs w:val="14"/>
              </w:rPr>
            </w:pPr>
            <w:r w:rsidRPr="002B636D">
              <w:rPr>
                <w:sz w:val="14"/>
                <w:szCs w:val="14"/>
              </w:rPr>
              <w:t>22.585.742</w:t>
            </w:r>
          </w:p>
        </w:tc>
      </w:tr>
      <w:tr w:rsidR="00F87E58" w:rsidRPr="002B636D" w14:paraId="679EC234"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9796344" w14:textId="77777777" w:rsidR="00F87E58" w:rsidRPr="002B636D" w:rsidRDefault="00F87E58" w:rsidP="00F87E58">
            <w:pPr>
              <w:pStyle w:val="cuatexto"/>
              <w:jc w:val="left"/>
              <w:rPr>
                <w:sz w:val="14"/>
                <w:szCs w:val="14"/>
              </w:rPr>
            </w:pPr>
            <w:r w:rsidRPr="002B636D">
              <w:rPr>
                <w:sz w:val="14"/>
                <w:szCs w:val="14"/>
              </w:rPr>
              <w:t>2013</w:t>
            </w:r>
          </w:p>
        </w:tc>
        <w:tc>
          <w:tcPr>
            <w:tcW w:w="837" w:type="dxa"/>
            <w:tcBorders>
              <w:top w:val="nil"/>
              <w:left w:val="nil"/>
              <w:bottom w:val="single" w:sz="4" w:space="0" w:color="auto"/>
              <w:right w:val="single" w:sz="4" w:space="0" w:color="auto"/>
            </w:tcBorders>
            <w:shd w:val="clear" w:color="auto" w:fill="auto"/>
            <w:noWrap/>
            <w:vAlign w:val="bottom"/>
            <w:hideMark/>
          </w:tcPr>
          <w:p w14:paraId="50E1F9D3" w14:textId="77777777" w:rsidR="00F87E58" w:rsidRPr="002B636D" w:rsidRDefault="00F87E58" w:rsidP="00F87E58">
            <w:pPr>
              <w:pStyle w:val="cuatexto"/>
              <w:jc w:val="right"/>
              <w:rPr>
                <w:sz w:val="14"/>
                <w:szCs w:val="14"/>
              </w:rPr>
            </w:pPr>
            <w:r w:rsidRPr="002B636D">
              <w:rPr>
                <w:sz w:val="14"/>
                <w:szCs w:val="14"/>
              </w:rPr>
              <w:t>186.618</w:t>
            </w:r>
          </w:p>
        </w:tc>
        <w:tc>
          <w:tcPr>
            <w:tcW w:w="976" w:type="dxa"/>
            <w:tcBorders>
              <w:top w:val="nil"/>
              <w:left w:val="nil"/>
              <w:bottom w:val="single" w:sz="4" w:space="0" w:color="auto"/>
              <w:right w:val="single" w:sz="4" w:space="0" w:color="auto"/>
            </w:tcBorders>
            <w:shd w:val="clear" w:color="auto" w:fill="auto"/>
            <w:noWrap/>
            <w:vAlign w:val="bottom"/>
            <w:hideMark/>
          </w:tcPr>
          <w:p w14:paraId="0839F07E" w14:textId="77777777" w:rsidR="00F87E58" w:rsidRPr="002B636D" w:rsidRDefault="00F87E58" w:rsidP="00F87E58">
            <w:pPr>
              <w:pStyle w:val="cuatexto"/>
              <w:jc w:val="right"/>
              <w:rPr>
                <w:sz w:val="14"/>
                <w:szCs w:val="14"/>
              </w:rPr>
            </w:pPr>
            <w:r w:rsidRPr="002B636D">
              <w:rPr>
                <w:sz w:val="14"/>
                <w:szCs w:val="14"/>
              </w:rPr>
              <w:t>1.525.145</w:t>
            </w:r>
          </w:p>
        </w:tc>
        <w:tc>
          <w:tcPr>
            <w:tcW w:w="861" w:type="dxa"/>
            <w:tcBorders>
              <w:top w:val="nil"/>
              <w:left w:val="nil"/>
              <w:bottom w:val="single" w:sz="4" w:space="0" w:color="auto"/>
              <w:right w:val="single" w:sz="2" w:space="0" w:color="auto"/>
            </w:tcBorders>
            <w:shd w:val="clear" w:color="auto" w:fill="auto"/>
            <w:noWrap/>
            <w:vAlign w:val="bottom"/>
            <w:hideMark/>
          </w:tcPr>
          <w:p w14:paraId="31CBC746" w14:textId="77777777" w:rsidR="00F87E58" w:rsidRPr="002B636D" w:rsidRDefault="00F87E58" w:rsidP="00F87E58">
            <w:pPr>
              <w:pStyle w:val="cuatexto"/>
              <w:jc w:val="right"/>
              <w:rPr>
                <w:sz w:val="14"/>
                <w:szCs w:val="14"/>
              </w:rPr>
            </w:pPr>
            <w:r w:rsidRPr="002B636D">
              <w:rPr>
                <w:sz w:val="14"/>
                <w:szCs w:val="14"/>
              </w:rPr>
              <w:t>1.704.645</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1A8966D" w14:textId="77777777" w:rsidR="00F87E58" w:rsidRPr="002B636D" w:rsidRDefault="00F87E58" w:rsidP="00F87E58">
            <w:pPr>
              <w:pStyle w:val="cuatexto"/>
              <w:jc w:val="right"/>
              <w:rPr>
                <w:sz w:val="14"/>
                <w:szCs w:val="14"/>
              </w:rPr>
            </w:pPr>
            <w:r w:rsidRPr="002B636D">
              <w:rPr>
                <w:sz w:val="14"/>
                <w:szCs w:val="14"/>
              </w:rPr>
              <w:t>3.416.408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B9FD72B"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E0E8B53"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F03CEFC"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10287FAD" w14:textId="77777777" w:rsidR="00F87E58" w:rsidRPr="002B636D" w:rsidRDefault="00F87E58" w:rsidP="00F87E58">
            <w:pPr>
              <w:pStyle w:val="cuatexto"/>
              <w:jc w:val="right"/>
              <w:rPr>
                <w:b/>
                <w:bCs/>
                <w:sz w:val="14"/>
                <w:szCs w:val="14"/>
              </w:rPr>
            </w:pPr>
            <w:r w:rsidRPr="002B636D">
              <w:rPr>
                <w:b/>
                <w:bCs/>
                <w:sz w:val="14"/>
                <w:szCs w:val="14"/>
              </w:rPr>
              <w:t>3.416.408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CB6D96D" w14:textId="77777777" w:rsidR="00F87E58" w:rsidRPr="002B636D" w:rsidRDefault="00F87E58" w:rsidP="00F87E58">
            <w:pPr>
              <w:pStyle w:val="cuatexto"/>
              <w:jc w:val="right"/>
              <w:rPr>
                <w:b/>
                <w:bCs/>
                <w:sz w:val="14"/>
                <w:szCs w:val="14"/>
              </w:rPr>
            </w:pPr>
            <w:r w:rsidRPr="002B636D">
              <w:rPr>
                <w:b/>
                <w:bCs/>
                <w:sz w:val="14"/>
                <w:szCs w:val="14"/>
              </w:rPr>
              <w:t>55.427.151</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DC012AD" w14:textId="77777777" w:rsidR="00F87E58" w:rsidRPr="002B636D" w:rsidRDefault="00F87E58" w:rsidP="00F87E58">
            <w:pPr>
              <w:pStyle w:val="cuatexto"/>
              <w:jc w:val="right"/>
              <w:rPr>
                <w:sz w:val="14"/>
                <w:szCs w:val="14"/>
              </w:rPr>
            </w:pPr>
            <w:r w:rsidRPr="002B636D">
              <w:rPr>
                <w:sz w:val="14"/>
                <w:szCs w:val="14"/>
              </w:rPr>
              <w:t>3.850.000</w:t>
            </w:r>
          </w:p>
        </w:tc>
        <w:tc>
          <w:tcPr>
            <w:tcW w:w="1255" w:type="dxa"/>
            <w:tcBorders>
              <w:top w:val="nil"/>
              <w:left w:val="nil"/>
              <w:bottom w:val="single" w:sz="4" w:space="0" w:color="auto"/>
              <w:right w:val="single" w:sz="4" w:space="0" w:color="auto"/>
            </w:tcBorders>
            <w:shd w:val="clear" w:color="auto" w:fill="auto"/>
            <w:noWrap/>
            <w:vAlign w:val="bottom"/>
          </w:tcPr>
          <w:p w14:paraId="1C9935DD" w14:textId="77777777" w:rsidR="00F87E58" w:rsidRPr="002B636D" w:rsidRDefault="00F87E58" w:rsidP="00F87E58">
            <w:pPr>
              <w:pStyle w:val="cuatexto"/>
              <w:jc w:val="right"/>
              <w:rPr>
                <w:sz w:val="14"/>
                <w:szCs w:val="14"/>
              </w:rPr>
            </w:pPr>
            <w:r w:rsidRPr="002B636D">
              <w:rPr>
                <w:sz w:val="14"/>
                <w:szCs w:val="14"/>
              </w:rPr>
              <w:t>33.275.000</w:t>
            </w:r>
          </w:p>
        </w:tc>
        <w:tc>
          <w:tcPr>
            <w:tcW w:w="1395" w:type="dxa"/>
            <w:tcBorders>
              <w:top w:val="nil"/>
              <w:left w:val="nil"/>
              <w:bottom w:val="single" w:sz="4" w:space="0" w:color="auto"/>
            </w:tcBorders>
            <w:shd w:val="clear" w:color="auto" w:fill="auto"/>
            <w:noWrap/>
            <w:vAlign w:val="bottom"/>
          </w:tcPr>
          <w:p w14:paraId="3CB42FE9" w14:textId="77777777" w:rsidR="00F87E58" w:rsidRPr="002B636D" w:rsidRDefault="00F87E58" w:rsidP="00F87E58">
            <w:pPr>
              <w:pStyle w:val="cuatexto"/>
              <w:jc w:val="right"/>
              <w:rPr>
                <w:sz w:val="14"/>
                <w:szCs w:val="14"/>
              </w:rPr>
            </w:pPr>
            <w:r w:rsidRPr="002B636D">
              <w:rPr>
                <w:sz w:val="14"/>
                <w:szCs w:val="14"/>
              </w:rPr>
              <w:t>22.152.151</w:t>
            </w:r>
          </w:p>
        </w:tc>
      </w:tr>
      <w:tr w:rsidR="00F87E58" w:rsidRPr="002B636D" w14:paraId="5104D346"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508D2672" w14:textId="77777777" w:rsidR="00F87E58" w:rsidRPr="002B636D" w:rsidRDefault="00F87E58" w:rsidP="00F87E58">
            <w:pPr>
              <w:pStyle w:val="cuatexto"/>
              <w:jc w:val="left"/>
              <w:rPr>
                <w:sz w:val="14"/>
                <w:szCs w:val="14"/>
              </w:rPr>
            </w:pPr>
            <w:r w:rsidRPr="002B636D">
              <w:rPr>
                <w:sz w:val="14"/>
                <w:szCs w:val="14"/>
              </w:rPr>
              <w:t>2014</w:t>
            </w:r>
          </w:p>
        </w:tc>
        <w:tc>
          <w:tcPr>
            <w:tcW w:w="837" w:type="dxa"/>
            <w:tcBorders>
              <w:top w:val="nil"/>
              <w:left w:val="nil"/>
              <w:bottom w:val="single" w:sz="4" w:space="0" w:color="auto"/>
              <w:right w:val="single" w:sz="4" w:space="0" w:color="auto"/>
            </w:tcBorders>
            <w:shd w:val="clear" w:color="auto" w:fill="auto"/>
            <w:noWrap/>
            <w:vAlign w:val="bottom"/>
            <w:hideMark/>
          </w:tcPr>
          <w:p w14:paraId="5208D049" w14:textId="77777777" w:rsidR="00F87E58" w:rsidRPr="002B636D" w:rsidRDefault="00F87E58" w:rsidP="00F87E58">
            <w:pPr>
              <w:pStyle w:val="cuatexto"/>
              <w:jc w:val="right"/>
              <w:rPr>
                <w:sz w:val="14"/>
                <w:szCs w:val="14"/>
              </w:rPr>
            </w:pPr>
            <w:r w:rsidRPr="002B636D">
              <w:rPr>
                <w:sz w:val="14"/>
                <w:szCs w:val="14"/>
              </w:rPr>
              <w:t>505.583</w:t>
            </w:r>
          </w:p>
        </w:tc>
        <w:tc>
          <w:tcPr>
            <w:tcW w:w="976" w:type="dxa"/>
            <w:tcBorders>
              <w:top w:val="nil"/>
              <w:left w:val="nil"/>
              <w:bottom w:val="single" w:sz="4" w:space="0" w:color="auto"/>
              <w:right w:val="single" w:sz="4" w:space="0" w:color="auto"/>
            </w:tcBorders>
            <w:shd w:val="clear" w:color="auto" w:fill="auto"/>
            <w:noWrap/>
            <w:vAlign w:val="bottom"/>
            <w:hideMark/>
          </w:tcPr>
          <w:p w14:paraId="372B5770" w14:textId="77777777" w:rsidR="00F87E58" w:rsidRPr="002B636D" w:rsidRDefault="00F87E58" w:rsidP="00F87E58">
            <w:pPr>
              <w:pStyle w:val="cuatexto"/>
              <w:jc w:val="right"/>
              <w:rPr>
                <w:sz w:val="14"/>
                <w:szCs w:val="14"/>
              </w:rPr>
            </w:pPr>
            <w:r w:rsidRPr="002B636D">
              <w:rPr>
                <w:sz w:val="14"/>
                <w:szCs w:val="14"/>
              </w:rPr>
              <w:t>432.995</w:t>
            </w:r>
          </w:p>
        </w:tc>
        <w:tc>
          <w:tcPr>
            <w:tcW w:w="861" w:type="dxa"/>
            <w:tcBorders>
              <w:top w:val="nil"/>
              <w:left w:val="nil"/>
              <w:bottom w:val="single" w:sz="4" w:space="0" w:color="auto"/>
              <w:right w:val="single" w:sz="2" w:space="0" w:color="auto"/>
            </w:tcBorders>
            <w:shd w:val="clear" w:color="auto" w:fill="auto"/>
            <w:noWrap/>
            <w:vAlign w:val="bottom"/>
            <w:hideMark/>
          </w:tcPr>
          <w:p w14:paraId="14C63224" w14:textId="77777777" w:rsidR="00F87E58" w:rsidRPr="002B636D" w:rsidRDefault="00F87E58" w:rsidP="00F87E58">
            <w:pPr>
              <w:pStyle w:val="cuatexto"/>
              <w:jc w:val="right"/>
              <w:rPr>
                <w:sz w:val="14"/>
                <w:szCs w:val="14"/>
              </w:rPr>
            </w:pPr>
            <w:r w:rsidRPr="002B636D">
              <w:rPr>
                <w:sz w:val="14"/>
                <w:szCs w:val="14"/>
              </w:rPr>
              <w:t>1.119.516</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27E4960" w14:textId="77777777" w:rsidR="00F87E58" w:rsidRPr="002B636D" w:rsidRDefault="00F87E58" w:rsidP="00F87E58">
            <w:pPr>
              <w:pStyle w:val="cuatexto"/>
              <w:jc w:val="right"/>
              <w:rPr>
                <w:sz w:val="14"/>
                <w:szCs w:val="14"/>
              </w:rPr>
            </w:pPr>
            <w:r w:rsidRPr="002B636D">
              <w:rPr>
                <w:sz w:val="14"/>
                <w:szCs w:val="14"/>
              </w:rPr>
              <w:t>2.058.094</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11D1A77E"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3313486B"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05CDFAD4"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4A1C5535" w14:textId="77777777" w:rsidR="00F87E58" w:rsidRPr="002B636D" w:rsidRDefault="00F87E58" w:rsidP="00F87E58">
            <w:pPr>
              <w:pStyle w:val="cuatexto"/>
              <w:jc w:val="right"/>
              <w:rPr>
                <w:b/>
                <w:bCs/>
                <w:sz w:val="14"/>
                <w:szCs w:val="14"/>
              </w:rPr>
            </w:pPr>
            <w:r w:rsidRPr="002B636D">
              <w:rPr>
                <w:b/>
                <w:bCs/>
                <w:sz w:val="14"/>
                <w:szCs w:val="14"/>
              </w:rPr>
              <w:t>1.758.095</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3BFDA2F4" w14:textId="77777777" w:rsidR="00F87E58" w:rsidRPr="002B636D" w:rsidRDefault="00F87E58" w:rsidP="00F87E58">
            <w:pPr>
              <w:pStyle w:val="cuatexto"/>
              <w:jc w:val="right"/>
              <w:rPr>
                <w:b/>
                <w:bCs/>
                <w:sz w:val="14"/>
                <w:szCs w:val="14"/>
              </w:rPr>
            </w:pPr>
            <w:r w:rsidRPr="002B636D">
              <w:rPr>
                <w:b/>
                <w:bCs/>
                <w:sz w:val="14"/>
                <w:szCs w:val="14"/>
              </w:rPr>
              <w:t>57.185.245</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C61362C" w14:textId="77777777" w:rsidR="00F87E58" w:rsidRPr="002B636D" w:rsidRDefault="00F87E58" w:rsidP="00F87E58">
            <w:pPr>
              <w:pStyle w:val="cuatexto"/>
              <w:jc w:val="right"/>
              <w:rPr>
                <w:sz w:val="14"/>
                <w:szCs w:val="14"/>
              </w:rPr>
            </w:pPr>
            <w:r w:rsidRPr="002B636D">
              <w:rPr>
                <w:sz w:val="14"/>
                <w:szCs w:val="14"/>
              </w:rPr>
              <w:t>2.900.000</w:t>
            </w:r>
          </w:p>
        </w:tc>
        <w:tc>
          <w:tcPr>
            <w:tcW w:w="1255" w:type="dxa"/>
            <w:tcBorders>
              <w:top w:val="nil"/>
              <w:left w:val="nil"/>
              <w:bottom w:val="single" w:sz="4" w:space="0" w:color="auto"/>
              <w:right w:val="single" w:sz="4" w:space="0" w:color="auto"/>
            </w:tcBorders>
            <w:shd w:val="clear" w:color="auto" w:fill="auto"/>
            <w:noWrap/>
            <w:vAlign w:val="bottom"/>
          </w:tcPr>
          <w:p w14:paraId="0867ED0F" w14:textId="77777777" w:rsidR="00F87E58" w:rsidRPr="002B636D" w:rsidRDefault="00F87E58" w:rsidP="00F87E58">
            <w:pPr>
              <w:pStyle w:val="cuatexto"/>
              <w:jc w:val="right"/>
              <w:rPr>
                <w:sz w:val="14"/>
                <w:szCs w:val="14"/>
              </w:rPr>
            </w:pPr>
            <w:r w:rsidRPr="002B636D">
              <w:rPr>
                <w:sz w:val="14"/>
                <w:szCs w:val="14"/>
              </w:rPr>
              <w:t>36.175.000</w:t>
            </w:r>
          </w:p>
        </w:tc>
        <w:tc>
          <w:tcPr>
            <w:tcW w:w="1395" w:type="dxa"/>
            <w:tcBorders>
              <w:top w:val="nil"/>
              <w:left w:val="nil"/>
              <w:bottom w:val="single" w:sz="4" w:space="0" w:color="auto"/>
            </w:tcBorders>
            <w:shd w:val="clear" w:color="auto" w:fill="auto"/>
            <w:noWrap/>
            <w:vAlign w:val="bottom"/>
          </w:tcPr>
          <w:p w14:paraId="15FE1F56" w14:textId="77777777" w:rsidR="00F87E58" w:rsidRPr="002B636D" w:rsidRDefault="00F87E58" w:rsidP="00F87E58">
            <w:pPr>
              <w:pStyle w:val="cuatexto"/>
              <w:jc w:val="right"/>
              <w:rPr>
                <w:sz w:val="14"/>
                <w:szCs w:val="14"/>
              </w:rPr>
            </w:pPr>
            <w:r w:rsidRPr="002B636D">
              <w:rPr>
                <w:sz w:val="14"/>
                <w:szCs w:val="14"/>
              </w:rPr>
              <w:t>21.010.245</w:t>
            </w:r>
          </w:p>
        </w:tc>
      </w:tr>
      <w:tr w:rsidR="00F87E58" w:rsidRPr="002B636D" w14:paraId="79C6A992"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12A04A3" w14:textId="77777777" w:rsidR="00F87E58" w:rsidRPr="002B636D" w:rsidRDefault="00F87E58" w:rsidP="00F87E58">
            <w:pPr>
              <w:pStyle w:val="cuatexto"/>
              <w:jc w:val="left"/>
              <w:rPr>
                <w:sz w:val="14"/>
                <w:szCs w:val="14"/>
              </w:rPr>
            </w:pPr>
            <w:r w:rsidRPr="002B636D">
              <w:rPr>
                <w:sz w:val="14"/>
                <w:szCs w:val="14"/>
              </w:rPr>
              <w:t>2015</w:t>
            </w:r>
          </w:p>
        </w:tc>
        <w:tc>
          <w:tcPr>
            <w:tcW w:w="837" w:type="dxa"/>
            <w:tcBorders>
              <w:top w:val="nil"/>
              <w:left w:val="nil"/>
              <w:bottom w:val="single" w:sz="4" w:space="0" w:color="auto"/>
              <w:right w:val="single" w:sz="4" w:space="0" w:color="auto"/>
            </w:tcBorders>
            <w:shd w:val="clear" w:color="auto" w:fill="auto"/>
            <w:noWrap/>
            <w:vAlign w:val="bottom"/>
            <w:hideMark/>
          </w:tcPr>
          <w:p w14:paraId="0400C3C0" w14:textId="77777777" w:rsidR="00F87E58" w:rsidRPr="002B636D" w:rsidRDefault="00F87E58" w:rsidP="00F87E58">
            <w:pPr>
              <w:pStyle w:val="cuatexto"/>
              <w:jc w:val="right"/>
              <w:rPr>
                <w:sz w:val="14"/>
                <w:szCs w:val="14"/>
              </w:rPr>
            </w:pPr>
            <w:r w:rsidRPr="002B636D">
              <w:rPr>
                <w:sz w:val="14"/>
                <w:szCs w:val="14"/>
              </w:rPr>
              <w:t>232.096</w:t>
            </w:r>
          </w:p>
        </w:tc>
        <w:tc>
          <w:tcPr>
            <w:tcW w:w="976" w:type="dxa"/>
            <w:tcBorders>
              <w:top w:val="nil"/>
              <w:left w:val="nil"/>
              <w:bottom w:val="single" w:sz="4" w:space="0" w:color="auto"/>
              <w:right w:val="single" w:sz="4" w:space="0" w:color="auto"/>
            </w:tcBorders>
            <w:shd w:val="clear" w:color="auto" w:fill="auto"/>
            <w:noWrap/>
            <w:vAlign w:val="bottom"/>
            <w:hideMark/>
          </w:tcPr>
          <w:p w14:paraId="2C624AC2" w14:textId="77777777" w:rsidR="00F87E58" w:rsidRPr="002B636D" w:rsidRDefault="00F87E58" w:rsidP="00F87E58">
            <w:pPr>
              <w:pStyle w:val="cuatexto"/>
              <w:jc w:val="right"/>
              <w:rPr>
                <w:sz w:val="14"/>
                <w:szCs w:val="14"/>
              </w:rPr>
            </w:pPr>
            <w:r w:rsidRPr="002B636D">
              <w:rPr>
                <w:sz w:val="14"/>
                <w:szCs w:val="14"/>
              </w:rPr>
              <w:t>750.731</w:t>
            </w:r>
          </w:p>
        </w:tc>
        <w:tc>
          <w:tcPr>
            <w:tcW w:w="861" w:type="dxa"/>
            <w:tcBorders>
              <w:top w:val="nil"/>
              <w:left w:val="nil"/>
              <w:bottom w:val="single" w:sz="4" w:space="0" w:color="auto"/>
              <w:right w:val="single" w:sz="2" w:space="0" w:color="auto"/>
            </w:tcBorders>
            <w:shd w:val="clear" w:color="auto" w:fill="auto"/>
            <w:noWrap/>
            <w:vAlign w:val="bottom"/>
            <w:hideMark/>
          </w:tcPr>
          <w:p w14:paraId="51DABC2F" w14:textId="77777777" w:rsidR="00F87E58" w:rsidRPr="002B636D" w:rsidRDefault="00F87E58" w:rsidP="00F87E58">
            <w:pPr>
              <w:pStyle w:val="cuatexto"/>
              <w:jc w:val="right"/>
              <w:rPr>
                <w:sz w:val="14"/>
                <w:szCs w:val="14"/>
              </w:rPr>
            </w:pPr>
            <w:r w:rsidRPr="002B636D">
              <w:rPr>
                <w:sz w:val="14"/>
                <w:szCs w:val="14"/>
              </w:rPr>
              <w:t>1.116.804</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F722A65" w14:textId="77777777" w:rsidR="00F87E58" w:rsidRPr="002B636D" w:rsidRDefault="00F87E58" w:rsidP="00F87E58">
            <w:pPr>
              <w:pStyle w:val="cuatexto"/>
              <w:jc w:val="right"/>
              <w:rPr>
                <w:sz w:val="14"/>
                <w:szCs w:val="14"/>
              </w:rPr>
            </w:pPr>
            <w:r w:rsidRPr="002B636D">
              <w:rPr>
                <w:sz w:val="14"/>
                <w:szCs w:val="14"/>
              </w:rPr>
              <w:t>2.099.631</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9D13DEE"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1B41BA1E"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38DBE88"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2FD332A3" w14:textId="77777777" w:rsidR="00F87E58" w:rsidRPr="002B636D" w:rsidRDefault="00F87E58" w:rsidP="00F87E58">
            <w:pPr>
              <w:pStyle w:val="cuatexto"/>
              <w:jc w:val="right"/>
              <w:rPr>
                <w:b/>
                <w:bCs/>
                <w:sz w:val="14"/>
                <w:szCs w:val="14"/>
              </w:rPr>
            </w:pPr>
            <w:r w:rsidRPr="002B636D">
              <w:rPr>
                <w:b/>
                <w:bCs/>
                <w:sz w:val="14"/>
                <w:szCs w:val="14"/>
              </w:rPr>
              <w:t>2.099.631</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544A58C7" w14:textId="77777777" w:rsidR="00F87E58" w:rsidRPr="002B636D" w:rsidRDefault="00F87E58" w:rsidP="00F87E58">
            <w:pPr>
              <w:pStyle w:val="cuatexto"/>
              <w:jc w:val="right"/>
              <w:rPr>
                <w:b/>
                <w:bCs/>
                <w:sz w:val="14"/>
                <w:szCs w:val="14"/>
              </w:rPr>
            </w:pPr>
            <w:r w:rsidRPr="002B636D">
              <w:rPr>
                <w:b/>
                <w:bCs/>
                <w:sz w:val="14"/>
                <w:szCs w:val="14"/>
              </w:rPr>
              <w:t>59.284.877</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433CA1A9" w14:textId="77777777" w:rsidR="00F87E58" w:rsidRPr="002B636D" w:rsidRDefault="00F87E58" w:rsidP="00F87E58">
            <w:pPr>
              <w:pStyle w:val="cuatexto"/>
              <w:jc w:val="right"/>
              <w:rPr>
                <w:sz w:val="14"/>
                <w:szCs w:val="14"/>
              </w:rPr>
            </w:pPr>
            <w:r w:rsidRPr="002B636D">
              <w:rPr>
                <w:sz w:val="14"/>
                <w:szCs w:val="14"/>
              </w:rPr>
              <w:t>2.900.000</w:t>
            </w:r>
          </w:p>
        </w:tc>
        <w:tc>
          <w:tcPr>
            <w:tcW w:w="1255" w:type="dxa"/>
            <w:tcBorders>
              <w:top w:val="nil"/>
              <w:left w:val="nil"/>
              <w:bottom w:val="single" w:sz="4" w:space="0" w:color="auto"/>
              <w:right w:val="single" w:sz="4" w:space="0" w:color="auto"/>
            </w:tcBorders>
            <w:shd w:val="clear" w:color="auto" w:fill="auto"/>
            <w:noWrap/>
            <w:vAlign w:val="bottom"/>
          </w:tcPr>
          <w:p w14:paraId="0812A24B" w14:textId="77777777" w:rsidR="00F87E58" w:rsidRPr="002B636D" w:rsidRDefault="00F87E58" w:rsidP="00F87E58">
            <w:pPr>
              <w:pStyle w:val="cuatexto"/>
              <w:jc w:val="right"/>
              <w:rPr>
                <w:sz w:val="14"/>
                <w:szCs w:val="14"/>
              </w:rPr>
            </w:pPr>
            <w:r w:rsidRPr="002B636D">
              <w:rPr>
                <w:sz w:val="14"/>
                <w:szCs w:val="14"/>
              </w:rPr>
              <w:t>39.075.000</w:t>
            </w:r>
          </w:p>
        </w:tc>
        <w:tc>
          <w:tcPr>
            <w:tcW w:w="1395" w:type="dxa"/>
            <w:tcBorders>
              <w:top w:val="nil"/>
              <w:left w:val="nil"/>
              <w:bottom w:val="single" w:sz="4" w:space="0" w:color="auto"/>
            </w:tcBorders>
            <w:shd w:val="clear" w:color="auto" w:fill="auto"/>
            <w:noWrap/>
            <w:vAlign w:val="bottom"/>
          </w:tcPr>
          <w:p w14:paraId="4DE8DF2D" w14:textId="77777777" w:rsidR="00F87E58" w:rsidRPr="002B636D" w:rsidRDefault="00F87E58" w:rsidP="00F87E58">
            <w:pPr>
              <w:pStyle w:val="cuatexto"/>
              <w:jc w:val="right"/>
              <w:rPr>
                <w:sz w:val="14"/>
                <w:szCs w:val="14"/>
              </w:rPr>
            </w:pPr>
            <w:r w:rsidRPr="002B636D">
              <w:rPr>
                <w:sz w:val="14"/>
                <w:szCs w:val="14"/>
              </w:rPr>
              <w:t>20.209.877</w:t>
            </w:r>
          </w:p>
        </w:tc>
      </w:tr>
      <w:tr w:rsidR="00F87E58" w:rsidRPr="002B636D" w14:paraId="0EFB1F9E"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55643947" w14:textId="77777777" w:rsidR="00F87E58" w:rsidRPr="002B636D" w:rsidRDefault="00F87E58" w:rsidP="00F87E58">
            <w:pPr>
              <w:pStyle w:val="cuatexto"/>
              <w:jc w:val="left"/>
              <w:rPr>
                <w:sz w:val="14"/>
                <w:szCs w:val="14"/>
              </w:rPr>
            </w:pPr>
            <w:r w:rsidRPr="002B636D">
              <w:rPr>
                <w:sz w:val="14"/>
                <w:szCs w:val="14"/>
              </w:rPr>
              <w:t>2016</w:t>
            </w:r>
          </w:p>
        </w:tc>
        <w:tc>
          <w:tcPr>
            <w:tcW w:w="837" w:type="dxa"/>
            <w:tcBorders>
              <w:top w:val="nil"/>
              <w:left w:val="nil"/>
              <w:bottom w:val="single" w:sz="4" w:space="0" w:color="auto"/>
              <w:right w:val="single" w:sz="4" w:space="0" w:color="auto"/>
            </w:tcBorders>
            <w:shd w:val="clear" w:color="auto" w:fill="auto"/>
            <w:noWrap/>
            <w:vAlign w:val="bottom"/>
            <w:hideMark/>
          </w:tcPr>
          <w:p w14:paraId="00F640B9" w14:textId="77777777" w:rsidR="00F87E58" w:rsidRPr="002B636D" w:rsidRDefault="00F87E58" w:rsidP="00F87E58">
            <w:pPr>
              <w:pStyle w:val="cuatexto"/>
              <w:jc w:val="right"/>
              <w:rPr>
                <w:sz w:val="14"/>
                <w:szCs w:val="14"/>
              </w:rPr>
            </w:pPr>
            <w:r w:rsidRPr="002B636D">
              <w:rPr>
                <w:sz w:val="14"/>
                <w:szCs w:val="14"/>
              </w:rPr>
              <w:t>333.998</w:t>
            </w:r>
          </w:p>
        </w:tc>
        <w:tc>
          <w:tcPr>
            <w:tcW w:w="976" w:type="dxa"/>
            <w:tcBorders>
              <w:top w:val="nil"/>
              <w:left w:val="nil"/>
              <w:bottom w:val="single" w:sz="4" w:space="0" w:color="auto"/>
              <w:right w:val="single" w:sz="4" w:space="0" w:color="auto"/>
            </w:tcBorders>
            <w:shd w:val="clear" w:color="auto" w:fill="auto"/>
            <w:noWrap/>
            <w:vAlign w:val="bottom"/>
            <w:hideMark/>
          </w:tcPr>
          <w:p w14:paraId="021DAA37" w14:textId="77777777" w:rsidR="00F87E58" w:rsidRPr="002B636D" w:rsidRDefault="00F87E58" w:rsidP="00F87E58">
            <w:pPr>
              <w:pStyle w:val="cuatexto"/>
              <w:jc w:val="right"/>
              <w:rPr>
                <w:sz w:val="14"/>
                <w:szCs w:val="14"/>
              </w:rPr>
            </w:pPr>
            <w:r w:rsidRPr="002B636D">
              <w:rPr>
                <w:sz w:val="14"/>
                <w:szCs w:val="14"/>
              </w:rPr>
              <w:t>676.362</w:t>
            </w:r>
          </w:p>
        </w:tc>
        <w:tc>
          <w:tcPr>
            <w:tcW w:w="861" w:type="dxa"/>
            <w:tcBorders>
              <w:top w:val="nil"/>
              <w:left w:val="nil"/>
              <w:bottom w:val="single" w:sz="4" w:space="0" w:color="auto"/>
              <w:right w:val="single" w:sz="2" w:space="0" w:color="auto"/>
            </w:tcBorders>
            <w:shd w:val="clear" w:color="auto" w:fill="auto"/>
            <w:noWrap/>
            <w:vAlign w:val="bottom"/>
            <w:hideMark/>
          </w:tcPr>
          <w:p w14:paraId="4717AB84" w14:textId="77777777" w:rsidR="00F87E58" w:rsidRPr="002B636D" w:rsidRDefault="00F87E58" w:rsidP="00F87E58">
            <w:pPr>
              <w:pStyle w:val="cuatexto"/>
              <w:jc w:val="right"/>
              <w:rPr>
                <w:sz w:val="14"/>
                <w:szCs w:val="14"/>
              </w:rPr>
            </w:pPr>
            <w:r w:rsidRPr="002B636D">
              <w:rPr>
                <w:sz w:val="14"/>
                <w:szCs w:val="14"/>
              </w:rPr>
              <w:t>1.149.338</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21BBA61" w14:textId="77777777" w:rsidR="00F87E58" w:rsidRPr="002B636D" w:rsidRDefault="00F87E58" w:rsidP="00F87E58">
            <w:pPr>
              <w:pStyle w:val="cuatexto"/>
              <w:jc w:val="right"/>
              <w:rPr>
                <w:sz w:val="14"/>
                <w:szCs w:val="14"/>
              </w:rPr>
            </w:pPr>
            <w:r w:rsidRPr="002B636D">
              <w:rPr>
                <w:sz w:val="14"/>
                <w:szCs w:val="14"/>
              </w:rPr>
              <w:t>2.159.698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2CCA2183"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6174653F"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495D06BD"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10D86D3C" w14:textId="77777777" w:rsidR="00F87E58" w:rsidRPr="002B636D" w:rsidRDefault="00F87E58" w:rsidP="00F87E58">
            <w:pPr>
              <w:pStyle w:val="cuatexto"/>
              <w:jc w:val="right"/>
              <w:rPr>
                <w:b/>
                <w:bCs/>
                <w:sz w:val="14"/>
                <w:szCs w:val="14"/>
              </w:rPr>
            </w:pPr>
            <w:r w:rsidRPr="002B636D">
              <w:rPr>
                <w:b/>
                <w:bCs/>
                <w:sz w:val="14"/>
                <w:szCs w:val="14"/>
              </w:rPr>
              <w:t>2.159.698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59E351D7" w14:textId="77777777" w:rsidR="00F87E58" w:rsidRPr="002B636D" w:rsidRDefault="00F87E58" w:rsidP="00F87E58">
            <w:pPr>
              <w:pStyle w:val="cuatexto"/>
              <w:jc w:val="right"/>
              <w:rPr>
                <w:b/>
                <w:bCs/>
                <w:sz w:val="14"/>
                <w:szCs w:val="14"/>
              </w:rPr>
            </w:pPr>
            <w:r w:rsidRPr="002B636D">
              <w:rPr>
                <w:b/>
                <w:bCs/>
                <w:sz w:val="14"/>
                <w:szCs w:val="14"/>
              </w:rPr>
              <w:t>61.444.575</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0C7840B" w14:textId="77777777" w:rsidR="00F87E58" w:rsidRPr="002B636D" w:rsidRDefault="00F87E58" w:rsidP="00F87E58">
            <w:pPr>
              <w:pStyle w:val="cuatexto"/>
              <w:jc w:val="right"/>
              <w:rPr>
                <w:sz w:val="14"/>
                <w:szCs w:val="14"/>
              </w:rPr>
            </w:pPr>
            <w:r w:rsidRPr="002B636D">
              <w:rPr>
                <w:sz w:val="14"/>
                <w:szCs w:val="14"/>
              </w:rPr>
              <w:t>2.500.000</w:t>
            </w:r>
          </w:p>
        </w:tc>
        <w:tc>
          <w:tcPr>
            <w:tcW w:w="1255" w:type="dxa"/>
            <w:tcBorders>
              <w:top w:val="nil"/>
              <w:left w:val="nil"/>
              <w:bottom w:val="single" w:sz="4" w:space="0" w:color="auto"/>
              <w:right w:val="single" w:sz="4" w:space="0" w:color="auto"/>
            </w:tcBorders>
            <w:shd w:val="clear" w:color="auto" w:fill="auto"/>
            <w:noWrap/>
            <w:vAlign w:val="bottom"/>
          </w:tcPr>
          <w:p w14:paraId="012152CC" w14:textId="77777777" w:rsidR="00F87E58" w:rsidRPr="002B636D" w:rsidRDefault="00F87E58" w:rsidP="00F87E58">
            <w:pPr>
              <w:pStyle w:val="cuatexto"/>
              <w:jc w:val="right"/>
              <w:rPr>
                <w:sz w:val="14"/>
                <w:szCs w:val="14"/>
              </w:rPr>
            </w:pPr>
            <w:r w:rsidRPr="002B636D">
              <w:rPr>
                <w:sz w:val="14"/>
                <w:szCs w:val="14"/>
              </w:rPr>
              <w:t>41.575.000</w:t>
            </w:r>
          </w:p>
        </w:tc>
        <w:tc>
          <w:tcPr>
            <w:tcW w:w="1395" w:type="dxa"/>
            <w:tcBorders>
              <w:top w:val="nil"/>
              <w:left w:val="nil"/>
              <w:bottom w:val="single" w:sz="4" w:space="0" w:color="auto"/>
            </w:tcBorders>
            <w:shd w:val="clear" w:color="auto" w:fill="auto"/>
            <w:noWrap/>
            <w:vAlign w:val="bottom"/>
          </w:tcPr>
          <w:p w14:paraId="76720372" w14:textId="77777777" w:rsidR="00F87E58" w:rsidRPr="002B636D" w:rsidRDefault="00F87E58" w:rsidP="00F87E58">
            <w:pPr>
              <w:pStyle w:val="cuatexto"/>
              <w:jc w:val="right"/>
              <w:rPr>
                <w:sz w:val="14"/>
                <w:szCs w:val="14"/>
              </w:rPr>
            </w:pPr>
            <w:r w:rsidRPr="002B636D">
              <w:rPr>
                <w:sz w:val="14"/>
                <w:szCs w:val="14"/>
              </w:rPr>
              <w:t>19.869.575</w:t>
            </w:r>
          </w:p>
        </w:tc>
      </w:tr>
      <w:tr w:rsidR="00F87E58" w:rsidRPr="002B636D" w14:paraId="3C77576C"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52F8AA9E" w14:textId="77777777" w:rsidR="00F87E58" w:rsidRPr="002B636D" w:rsidRDefault="00F87E58" w:rsidP="00F87E58">
            <w:pPr>
              <w:pStyle w:val="cuatexto"/>
              <w:jc w:val="left"/>
              <w:rPr>
                <w:sz w:val="14"/>
                <w:szCs w:val="14"/>
              </w:rPr>
            </w:pPr>
            <w:r w:rsidRPr="002B636D">
              <w:rPr>
                <w:sz w:val="14"/>
                <w:szCs w:val="14"/>
              </w:rPr>
              <w:t>2017</w:t>
            </w:r>
          </w:p>
        </w:tc>
        <w:tc>
          <w:tcPr>
            <w:tcW w:w="837" w:type="dxa"/>
            <w:tcBorders>
              <w:top w:val="nil"/>
              <w:left w:val="nil"/>
              <w:bottom w:val="single" w:sz="4" w:space="0" w:color="auto"/>
              <w:right w:val="single" w:sz="4" w:space="0" w:color="auto"/>
            </w:tcBorders>
            <w:shd w:val="clear" w:color="auto" w:fill="auto"/>
            <w:noWrap/>
            <w:vAlign w:val="bottom"/>
            <w:hideMark/>
          </w:tcPr>
          <w:p w14:paraId="28B64E69" w14:textId="77777777" w:rsidR="00F87E58" w:rsidRPr="002B636D" w:rsidRDefault="00F87E58" w:rsidP="00F87E58">
            <w:pPr>
              <w:pStyle w:val="cuatexto"/>
              <w:jc w:val="right"/>
              <w:rPr>
                <w:sz w:val="14"/>
                <w:szCs w:val="14"/>
              </w:rPr>
            </w:pPr>
            <w:r w:rsidRPr="002B636D">
              <w:rPr>
                <w:sz w:val="14"/>
                <w:szCs w:val="14"/>
              </w:rPr>
              <w:t>417.183</w:t>
            </w:r>
          </w:p>
        </w:tc>
        <w:tc>
          <w:tcPr>
            <w:tcW w:w="976" w:type="dxa"/>
            <w:tcBorders>
              <w:top w:val="nil"/>
              <w:left w:val="nil"/>
              <w:bottom w:val="single" w:sz="4" w:space="0" w:color="auto"/>
              <w:right w:val="single" w:sz="4" w:space="0" w:color="auto"/>
            </w:tcBorders>
            <w:shd w:val="clear" w:color="auto" w:fill="auto"/>
            <w:noWrap/>
            <w:vAlign w:val="bottom"/>
            <w:hideMark/>
          </w:tcPr>
          <w:p w14:paraId="74EAD1E8" w14:textId="77777777" w:rsidR="00F87E58" w:rsidRPr="002B636D" w:rsidRDefault="00F87E58" w:rsidP="00F87E58">
            <w:pPr>
              <w:pStyle w:val="cuatexto"/>
              <w:jc w:val="right"/>
              <w:rPr>
                <w:sz w:val="14"/>
                <w:szCs w:val="14"/>
              </w:rPr>
            </w:pPr>
            <w:r w:rsidRPr="002B636D">
              <w:rPr>
                <w:sz w:val="14"/>
                <w:szCs w:val="14"/>
              </w:rPr>
              <w:t>656.981</w:t>
            </w:r>
          </w:p>
        </w:tc>
        <w:tc>
          <w:tcPr>
            <w:tcW w:w="861" w:type="dxa"/>
            <w:tcBorders>
              <w:top w:val="nil"/>
              <w:left w:val="nil"/>
              <w:bottom w:val="single" w:sz="4" w:space="0" w:color="auto"/>
              <w:right w:val="single" w:sz="2" w:space="0" w:color="auto"/>
            </w:tcBorders>
            <w:shd w:val="clear" w:color="auto" w:fill="auto"/>
            <w:noWrap/>
            <w:vAlign w:val="bottom"/>
            <w:hideMark/>
          </w:tcPr>
          <w:p w14:paraId="6F83A139" w14:textId="77777777" w:rsidR="00F87E58" w:rsidRPr="002B636D" w:rsidRDefault="00F87E58" w:rsidP="00F87E58">
            <w:pPr>
              <w:pStyle w:val="cuatexto"/>
              <w:jc w:val="right"/>
              <w:rPr>
                <w:sz w:val="14"/>
                <w:szCs w:val="14"/>
              </w:rPr>
            </w:pPr>
            <w:r w:rsidRPr="002B636D">
              <w:rPr>
                <w:sz w:val="14"/>
                <w:szCs w:val="14"/>
              </w:rPr>
              <w:t>1.371.412</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7CCEFEF" w14:textId="77777777" w:rsidR="00F87E58" w:rsidRPr="002B636D" w:rsidRDefault="00F87E58" w:rsidP="00F87E58">
            <w:pPr>
              <w:pStyle w:val="cuatexto"/>
              <w:jc w:val="right"/>
              <w:rPr>
                <w:sz w:val="14"/>
                <w:szCs w:val="14"/>
              </w:rPr>
            </w:pPr>
            <w:r w:rsidRPr="002B636D">
              <w:rPr>
                <w:sz w:val="14"/>
                <w:szCs w:val="14"/>
              </w:rPr>
              <w:t>2.445.576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7C1D70C6"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107C4AAD"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0B49944F"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20CB5CCA" w14:textId="77777777" w:rsidR="00F87E58" w:rsidRPr="002B636D" w:rsidRDefault="00F87E58" w:rsidP="00F87E58">
            <w:pPr>
              <w:pStyle w:val="cuatexto"/>
              <w:jc w:val="right"/>
              <w:rPr>
                <w:b/>
                <w:bCs/>
                <w:sz w:val="14"/>
                <w:szCs w:val="14"/>
              </w:rPr>
            </w:pPr>
            <w:r w:rsidRPr="002B636D">
              <w:rPr>
                <w:b/>
                <w:bCs/>
                <w:sz w:val="14"/>
                <w:szCs w:val="14"/>
              </w:rPr>
              <w:t>2.445.576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34B36CCD" w14:textId="77777777" w:rsidR="00F87E58" w:rsidRPr="002B636D" w:rsidRDefault="00F87E58" w:rsidP="00F87E58">
            <w:pPr>
              <w:pStyle w:val="cuatexto"/>
              <w:jc w:val="right"/>
              <w:rPr>
                <w:b/>
                <w:bCs/>
                <w:sz w:val="14"/>
                <w:szCs w:val="14"/>
              </w:rPr>
            </w:pPr>
            <w:r w:rsidRPr="002B636D">
              <w:rPr>
                <w:b/>
                <w:bCs/>
                <w:sz w:val="14"/>
                <w:szCs w:val="14"/>
              </w:rPr>
              <w:t>63.890.151</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6261CFE2" w14:textId="77777777" w:rsidR="00F87E58" w:rsidRPr="002B636D" w:rsidRDefault="00F87E58" w:rsidP="00F87E58">
            <w:pPr>
              <w:pStyle w:val="cuatexto"/>
              <w:jc w:val="right"/>
              <w:rPr>
                <w:sz w:val="14"/>
                <w:szCs w:val="14"/>
              </w:rPr>
            </w:pPr>
            <w:r w:rsidRPr="002B636D">
              <w:rPr>
                <w:sz w:val="14"/>
                <w:szCs w:val="14"/>
              </w:rPr>
              <w:t>2.500.000</w:t>
            </w:r>
          </w:p>
        </w:tc>
        <w:tc>
          <w:tcPr>
            <w:tcW w:w="1255" w:type="dxa"/>
            <w:tcBorders>
              <w:top w:val="nil"/>
              <w:left w:val="nil"/>
              <w:bottom w:val="single" w:sz="4" w:space="0" w:color="auto"/>
              <w:right w:val="single" w:sz="4" w:space="0" w:color="auto"/>
            </w:tcBorders>
            <w:shd w:val="clear" w:color="auto" w:fill="auto"/>
            <w:noWrap/>
            <w:vAlign w:val="bottom"/>
          </w:tcPr>
          <w:p w14:paraId="5D710204" w14:textId="77777777" w:rsidR="00F87E58" w:rsidRPr="002B636D" w:rsidRDefault="00F87E58" w:rsidP="00F87E58">
            <w:pPr>
              <w:pStyle w:val="cuatexto"/>
              <w:jc w:val="right"/>
              <w:rPr>
                <w:sz w:val="14"/>
                <w:szCs w:val="14"/>
              </w:rPr>
            </w:pPr>
            <w:r w:rsidRPr="002B636D">
              <w:rPr>
                <w:sz w:val="14"/>
                <w:szCs w:val="14"/>
              </w:rPr>
              <w:t>44.075.000</w:t>
            </w:r>
          </w:p>
        </w:tc>
        <w:tc>
          <w:tcPr>
            <w:tcW w:w="1395" w:type="dxa"/>
            <w:tcBorders>
              <w:top w:val="nil"/>
              <w:left w:val="nil"/>
              <w:bottom w:val="single" w:sz="4" w:space="0" w:color="auto"/>
            </w:tcBorders>
            <w:shd w:val="clear" w:color="auto" w:fill="auto"/>
            <w:noWrap/>
            <w:vAlign w:val="bottom"/>
          </w:tcPr>
          <w:p w14:paraId="53674964" w14:textId="77777777" w:rsidR="00F87E58" w:rsidRPr="002B636D" w:rsidRDefault="00F87E58" w:rsidP="00F87E58">
            <w:pPr>
              <w:pStyle w:val="cuatexto"/>
              <w:jc w:val="right"/>
              <w:rPr>
                <w:sz w:val="14"/>
                <w:szCs w:val="14"/>
              </w:rPr>
            </w:pPr>
            <w:r w:rsidRPr="002B636D">
              <w:rPr>
                <w:sz w:val="14"/>
                <w:szCs w:val="14"/>
              </w:rPr>
              <w:t>19.815.151</w:t>
            </w:r>
          </w:p>
        </w:tc>
      </w:tr>
      <w:tr w:rsidR="00F87E58" w:rsidRPr="002B636D" w14:paraId="7EF6257E"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96198C2" w14:textId="77777777" w:rsidR="00F87E58" w:rsidRPr="002B636D" w:rsidRDefault="00F87E58" w:rsidP="00F87E58">
            <w:pPr>
              <w:pStyle w:val="cuatexto"/>
              <w:jc w:val="left"/>
              <w:rPr>
                <w:sz w:val="14"/>
                <w:szCs w:val="14"/>
              </w:rPr>
            </w:pPr>
            <w:r w:rsidRPr="002B636D">
              <w:rPr>
                <w:sz w:val="14"/>
                <w:szCs w:val="14"/>
              </w:rPr>
              <w:t>2018</w:t>
            </w:r>
          </w:p>
        </w:tc>
        <w:tc>
          <w:tcPr>
            <w:tcW w:w="837" w:type="dxa"/>
            <w:tcBorders>
              <w:top w:val="nil"/>
              <w:left w:val="nil"/>
              <w:bottom w:val="single" w:sz="4" w:space="0" w:color="auto"/>
              <w:right w:val="single" w:sz="4" w:space="0" w:color="auto"/>
            </w:tcBorders>
            <w:shd w:val="clear" w:color="auto" w:fill="auto"/>
            <w:noWrap/>
            <w:vAlign w:val="bottom"/>
            <w:hideMark/>
          </w:tcPr>
          <w:p w14:paraId="402E321A" w14:textId="77777777" w:rsidR="00F87E58" w:rsidRPr="002B636D" w:rsidRDefault="00F87E58" w:rsidP="00F87E58">
            <w:pPr>
              <w:pStyle w:val="cuatexto"/>
              <w:jc w:val="right"/>
              <w:rPr>
                <w:sz w:val="14"/>
                <w:szCs w:val="14"/>
              </w:rPr>
            </w:pPr>
            <w:r w:rsidRPr="002B636D">
              <w:rPr>
                <w:sz w:val="14"/>
                <w:szCs w:val="14"/>
              </w:rPr>
              <w:t>416.596</w:t>
            </w:r>
          </w:p>
        </w:tc>
        <w:tc>
          <w:tcPr>
            <w:tcW w:w="976" w:type="dxa"/>
            <w:tcBorders>
              <w:top w:val="nil"/>
              <w:left w:val="nil"/>
              <w:bottom w:val="single" w:sz="4" w:space="0" w:color="auto"/>
              <w:right w:val="single" w:sz="4" w:space="0" w:color="auto"/>
            </w:tcBorders>
            <w:shd w:val="clear" w:color="auto" w:fill="auto"/>
            <w:noWrap/>
            <w:vAlign w:val="bottom"/>
            <w:hideMark/>
          </w:tcPr>
          <w:p w14:paraId="4744F14D" w14:textId="77777777" w:rsidR="00F87E58" w:rsidRPr="002B636D" w:rsidRDefault="00F87E58" w:rsidP="00F87E58">
            <w:pPr>
              <w:pStyle w:val="cuatexto"/>
              <w:jc w:val="right"/>
              <w:rPr>
                <w:sz w:val="14"/>
                <w:szCs w:val="14"/>
              </w:rPr>
            </w:pPr>
            <w:r w:rsidRPr="002B636D">
              <w:rPr>
                <w:sz w:val="14"/>
                <w:szCs w:val="14"/>
              </w:rPr>
              <w:t>891.084</w:t>
            </w:r>
          </w:p>
        </w:tc>
        <w:tc>
          <w:tcPr>
            <w:tcW w:w="861" w:type="dxa"/>
            <w:tcBorders>
              <w:top w:val="nil"/>
              <w:left w:val="nil"/>
              <w:bottom w:val="single" w:sz="4" w:space="0" w:color="auto"/>
              <w:right w:val="single" w:sz="2" w:space="0" w:color="auto"/>
            </w:tcBorders>
            <w:shd w:val="clear" w:color="auto" w:fill="auto"/>
            <w:noWrap/>
            <w:vAlign w:val="bottom"/>
            <w:hideMark/>
          </w:tcPr>
          <w:p w14:paraId="3AE9F95B" w14:textId="77777777" w:rsidR="00F87E58" w:rsidRPr="002B636D" w:rsidRDefault="00F87E58" w:rsidP="00F87E58">
            <w:pPr>
              <w:pStyle w:val="cuatexto"/>
              <w:jc w:val="right"/>
              <w:rPr>
                <w:sz w:val="14"/>
                <w:szCs w:val="14"/>
              </w:rPr>
            </w:pPr>
            <w:r w:rsidRPr="002B636D">
              <w:rPr>
                <w:sz w:val="14"/>
                <w:szCs w:val="14"/>
              </w:rPr>
              <w:t>689.102</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D0FDE7E" w14:textId="77777777" w:rsidR="00F87E58" w:rsidRPr="002B636D" w:rsidRDefault="00F87E58" w:rsidP="00F87E58">
            <w:pPr>
              <w:pStyle w:val="cuatexto"/>
              <w:jc w:val="right"/>
              <w:rPr>
                <w:sz w:val="14"/>
                <w:szCs w:val="14"/>
              </w:rPr>
            </w:pPr>
            <w:r w:rsidRPr="002B636D">
              <w:rPr>
                <w:sz w:val="14"/>
                <w:szCs w:val="14"/>
              </w:rPr>
              <w:t>1.996.782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24D757B9"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744D26C6"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4ED58093"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6FB270F9" w14:textId="77777777" w:rsidR="00F87E58" w:rsidRPr="002B636D" w:rsidRDefault="00F87E58" w:rsidP="00F87E58">
            <w:pPr>
              <w:pStyle w:val="cuatexto"/>
              <w:jc w:val="right"/>
              <w:rPr>
                <w:b/>
                <w:bCs/>
                <w:sz w:val="14"/>
                <w:szCs w:val="14"/>
              </w:rPr>
            </w:pPr>
            <w:r w:rsidRPr="002B636D">
              <w:rPr>
                <w:b/>
                <w:bCs/>
                <w:sz w:val="14"/>
                <w:szCs w:val="14"/>
              </w:rPr>
              <w:t>1.996.782</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2BA4FE0A" w14:textId="77777777" w:rsidR="00F87E58" w:rsidRPr="002B636D" w:rsidRDefault="00F87E58" w:rsidP="00F87E58">
            <w:pPr>
              <w:pStyle w:val="cuatexto"/>
              <w:jc w:val="right"/>
              <w:rPr>
                <w:b/>
                <w:bCs/>
                <w:sz w:val="14"/>
                <w:szCs w:val="14"/>
              </w:rPr>
            </w:pPr>
            <w:r w:rsidRPr="002B636D">
              <w:rPr>
                <w:b/>
                <w:bCs/>
                <w:sz w:val="14"/>
                <w:szCs w:val="14"/>
              </w:rPr>
              <w:t>65.886.933</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73B28997" w14:textId="77777777" w:rsidR="00F87E58" w:rsidRPr="002B636D" w:rsidRDefault="00F87E58" w:rsidP="00F87E58">
            <w:pPr>
              <w:pStyle w:val="cuatexto"/>
              <w:jc w:val="right"/>
              <w:rPr>
                <w:sz w:val="14"/>
                <w:szCs w:val="14"/>
              </w:rPr>
            </w:pPr>
            <w:r w:rsidRPr="002B636D">
              <w:rPr>
                <w:sz w:val="14"/>
                <w:szCs w:val="14"/>
              </w:rPr>
              <w:t>2.450.000</w:t>
            </w:r>
          </w:p>
        </w:tc>
        <w:tc>
          <w:tcPr>
            <w:tcW w:w="1255" w:type="dxa"/>
            <w:tcBorders>
              <w:top w:val="nil"/>
              <w:left w:val="nil"/>
              <w:bottom w:val="single" w:sz="4" w:space="0" w:color="auto"/>
              <w:right w:val="single" w:sz="4" w:space="0" w:color="auto"/>
            </w:tcBorders>
            <w:shd w:val="clear" w:color="auto" w:fill="auto"/>
            <w:noWrap/>
            <w:vAlign w:val="bottom"/>
          </w:tcPr>
          <w:p w14:paraId="23555C65" w14:textId="77777777" w:rsidR="00F87E58" w:rsidRPr="002B636D" w:rsidRDefault="00F87E58" w:rsidP="00F87E58">
            <w:pPr>
              <w:pStyle w:val="cuatexto"/>
              <w:jc w:val="right"/>
              <w:rPr>
                <w:sz w:val="14"/>
                <w:szCs w:val="14"/>
              </w:rPr>
            </w:pPr>
            <w:r w:rsidRPr="002B636D">
              <w:rPr>
                <w:sz w:val="14"/>
                <w:szCs w:val="14"/>
              </w:rPr>
              <w:t>46.525.000</w:t>
            </w:r>
          </w:p>
        </w:tc>
        <w:tc>
          <w:tcPr>
            <w:tcW w:w="1395" w:type="dxa"/>
            <w:tcBorders>
              <w:top w:val="nil"/>
              <w:left w:val="nil"/>
              <w:bottom w:val="single" w:sz="4" w:space="0" w:color="auto"/>
            </w:tcBorders>
            <w:shd w:val="clear" w:color="auto" w:fill="auto"/>
            <w:noWrap/>
            <w:vAlign w:val="bottom"/>
          </w:tcPr>
          <w:p w14:paraId="1CC64FF5" w14:textId="77777777" w:rsidR="00F87E58" w:rsidRPr="002B636D" w:rsidRDefault="00F87E58" w:rsidP="00F87E58">
            <w:pPr>
              <w:pStyle w:val="cuatexto"/>
              <w:jc w:val="right"/>
              <w:rPr>
                <w:sz w:val="14"/>
                <w:szCs w:val="14"/>
              </w:rPr>
            </w:pPr>
            <w:r w:rsidRPr="002B636D">
              <w:rPr>
                <w:sz w:val="14"/>
                <w:szCs w:val="14"/>
              </w:rPr>
              <w:t>19.361.933</w:t>
            </w:r>
          </w:p>
        </w:tc>
      </w:tr>
      <w:tr w:rsidR="00F87E58" w:rsidRPr="002B636D" w14:paraId="442A72C9"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44095B85" w14:textId="77777777" w:rsidR="00F87E58" w:rsidRPr="002B636D" w:rsidRDefault="00F87E58" w:rsidP="00F87E58">
            <w:pPr>
              <w:pStyle w:val="cuatexto"/>
              <w:jc w:val="left"/>
              <w:rPr>
                <w:sz w:val="14"/>
                <w:szCs w:val="14"/>
              </w:rPr>
            </w:pPr>
            <w:r w:rsidRPr="002B636D">
              <w:rPr>
                <w:sz w:val="14"/>
                <w:szCs w:val="14"/>
              </w:rPr>
              <w:t>2019</w:t>
            </w:r>
          </w:p>
        </w:tc>
        <w:tc>
          <w:tcPr>
            <w:tcW w:w="837" w:type="dxa"/>
            <w:tcBorders>
              <w:top w:val="nil"/>
              <w:left w:val="nil"/>
              <w:bottom w:val="single" w:sz="4" w:space="0" w:color="auto"/>
              <w:right w:val="single" w:sz="4" w:space="0" w:color="auto"/>
            </w:tcBorders>
            <w:shd w:val="clear" w:color="auto" w:fill="auto"/>
            <w:noWrap/>
            <w:vAlign w:val="bottom"/>
            <w:hideMark/>
          </w:tcPr>
          <w:p w14:paraId="3608C3D3" w14:textId="77777777" w:rsidR="00F87E58" w:rsidRPr="002B636D" w:rsidRDefault="00F87E58" w:rsidP="00F87E58">
            <w:pPr>
              <w:pStyle w:val="cuatexto"/>
              <w:jc w:val="right"/>
              <w:rPr>
                <w:sz w:val="14"/>
                <w:szCs w:val="14"/>
              </w:rPr>
            </w:pPr>
            <w:r w:rsidRPr="002B636D">
              <w:rPr>
                <w:sz w:val="14"/>
                <w:szCs w:val="14"/>
              </w:rPr>
              <w:t>680.565</w:t>
            </w:r>
          </w:p>
        </w:tc>
        <w:tc>
          <w:tcPr>
            <w:tcW w:w="976" w:type="dxa"/>
            <w:tcBorders>
              <w:top w:val="nil"/>
              <w:left w:val="nil"/>
              <w:bottom w:val="single" w:sz="4" w:space="0" w:color="auto"/>
              <w:right w:val="single" w:sz="4" w:space="0" w:color="auto"/>
            </w:tcBorders>
            <w:shd w:val="clear" w:color="auto" w:fill="auto"/>
            <w:noWrap/>
            <w:vAlign w:val="center"/>
            <w:hideMark/>
          </w:tcPr>
          <w:p w14:paraId="094D4C93" w14:textId="77777777" w:rsidR="00F87E58" w:rsidRPr="002B636D" w:rsidRDefault="00F87E58" w:rsidP="00F87E58">
            <w:pPr>
              <w:pStyle w:val="cuatexto"/>
              <w:jc w:val="right"/>
              <w:rPr>
                <w:sz w:val="14"/>
                <w:szCs w:val="14"/>
              </w:rPr>
            </w:pPr>
            <w:r w:rsidRPr="002B636D">
              <w:rPr>
                <w:sz w:val="14"/>
                <w:szCs w:val="14"/>
              </w:rPr>
              <w:t> </w:t>
            </w:r>
          </w:p>
        </w:tc>
        <w:tc>
          <w:tcPr>
            <w:tcW w:w="861" w:type="dxa"/>
            <w:tcBorders>
              <w:top w:val="nil"/>
              <w:left w:val="nil"/>
              <w:bottom w:val="single" w:sz="4" w:space="0" w:color="auto"/>
              <w:right w:val="single" w:sz="2" w:space="0" w:color="auto"/>
            </w:tcBorders>
            <w:shd w:val="clear" w:color="auto" w:fill="auto"/>
            <w:noWrap/>
            <w:vAlign w:val="bottom"/>
            <w:hideMark/>
          </w:tcPr>
          <w:p w14:paraId="757F4B7C" w14:textId="77777777" w:rsidR="00F87E58" w:rsidRPr="002B636D" w:rsidRDefault="00F87E58" w:rsidP="00F87E58">
            <w:pPr>
              <w:pStyle w:val="cuatexto"/>
              <w:jc w:val="right"/>
              <w:rPr>
                <w:sz w:val="14"/>
                <w:szCs w:val="14"/>
              </w:rPr>
            </w:pPr>
            <w:r w:rsidRPr="002B636D">
              <w:rPr>
                <w:sz w:val="14"/>
                <w:szCs w:val="14"/>
              </w:rPr>
              <w:t>1.319.435</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F7FDB12" w14:textId="77777777" w:rsidR="00F87E58" w:rsidRPr="002B636D" w:rsidRDefault="00F87E58" w:rsidP="00F87E58">
            <w:pPr>
              <w:pStyle w:val="cuatexto"/>
              <w:jc w:val="right"/>
              <w:rPr>
                <w:sz w:val="14"/>
                <w:szCs w:val="14"/>
              </w:rPr>
            </w:pPr>
            <w:r w:rsidRPr="002B636D">
              <w:rPr>
                <w:sz w:val="14"/>
                <w:szCs w:val="14"/>
              </w:rPr>
              <w:t>2.000.000</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5704014D"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nil"/>
              <w:left w:val="single" w:sz="2" w:space="0" w:color="auto"/>
              <w:bottom w:val="single" w:sz="4" w:space="0" w:color="auto"/>
              <w:right w:val="single" w:sz="2" w:space="0" w:color="auto"/>
            </w:tcBorders>
            <w:shd w:val="clear" w:color="auto" w:fill="auto"/>
            <w:noWrap/>
            <w:vAlign w:val="center"/>
            <w:hideMark/>
          </w:tcPr>
          <w:p w14:paraId="4FB2D6EA"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1AEBB716"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5FDB85EE" w14:textId="77777777" w:rsidR="00F87E58" w:rsidRPr="002B636D" w:rsidRDefault="00F87E58" w:rsidP="00F87E58">
            <w:pPr>
              <w:pStyle w:val="cuatexto"/>
              <w:jc w:val="right"/>
              <w:rPr>
                <w:b/>
                <w:bCs/>
                <w:sz w:val="14"/>
                <w:szCs w:val="14"/>
              </w:rPr>
            </w:pPr>
            <w:r w:rsidRPr="002B636D">
              <w:rPr>
                <w:b/>
                <w:bCs/>
                <w:sz w:val="14"/>
                <w:szCs w:val="14"/>
              </w:rPr>
              <w:t>2.000.000</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03ADEB7C" w14:textId="77777777" w:rsidR="00F87E58" w:rsidRPr="002B636D" w:rsidRDefault="00F87E58" w:rsidP="00F87E58">
            <w:pPr>
              <w:pStyle w:val="cuatexto"/>
              <w:jc w:val="right"/>
              <w:rPr>
                <w:b/>
                <w:bCs/>
                <w:sz w:val="14"/>
                <w:szCs w:val="14"/>
              </w:rPr>
            </w:pPr>
            <w:r w:rsidRPr="002B636D">
              <w:rPr>
                <w:b/>
                <w:bCs/>
                <w:sz w:val="14"/>
                <w:szCs w:val="14"/>
              </w:rPr>
              <w:t>67.886.933</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422F965D" w14:textId="77777777" w:rsidR="00F87E58" w:rsidRPr="002B636D" w:rsidRDefault="00F87E58" w:rsidP="00F87E58">
            <w:pPr>
              <w:pStyle w:val="cuatexto"/>
              <w:jc w:val="right"/>
              <w:rPr>
                <w:sz w:val="14"/>
                <w:szCs w:val="14"/>
              </w:rPr>
            </w:pPr>
            <w:r w:rsidRPr="002B636D">
              <w:rPr>
                <w:sz w:val="14"/>
                <w:szCs w:val="14"/>
              </w:rPr>
              <w:t>2.700.000</w:t>
            </w:r>
          </w:p>
        </w:tc>
        <w:tc>
          <w:tcPr>
            <w:tcW w:w="1255" w:type="dxa"/>
            <w:tcBorders>
              <w:top w:val="nil"/>
              <w:left w:val="nil"/>
              <w:bottom w:val="single" w:sz="4" w:space="0" w:color="auto"/>
              <w:right w:val="single" w:sz="4" w:space="0" w:color="auto"/>
            </w:tcBorders>
            <w:shd w:val="clear" w:color="auto" w:fill="auto"/>
            <w:noWrap/>
            <w:vAlign w:val="bottom"/>
          </w:tcPr>
          <w:p w14:paraId="36A84EF8" w14:textId="77777777" w:rsidR="00F87E58" w:rsidRPr="002B636D" w:rsidRDefault="00F87E58" w:rsidP="00F87E58">
            <w:pPr>
              <w:pStyle w:val="cuatexto"/>
              <w:jc w:val="right"/>
              <w:rPr>
                <w:sz w:val="14"/>
                <w:szCs w:val="14"/>
              </w:rPr>
            </w:pPr>
            <w:r w:rsidRPr="002B636D">
              <w:rPr>
                <w:sz w:val="14"/>
                <w:szCs w:val="14"/>
              </w:rPr>
              <w:t>49.225.000</w:t>
            </w:r>
          </w:p>
        </w:tc>
        <w:tc>
          <w:tcPr>
            <w:tcW w:w="1395" w:type="dxa"/>
            <w:tcBorders>
              <w:top w:val="nil"/>
              <w:left w:val="nil"/>
              <w:bottom w:val="single" w:sz="4" w:space="0" w:color="auto"/>
            </w:tcBorders>
            <w:shd w:val="clear" w:color="auto" w:fill="auto"/>
            <w:noWrap/>
            <w:vAlign w:val="bottom"/>
          </w:tcPr>
          <w:p w14:paraId="71EA4A1F" w14:textId="77777777" w:rsidR="00F87E58" w:rsidRPr="002B636D" w:rsidRDefault="00F87E58" w:rsidP="00F87E58">
            <w:pPr>
              <w:pStyle w:val="cuatexto"/>
              <w:jc w:val="right"/>
              <w:rPr>
                <w:sz w:val="14"/>
                <w:szCs w:val="14"/>
              </w:rPr>
            </w:pPr>
            <w:r w:rsidRPr="002B636D">
              <w:rPr>
                <w:sz w:val="14"/>
                <w:szCs w:val="14"/>
              </w:rPr>
              <w:t>18.661.933</w:t>
            </w:r>
          </w:p>
        </w:tc>
      </w:tr>
      <w:tr w:rsidR="00F87E58" w:rsidRPr="002B636D" w14:paraId="3F4B1F62"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2B8255AC" w14:textId="77777777" w:rsidR="00F87E58" w:rsidRPr="006F7796" w:rsidRDefault="00F87E58" w:rsidP="00F87E58">
            <w:pPr>
              <w:pStyle w:val="cuatexto"/>
              <w:jc w:val="left"/>
              <w:rPr>
                <w:sz w:val="14"/>
                <w:szCs w:val="14"/>
              </w:rPr>
            </w:pPr>
            <w:r w:rsidRPr="006F7796">
              <w:rPr>
                <w:sz w:val="14"/>
                <w:szCs w:val="14"/>
              </w:rPr>
              <w:t>2020</w:t>
            </w:r>
          </w:p>
        </w:tc>
        <w:tc>
          <w:tcPr>
            <w:tcW w:w="837" w:type="dxa"/>
            <w:tcBorders>
              <w:top w:val="nil"/>
              <w:left w:val="nil"/>
              <w:bottom w:val="single" w:sz="4" w:space="0" w:color="auto"/>
              <w:right w:val="single" w:sz="4" w:space="0" w:color="auto"/>
            </w:tcBorders>
            <w:shd w:val="clear" w:color="auto" w:fill="auto"/>
            <w:noWrap/>
            <w:vAlign w:val="bottom"/>
            <w:hideMark/>
          </w:tcPr>
          <w:p w14:paraId="421D7A5B" w14:textId="77777777" w:rsidR="00F87E58" w:rsidRPr="006F7796" w:rsidRDefault="00F87E58" w:rsidP="00F87E58">
            <w:pPr>
              <w:pStyle w:val="cuatexto"/>
              <w:jc w:val="right"/>
              <w:rPr>
                <w:sz w:val="14"/>
                <w:szCs w:val="14"/>
              </w:rPr>
            </w:pPr>
            <w:r w:rsidRPr="006F7796">
              <w:rPr>
                <w:sz w:val="14"/>
                <w:szCs w:val="14"/>
              </w:rPr>
              <w:t>270.745</w:t>
            </w:r>
          </w:p>
        </w:tc>
        <w:tc>
          <w:tcPr>
            <w:tcW w:w="976" w:type="dxa"/>
            <w:tcBorders>
              <w:top w:val="nil"/>
              <w:left w:val="nil"/>
              <w:bottom w:val="single" w:sz="4" w:space="0" w:color="auto"/>
              <w:right w:val="single" w:sz="4" w:space="0" w:color="auto"/>
            </w:tcBorders>
            <w:shd w:val="clear" w:color="auto" w:fill="auto"/>
            <w:noWrap/>
            <w:vAlign w:val="center"/>
            <w:hideMark/>
          </w:tcPr>
          <w:p w14:paraId="7FEBCAD9" w14:textId="77777777" w:rsidR="00F87E58" w:rsidRPr="006F7796" w:rsidRDefault="00F87E58" w:rsidP="00F87E58">
            <w:pPr>
              <w:pStyle w:val="cuatexto"/>
              <w:jc w:val="right"/>
              <w:rPr>
                <w:sz w:val="14"/>
                <w:szCs w:val="14"/>
              </w:rPr>
            </w:pPr>
            <w:r w:rsidRPr="006F7796">
              <w:rPr>
                <w:sz w:val="14"/>
                <w:szCs w:val="14"/>
              </w:rPr>
              <w:t> </w:t>
            </w:r>
          </w:p>
        </w:tc>
        <w:tc>
          <w:tcPr>
            <w:tcW w:w="861" w:type="dxa"/>
            <w:tcBorders>
              <w:top w:val="nil"/>
              <w:left w:val="nil"/>
              <w:bottom w:val="single" w:sz="4" w:space="0" w:color="auto"/>
              <w:right w:val="single" w:sz="2" w:space="0" w:color="auto"/>
            </w:tcBorders>
            <w:shd w:val="clear" w:color="auto" w:fill="auto"/>
            <w:noWrap/>
            <w:vAlign w:val="bottom"/>
            <w:hideMark/>
          </w:tcPr>
          <w:p w14:paraId="13D1E637" w14:textId="77777777" w:rsidR="00F87E58" w:rsidRPr="006F7796" w:rsidRDefault="00F87E58" w:rsidP="00F87E58">
            <w:pPr>
              <w:pStyle w:val="cuatexto"/>
              <w:jc w:val="right"/>
              <w:rPr>
                <w:sz w:val="14"/>
                <w:szCs w:val="14"/>
              </w:rPr>
            </w:pPr>
            <w:r w:rsidRPr="006F7796">
              <w:rPr>
                <w:sz w:val="14"/>
                <w:szCs w:val="14"/>
              </w:rPr>
              <w:t>2.522.863</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679775C" w14:textId="77777777" w:rsidR="00F87E58" w:rsidRPr="006F7796" w:rsidRDefault="00F87E58" w:rsidP="00F87E58">
            <w:pPr>
              <w:pStyle w:val="cuatexto"/>
              <w:jc w:val="right"/>
              <w:rPr>
                <w:sz w:val="14"/>
                <w:szCs w:val="14"/>
              </w:rPr>
            </w:pPr>
            <w:r w:rsidRPr="006F7796">
              <w:rPr>
                <w:sz w:val="14"/>
                <w:szCs w:val="14"/>
              </w:rPr>
              <w:t>2.793.608</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CE50B25" w14:textId="77777777" w:rsidR="00F87E58" w:rsidRPr="006F7796" w:rsidRDefault="00F87E58" w:rsidP="00F87E58">
            <w:pPr>
              <w:pStyle w:val="cuatexto"/>
              <w:jc w:val="right"/>
              <w:rPr>
                <w:sz w:val="14"/>
                <w:szCs w:val="14"/>
              </w:rPr>
            </w:pPr>
            <w:r w:rsidRPr="006F7796">
              <w:rPr>
                <w:sz w:val="14"/>
                <w:szCs w:val="14"/>
              </w:rPr>
              <w:t>911.941</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69E954B1" w14:textId="77777777" w:rsidR="00F87E58" w:rsidRPr="006F7796" w:rsidRDefault="00F87E58" w:rsidP="00F87E58">
            <w:pPr>
              <w:pStyle w:val="cuatexto"/>
              <w:jc w:val="right"/>
              <w:rPr>
                <w:sz w:val="14"/>
                <w:szCs w:val="14"/>
              </w:rPr>
            </w:pPr>
            <w:r w:rsidRPr="006F7796">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7630ABB" w14:textId="77777777" w:rsidR="00F87E58" w:rsidRPr="006F7796" w:rsidRDefault="00F87E58" w:rsidP="00F87E58">
            <w:pPr>
              <w:pStyle w:val="cuatexto"/>
              <w:jc w:val="right"/>
              <w:rPr>
                <w:sz w:val="14"/>
                <w:szCs w:val="14"/>
              </w:rPr>
            </w:pPr>
            <w:r w:rsidRPr="006F7796">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6D9F6825" w14:textId="77777777" w:rsidR="00F87E58" w:rsidRPr="006F7796" w:rsidRDefault="00F87E58" w:rsidP="00F87E58">
            <w:pPr>
              <w:pStyle w:val="cuatexto"/>
              <w:jc w:val="right"/>
              <w:rPr>
                <w:b/>
                <w:bCs/>
                <w:sz w:val="14"/>
                <w:szCs w:val="14"/>
              </w:rPr>
            </w:pPr>
            <w:r w:rsidRPr="006F7796">
              <w:rPr>
                <w:b/>
                <w:bCs/>
                <w:sz w:val="14"/>
                <w:szCs w:val="14"/>
              </w:rPr>
              <w:t>3.705.549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176B46D5" w14:textId="77777777" w:rsidR="00F87E58" w:rsidRPr="006F7796" w:rsidRDefault="00F87E58" w:rsidP="00F87E58">
            <w:pPr>
              <w:pStyle w:val="cuatexto"/>
              <w:jc w:val="right"/>
              <w:rPr>
                <w:b/>
                <w:bCs/>
                <w:sz w:val="14"/>
                <w:szCs w:val="14"/>
              </w:rPr>
            </w:pPr>
            <w:r w:rsidRPr="006F7796">
              <w:rPr>
                <w:b/>
                <w:bCs/>
                <w:sz w:val="14"/>
                <w:szCs w:val="14"/>
              </w:rPr>
              <w:t>71.592.482</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98928BB" w14:textId="77777777" w:rsidR="00F87E58" w:rsidRPr="006F7796" w:rsidRDefault="00F87E58" w:rsidP="00F87E58">
            <w:pPr>
              <w:pStyle w:val="cuatexto"/>
              <w:jc w:val="right"/>
              <w:rPr>
                <w:sz w:val="14"/>
                <w:szCs w:val="14"/>
              </w:rPr>
            </w:pPr>
            <w:r w:rsidRPr="006F7796">
              <w:rPr>
                <w:sz w:val="14"/>
                <w:szCs w:val="14"/>
              </w:rPr>
              <w:t>3.350.000</w:t>
            </w:r>
          </w:p>
        </w:tc>
        <w:tc>
          <w:tcPr>
            <w:tcW w:w="1255" w:type="dxa"/>
            <w:tcBorders>
              <w:top w:val="nil"/>
              <w:left w:val="nil"/>
              <w:bottom w:val="single" w:sz="4" w:space="0" w:color="auto"/>
              <w:right w:val="single" w:sz="4" w:space="0" w:color="auto"/>
            </w:tcBorders>
            <w:shd w:val="clear" w:color="auto" w:fill="auto"/>
            <w:noWrap/>
            <w:vAlign w:val="bottom"/>
          </w:tcPr>
          <w:p w14:paraId="6DEC4F1E" w14:textId="77777777" w:rsidR="00F87E58" w:rsidRPr="006F7796" w:rsidRDefault="00F87E58" w:rsidP="00F87E58">
            <w:pPr>
              <w:pStyle w:val="cuatexto"/>
              <w:jc w:val="right"/>
              <w:rPr>
                <w:sz w:val="14"/>
                <w:szCs w:val="14"/>
              </w:rPr>
            </w:pPr>
            <w:r w:rsidRPr="006F7796">
              <w:rPr>
                <w:sz w:val="14"/>
                <w:szCs w:val="14"/>
              </w:rPr>
              <w:t>52.575.000</w:t>
            </w:r>
          </w:p>
        </w:tc>
        <w:tc>
          <w:tcPr>
            <w:tcW w:w="1395" w:type="dxa"/>
            <w:tcBorders>
              <w:top w:val="nil"/>
              <w:left w:val="nil"/>
              <w:bottom w:val="single" w:sz="4" w:space="0" w:color="auto"/>
            </w:tcBorders>
            <w:shd w:val="clear" w:color="auto" w:fill="auto"/>
            <w:noWrap/>
            <w:vAlign w:val="bottom"/>
          </w:tcPr>
          <w:p w14:paraId="1DA43327" w14:textId="77777777" w:rsidR="00F87E58" w:rsidRPr="002B636D" w:rsidRDefault="00F87E58" w:rsidP="00F87E58">
            <w:pPr>
              <w:pStyle w:val="cuatexto"/>
              <w:jc w:val="right"/>
              <w:rPr>
                <w:sz w:val="14"/>
                <w:szCs w:val="14"/>
              </w:rPr>
            </w:pPr>
            <w:r w:rsidRPr="006F7796">
              <w:rPr>
                <w:sz w:val="14"/>
                <w:szCs w:val="14"/>
              </w:rPr>
              <w:t>19.017.482</w:t>
            </w:r>
          </w:p>
        </w:tc>
      </w:tr>
      <w:tr w:rsidR="00F87E58" w:rsidRPr="002B636D" w14:paraId="39840226"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3FFFBFA1" w14:textId="77777777" w:rsidR="00F87E58" w:rsidRPr="002B636D" w:rsidRDefault="00F87E58" w:rsidP="00F87E58">
            <w:pPr>
              <w:pStyle w:val="cuatexto"/>
              <w:jc w:val="left"/>
              <w:rPr>
                <w:sz w:val="14"/>
                <w:szCs w:val="14"/>
              </w:rPr>
            </w:pPr>
            <w:r w:rsidRPr="002B636D">
              <w:rPr>
                <w:sz w:val="14"/>
                <w:szCs w:val="14"/>
              </w:rPr>
              <w:t>2021</w:t>
            </w:r>
          </w:p>
        </w:tc>
        <w:tc>
          <w:tcPr>
            <w:tcW w:w="837" w:type="dxa"/>
            <w:tcBorders>
              <w:top w:val="nil"/>
              <w:left w:val="nil"/>
              <w:bottom w:val="single" w:sz="4" w:space="0" w:color="auto"/>
              <w:right w:val="single" w:sz="4" w:space="0" w:color="auto"/>
            </w:tcBorders>
            <w:shd w:val="clear" w:color="auto" w:fill="auto"/>
            <w:noWrap/>
            <w:vAlign w:val="bottom"/>
            <w:hideMark/>
          </w:tcPr>
          <w:p w14:paraId="516752D6" w14:textId="77777777" w:rsidR="00F87E58" w:rsidRPr="002B636D" w:rsidRDefault="00F87E58" w:rsidP="00F87E58">
            <w:pPr>
              <w:pStyle w:val="cuatexto"/>
              <w:jc w:val="right"/>
              <w:rPr>
                <w:sz w:val="14"/>
                <w:szCs w:val="14"/>
              </w:rPr>
            </w:pPr>
            <w:r w:rsidRPr="002B636D">
              <w:rPr>
                <w:sz w:val="14"/>
                <w:szCs w:val="14"/>
              </w:rPr>
              <w:t>429.286</w:t>
            </w:r>
          </w:p>
        </w:tc>
        <w:tc>
          <w:tcPr>
            <w:tcW w:w="976" w:type="dxa"/>
            <w:tcBorders>
              <w:top w:val="nil"/>
              <w:left w:val="nil"/>
              <w:bottom w:val="single" w:sz="4" w:space="0" w:color="auto"/>
              <w:right w:val="single" w:sz="4" w:space="0" w:color="auto"/>
            </w:tcBorders>
            <w:shd w:val="clear" w:color="auto" w:fill="auto"/>
            <w:noWrap/>
            <w:vAlign w:val="center"/>
            <w:hideMark/>
          </w:tcPr>
          <w:p w14:paraId="03E1C34C" w14:textId="77777777" w:rsidR="00F87E58" w:rsidRPr="002B636D" w:rsidRDefault="00F87E58" w:rsidP="00F87E58">
            <w:pPr>
              <w:pStyle w:val="cuatexto"/>
              <w:jc w:val="right"/>
              <w:rPr>
                <w:sz w:val="14"/>
                <w:szCs w:val="14"/>
              </w:rPr>
            </w:pPr>
            <w:r w:rsidRPr="002B636D">
              <w:rPr>
                <w:sz w:val="14"/>
                <w:szCs w:val="14"/>
              </w:rPr>
              <w:t> </w:t>
            </w:r>
          </w:p>
        </w:tc>
        <w:tc>
          <w:tcPr>
            <w:tcW w:w="861" w:type="dxa"/>
            <w:tcBorders>
              <w:top w:val="nil"/>
              <w:left w:val="nil"/>
              <w:bottom w:val="single" w:sz="4" w:space="0" w:color="auto"/>
              <w:right w:val="single" w:sz="2" w:space="0" w:color="auto"/>
            </w:tcBorders>
            <w:shd w:val="clear" w:color="auto" w:fill="auto"/>
            <w:noWrap/>
            <w:vAlign w:val="bottom"/>
            <w:hideMark/>
          </w:tcPr>
          <w:p w14:paraId="070DEF23" w14:textId="77777777" w:rsidR="00F87E58" w:rsidRPr="002B636D" w:rsidRDefault="00F87E58" w:rsidP="00F87E58">
            <w:pPr>
              <w:pStyle w:val="cuatexto"/>
              <w:jc w:val="right"/>
              <w:rPr>
                <w:sz w:val="14"/>
                <w:szCs w:val="14"/>
              </w:rPr>
            </w:pPr>
            <w:r w:rsidRPr="002B636D">
              <w:rPr>
                <w:sz w:val="14"/>
                <w:szCs w:val="14"/>
              </w:rPr>
              <w:t>1.394.641</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C9BD1DB" w14:textId="77777777" w:rsidR="00F87E58" w:rsidRPr="002B636D" w:rsidRDefault="00F87E58" w:rsidP="00F87E58">
            <w:pPr>
              <w:pStyle w:val="cuatexto"/>
              <w:jc w:val="right"/>
              <w:rPr>
                <w:sz w:val="14"/>
                <w:szCs w:val="14"/>
              </w:rPr>
            </w:pPr>
            <w:r w:rsidRPr="002B636D">
              <w:rPr>
                <w:sz w:val="14"/>
                <w:szCs w:val="14"/>
              </w:rPr>
              <w:t>1.823.927</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0CE849E" w14:textId="77777777" w:rsidR="00F87E58" w:rsidRPr="002B636D" w:rsidRDefault="00F87E58" w:rsidP="00F87E58">
            <w:pPr>
              <w:pStyle w:val="cuatexto"/>
              <w:jc w:val="right"/>
              <w:rPr>
                <w:sz w:val="14"/>
                <w:szCs w:val="14"/>
              </w:rPr>
            </w:pPr>
            <w:r w:rsidRPr="002B636D">
              <w:rPr>
                <w:sz w:val="14"/>
                <w:szCs w:val="14"/>
              </w:rPr>
              <w:t>1.449.679</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4DC274DE"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80A4FD3" w14:textId="77777777" w:rsidR="00F87E58" w:rsidRPr="002B636D" w:rsidRDefault="00F87E58" w:rsidP="00F87E58">
            <w:pPr>
              <w:pStyle w:val="cuatexto"/>
              <w:jc w:val="right"/>
              <w:rPr>
                <w:sz w:val="14"/>
                <w:szCs w:val="14"/>
              </w:rPr>
            </w:pPr>
            <w:r w:rsidRPr="002B636D">
              <w:rPr>
                <w:sz w:val="14"/>
                <w:szCs w:val="14"/>
              </w:rPr>
              <w:t> </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7EA5300F" w14:textId="77777777" w:rsidR="00F87E58" w:rsidRPr="002B636D" w:rsidRDefault="00F87E58" w:rsidP="00F87E58">
            <w:pPr>
              <w:pStyle w:val="cuatexto"/>
              <w:jc w:val="right"/>
              <w:rPr>
                <w:b/>
                <w:bCs/>
                <w:sz w:val="14"/>
                <w:szCs w:val="14"/>
              </w:rPr>
            </w:pPr>
            <w:r w:rsidRPr="002B636D">
              <w:rPr>
                <w:b/>
                <w:bCs/>
                <w:sz w:val="14"/>
                <w:szCs w:val="14"/>
              </w:rPr>
              <w:t>3.273.607</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2231AA8F" w14:textId="77777777" w:rsidR="00F87E58" w:rsidRPr="002B636D" w:rsidRDefault="00F87E58" w:rsidP="00F87E58">
            <w:pPr>
              <w:pStyle w:val="cuatexto"/>
              <w:jc w:val="right"/>
              <w:rPr>
                <w:b/>
                <w:bCs/>
                <w:sz w:val="14"/>
                <w:szCs w:val="14"/>
              </w:rPr>
            </w:pPr>
            <w:r w:rsidRPr="002B636D">
              <w:rPr>
                <w:b/>
                <w:bCs/>
                <w:sz w:val="14"/>
                <w:szCs w:val="14"/>
              </w:rPr>
              <w:t>74.866.089</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6668F435" w14:textId="77777777" w:rsidR="00F87E58" w:rsidRPr="002B636D" w:rsidRDefault="00F87E58" w:rsidP="00F87E58">
            <w:pPr>
              <w:pStyle w:val="cuatexto"/>
              <w:jc w:val="right"/>
              <w:rPr>
                <w:sz w:val="14"/>
                <w:szCs w:val="14"/>
              </w:rPr>
            </w:pPr>
            <w:r w:rsidRPr="002B636D">
              <w:rPr>
                <w:sz w:val="14"/>
                <w:szCs w:val="14"/>
              </w:rPr>
              <w:t>2.000.000</w:t>
            </w:r>
          </w:p>
        </w:tc>
        <w:tc>
          <w:tcPr>
            <w:tcW w:w="1255" w:type="dxa"/>
            <w:tcBorders>
              <w:top w:val="nil"/>
              <w:left w:val="nil"/>
              <w:bottom w:val="single" w:sz="4" w:space="0" w:color="auto"/>
              <w:right w:val="single" w:sz="4" w:space="0" w:color="auto"/>
            </w:tcBorders>
            <w:shd w:val="clear" w:color="auto" w:fill="auto"/>
            <w:noWrap/>
            <w:vAlign w:val="bottom"/>
          </w:tcPr>
          <w:p w14:paraId="636D814C" w14:textId="77777777" w:rsidR="00F87E58" w:rsidRPr="002B636D" w:rsidRDefault="00F87E58" w:rsidP="00F87E58">
            <w:pPr>
              <w:pStyle w:val="cuatexto"/>
              <w:jc w:val="right"/>
              <w:rPr>
                <w:sz w:val="14"/>
                <w:szCs w:val="14"/>
              </w:rPr>
            </w:pPr>
            <w:r w:rsidRPr="002B636D">
              <w:rPr>
                <w:sz w:val="14"/>
                <w:szCs w:val="14"/>
              </w:rPr>
              <w:t>54.575.000</w:t>
            </w:r>
          </w:p>
        </w:tc>
        <w:tc>
          <w:tcPr>
            <w:tcW w:w="1395" w:type="dxa"/>
            <w:tcBorders>
              <w:top w:val="nil"/>
              <w:left w:val="nil"/>
              <w:bottom w:val="single" w:sz="4" w:space="0" w:color="auto"/>
            </w:tcBorders>
            <w:shd w:val="clear" w:color="auto" w:fill="auto"/>
            <w:noWrap/>
            <w:vAlign w:val="bottom"/>
          </w:tcPr>
          <w:p w14:paraId="7B063DF6" w14:textId="77777777" w:rsidR="00F87E58" w:rsidRPr="002B636D" w:rsidRDefault="00F87E58" w:rsidP="00F87E58">
            <w:pPr>
              <w:pStyle w:val="cuatexto"/>
              <w:jc w:val="right"/>
              <w:rPr>
                <w:sz w:val="14"/>
                <w:szCs w:val="14"/>
              </w:rPr>
            </w:pPr>
            <w:r w:rsidRPr="002B636D">
              <w:rPr>
                <w:sz w:val="14"/>
                <w:szCs w:val="14"/>
              </w:rPr>
              <w:t>20.291.089</w:t>
            </w:r>
          </w:p>
        </w:tc>
      </w:tr>
      <w:tr w:rsidR="00F87E58" w:rsidRPr="002B636D" w14:paraId="2A24F61E" w14:textId="77777777" w:rsidTr="00321B53">
        <w:trPr>
          <w:trHeight w:val="196"/>
          <w:jc w:val="center"/>
        </w:trPr>
        <w:tc>
          <w:tcPr>
            <w:tcW w:w="548" w:type="dxa"/>
            <w:tcBorders>
              <w:top w:val="nil"/>
              <w:bottom w:val="single" w:sz="4" w:space="0" w:color="auto"/>
              <w:right w:val="single" w:sz="4" w:space="0" w:color="auto"/>
            </w:tcBorders>
            <w:shd w:val="clear" w:color="auto" w:fill="auto"/>
            <w:noWrap/>
            <w:vAlign w:val="center"/>
            <w:hideMark/>
          </w:tcPr>
          <w:p w14:paraId="18534858" w14:textId="77777777" w:rsidR="00F87E58" w:rsidRPr="002B636D" w:rsidRDefault="00F87E58" w:rsidP="00F87E58">
            <w:pPr>
              <w:pStyle w:val="cuatexto"/>
              <w:jc w:val="left"/>
              <w:rPr>
                <w:sz w:val="14"/>
                <w:szCs w:val="14"/>
              </w:rPr>
            </w:pPr>
            <w:r w:rsidRPr="002B636D">
              <w:rPr>
                <w:sz w:val="14"/>
                <w:szCs w:val="14"/>
              </w:rPr>
              <w:t>2022</w:t>
            </w:r>
          </w:p>
        </w:tc>
        <w:tc>
          <w:tcPr>
            <w:tcW w:w="837" w:type="dxa"/>
            <w:tcBorders>
              <w:top w:val="nil"/>
              <w:left w:val="nil"/>
              <w:bottom w:val="single" w:sz="4" w:space="0" w:color="auto"/>
              <w:right w:val="single" w:sz="4" w:space="0" w:color="auto"/>
            </w:tcBorders>
            <w:shd w:val="clear" w:color="auto" w:fill="auto"/>
            <w:noWrap/>
            <w:vAlign w:val="bottom"/>
            <w:hideMark/>
          </w:tcPr>
          <w:p w14:paraId="4E0B17F5" w14:textId="77777777" w:rsidR="00F87E58" w:rsidRPr="002B636D" w:rsidRDefault="00F87E58" w:rsidP="00F87E58">
            <w:pPr>
              <w:pStyle w:val="cuatexto"/>
              <w:jc w:val="right"/>
              <w:rPr>
                <w:sz w:val="14"/>
                <w:szCs w:val="14"/>
              </w:rPr>
            </w:pPr>
            <w:r w:rsidRPr="002B636D">
              <w:rPr>
                <w:sz w:val="14"/>
                <w:szCs w:val="14"/>
              </w:rPr>
              <w:t>971.954</w:t>
            </w:r>
          </w:p>
        </w:tc>
        <w:tc>
          <w:tcPr>
            <w:tcW w:w="976" w:type="dxa"/>
            <w:tcBorders>
              <w:top w:val="nil"/>
              <w:left w:val="nil"/>
              <w:bottom w:val="single" w:sz="4" w:space="0" w:color="auto"/>
              <w:right w:val="single" w:sz="4" w:space="0" w:color="auto"/>
            </w:tcBorders>
            <w:shd w:val="clear" w:color="auto" w:fill="auto"/>
            <w:noWrap/>
            <w:vAlign w:val="center"/>
            <w:hideMark/>
          </w:tcPr>
          <w:p w14:paraId="1AA2F07E" w14:textId="77777777" w:rsidR="00F87E58" w:rsidRPr="002B636D" w:rsidRDefault="00F87E58" w:rsidP="00F87E58">
            <w:pPr>
              <w:pStyle w:val="cuatexto"/>
              <w:jc w:val="right"/>
              <w:rPr>
                <w:sz w:val="14"/>
                <w:szCs w:val="14"/>
              </w:rPr>
            </w:pPr>
            <w:r w:rsidRPr="002B636D">
              <w:rPr>
                <w:sz w:val="14"/>
                <w:szCs w:val="14"/>
              </w:rPr>
              <w:t> </w:t>
            </w:r>
          </w:p>
        </w:tc>
        <w:tc>
          <w:tcPr>
            <w:tcW w:w="861" w:type="dxa"/>
            <w:tcBorders>
              <w:top w:val="nil"/>
              <w:left w:val="nil"/>
              <w:bottom w:val="single" w:sz="4" w:space="0" w:color="auto"/>
              <w:right w:val="single" w:sz="2" w:space="0" w:color="auto"/>
            </w:tcBorders>
            <w:shd w:val="clear" w:color="auto" w:fill="auto"/>
            <w:noWrap/>
            <w:vAlign w:val="bottom"/>
            <w:hideMark/>
          </w:tcPr>
          <w:p w14:paraId="77F0C71F" w14:textId="77777777" w:rsidR="00F87E58" w:rsidRPr="002B636D" w:rsidRDefault="00F87E58" w:rsidP="00F87E58">
            <w:pPr>
              <w:pStyle w:val="cuatexto"/>
              <w:jc w:val="right"/>
              <w:rPr>
                <w:sz w:val="14"/>
                <w:szCs w:val="14"/>
              </w:rPr>
            </w:pPr>
            <w:r w:rsidRPr="002B636D">
              <w:rPr>
                <w:sz w:val="14"/>
                <w:szCs w:val="14"/>
              </w:rPr>
              <w:t>664.032</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6B13D6B0" w14:textId="77777777" w:rsidR="00F87E58" w:rsidRPr="002B636D" w:rsidRDefault="00F87E58" w:rsidP="00F87E58">
            <w:pPr>
              <w:pStyle w:val="cuatexto"/>
              <w:jc w:val="right"/>
              <w:rPr>
                <w:sz w:val="14"/>
                <w:szCs w:val="14"/>
              </w:rPr>
            </w:pPr>
            <w:r w:rsidRPr="002B636D">
              <w:rPr>
                <w:sz w:val="14"/>
                <w:szCs w:val="14"/>
              </w:rPr>
              <w:t>1.635.986</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3200376" w14:textId="77777777" w:rsidR="00F87E58" w:rsidRPr="002B636D" w:rsidRDefault="00F87E58" w:rsidP="00F87E58">
            <w:pPr>
              <w:pStyle w:val="cuatexto"/>
              <w:jc w:val="right"/>
              <w:rPr>
                <w:sz w:val="14"/>
                <w:szCs w:val="14"/>
              </w:rPr>
            </w:pPr>
            <w:r w:rsidRPr="002B636D">
              <w:rPr>
                <w:sz w:val="14"/>
                <w:szCs w:val="14"/>
              </w:rPr>
              <w:t>1.210.303</w:t>
            </w:r>
          </w:p>
        </w:tc>
        <w:tc>
          <w:tcPr>
            <w:tcW w:w="976" w:type="dxa"/>
            <w:tcBorders>
              <w:top w:val="nil"/>
              <w:left w:val="single" w:sz="2" w:space="0" w:color="auto"/>
              <w:bottom w:val="single" w:sz="4" w:space="0" w:color="auto"/>
              <w:right w:val="single" w:sz="2" w:space="0" w:color="auto"/>
            </w:tcBorders>
            <w:shd w:val="clear" w:color="auto" w:fill="auto"/>
            <w:noWrap/>
            <w:vAlign w:val="bottom"/>
            <w:hideMark/>
          </w:tcPr>
          <w:p w14:paraId="2E31CADE" w14:textId="77777777" w:rsidR="00F87E58" w:rsidRPr="002B636D" w:rsidRDefault="00F87E58" w:rsidP="00F87E58">
            <w:pPr>
              <w:pStyle w:val="cuatexto"/>
              <w:jc w:val="right"/>
              <w:rPr>
                <w:sz w:val="14"/>
                <w:szCs w:val="14"/>
              </w:rPr>
            </w:pPr>
            <w:r w:rsidRPr="002B636D">
              <w:rPr>
                <w:sz w:val="14"/>
                <w:szCs w:val="14"/>
              </w:rPr>
              <w:t>284.762</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7406A02" w14:textId="77777777" w:rsidR="00F87E58" w:rsidRPr="002B636D" w:rsidRDefault="00F87E58" w:rsidP="00F87E58">
            <w:pPr>
              <w:pStyle w:val="cuatexto"/>
              <w:jc w:val="right"/>
              <w:rPr>
                <w:sz w:val="14"/>
                <w:szCs w:val="14"/>
              </w:rPr>
            </w:pPr>
            <w:r w:rsidRPr="002B636D">
              <w:rPr>
                <w:sz w:val="14"/>
                <w:szCs w:val="14"/>
              </w:rPr>
              <w:t>107.307</w:t>
            </w:r>
          </w:p>
        </w:tc>
        <w:tc>
          <w:tcPr>
            <w:tcW w:w="1982" w:type="dxa"/>
            <w:tcBorders>
              <w:top w:val="nil"/>
              <w:left w:val="single" w:sz="2" w:space="0" w:color="auto"/>
              <w:bottom w:val="single" w:sz="4" w:space="0" w:color="auto"/>
              <w:right w:val="single" w:sz="2" w:space="0" w:color="auto"/>
            </w:tcBorders>
            <w:shd w:val="clear" w:color="auto" w:fill="auto"/>
            <w:noWrap/>
            <w:vAlign w:val="center"/>
            <w:hideMark/>
          </w:tcPr>
          <w:p w14:paraId="0D2FB3E2" w14:textId="77777777" w:rsidR="00F87E58" w:rsidRPr="002B636D" w:rsidRDefault="00F87E58" w:rsidP="00F87E58">
            <w:pPr>
              <w:pStyle w:val="cuatexto"/>
              <w:jc w:val="right"/>
              <w:rPr>
                <w:b/>
                <w:bCs/>
                <w:sz w:val="14"/>
                <w:szCs w:val="14"/>
              </w:rPr>
            </w:pPr>
            <w:r w:rsidRPr="002B636D">
              <w:rPr>
                <w:b/>
                <w:bCs/>
                <w:sz w:val="14"/>
                <w:szCs w:val="14"/>
              </w:rPr>
              <w:t>3.238.359</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tcPr>
          <w:p w14:paraId="7A14A0D1" w14:textId="77777777" w:rsidR="00F87E58" w:rsidRPr="002B636D" w:rsidRDefault="00F87E58" w:rsidP="00F87E58">
            <w:pPr>
              <w:pStyle w:val="cuatexto"/>
              <w:jc w:val="right"/>
              <w:rPr>
                <w:b/>
                <w:bCs/>
                <w:sz w:val="14"/>
                <w:szCs w:val="14"/>
              </w:rPr>
            </w:pPr>
            <w:r w:rsidRPr="002B636D">
              <w:rPr>
                <w:b/>
                <w:bCs/>
                <w:sz w:val="14"/>
                <w:szCs w:val="14"/>
              </w:rPr>
              <w:t>78.104.448</w:t>
            </w:r>
          </w:p>
        </w:tc>
        <w:tc>
          <w:tcPr>
            <w:tcW w:w="1395" w:type="dxa"/>
            <w:tcBorders>
              <w:top w:val="nil"/>
              <w:left w:val="single" w:sz="2" w:space="0" w:color="auto"/>
              <w:bottom w:val="single" w:sz="4" w:space="0" w:color="auto"/>
              <w:right w:val="single" w:sz="4" w:space="0" w:color="auto"/>
            </w:tcBorders>
            <w:shd w:val="clear" w:color="auto" w:fill="auto"/>
            <w:noWrap/>
            <w:vAlign w:val="center"/>
          </w:tcPr>
          <w:p w14:paraId="046A6937" w14:textId="77777777" w:rsidR="00F87E58" w:rsidRPr="002B636D" w:rsidRDefault="00F87E58" w:rsidP="00F87E58">
            <w:pPr>
              <w:pStyle w:val="cuatexto"/>
              <w:jc w:val="right"/>
              <w:rPr>
                <w:sz w:val="14"/>
                <w:szCs w:val="14"/>
              </w:rPr>
            </w:pPr>
            <w:r w:rsidRPr="002B636D">
              <w:rPr>
                <w:sz w:val="14"/>
                <w:szCs w:val="14"/>
              </w:rPr>
              <w:t>2.220.000</w:t>
            </w:r>
          </w:p>
        </w:tc>
        <w:tc>
          <w:tcPr>
            <w:tcW w:w="1255" w:type="dxa"/>
            <w:tcBorders>
              <w:top w:val="nil"/>
              <w:left w:val="nil"/>
              <w:bottom w:val="single" w:sz="4" w:space="0" w:color="auto"/>
              <w:right w:val="single" w:sz="4" w:space="0" w:color="auto"/>
            </w:tcBorders>
            <w:shd w:val="clear" w:color="auto" w:fill="auto"/>
            <w:noWrap/>
            <w:vAlign w:val="bottom"/>
          </w:tcPr>
          <w:p w14:paraId="01531D0E" w14:textId="77777777" w:rsidR="00F87E58" w:rsidRPr="002B636D" w:rsidRDefault="00F87E58" w:rsidP="00F87E58">
            <w:pPr>
              <w:pStyle w:val="cuatexto"/>
              <w:jc w:val="right"/>
              <w:rPr>
                <w:sz w:val="14"/>
                <w:szCs w:val="14"/>
              </w:rPr>
            </w:pPr>
            <w:r w:rsidRPr="002B636D">
              <w:rPr>
                <w:sz w:val="14"/>
                <w:szCs w:val="14"/>
              </w:rPr>
              <w:t>56.795.000</w:t>
            </w:r>
          </w:p>
        </w:tc>
        <w:tc>
          <w:tcPr>
            <w:tcW w:w="1395" w:type="dxa"/>
            <w:tcBorders>
              <w:top w:val="nil"/>
              <w:left w:val="nil"/>
              <w:bottom w:val="single" w:sz="4" w:space="0" w:color="auto"/>
            </w:tcBorders>
            <w:shd w:val="clear" w:color="auto" w:fill="auto"/>
            <w:noWrap/>
            <w:vAlign w:val="bottom"/>
          </w:tcPr>
          <w:p w14:paraId="6C8E4CCB" w14:textId="77777777" w:rsidR="00F87E58" w:rsidRPr="002B636D" w:rsidRDefault="00F87E58" w:rsidP="00F87E58">
            <w:pPr>
              <w:pStyle w:val="cuatexto"/>
              <w:jc w:val="right"/>
              <w:rPr>
                <w:sz w:val="14"/>
                <w:szCs w:val="14"/>
              </w:rPr>
            </w:pPr>
            <w:r w:rsidRPr="002B636D">
              <w:rPr>
                <w:sz w:val="14"/>
                <w:szCs w:val="14"/>
              </w:rPr>
              <w:t>21.309.448</w:t>
            </w:r>
          </w:p>
        </w:tc>
      </w:tr>
      <w:tr w:rsidR="00F87E58" w:rsidRPr="002B636D" w14:paraId="467BE085" w14:textId="77777777" w:rsidTr="00321B53">
        <w:trPr>
          <w:trHeight w:val="252"/>
          <w:jc w:val="center"/>
        </w:trPr>
        <w:tc>
          <w:tcPr>
            <w:tcW w:w="548" w:type="dxa"/>
            <w:tcBorders>
              <w:top w:val="single" w:sz="4" w:space="0" w:color="auto"/>
              <w:bottom w:val="single" w:sz="4" w:space="0" w:color="auto"/>
              <w:right w:val="single" w:sz="4" w:space="0" w:color="auto"/>
            </w:tcBorders>
            <w:shd w:val="clear" w:color="000000" w:fill="BDD7EE"/>
            <w:noWrap/>
            <w:vAlign w:val="center"/>
            <w:hideMark/>
          </w:tcPr>
          <w:p w14:paraId="6702B157" w14:textId="77777777" w:rsidR="00F87E58" w:rsidRPr="002B636D" w:rsidRDefault="00F87E58" w:rsidP="00F87E58">
            <w:pPr>
              <w:pStyle w:val="cuadroCabe"/>
              <w:jc w:val="left"/>
              <w:rPr>
                <w:sz w:val="12"/>
                <w:szCs w:val="12"/>
              </w:rPr>
            </w:pPr>
            <w:r w:rsidRPr="002B636D">
              <w:rPr>
                <w:sz w:val="12"/>
                <w:szCs w:val="12"/>
              </w:rPr>
              <w:t>Total</w:t>
            </w:r>
          </w:p>
        </w:tc>
        <w:tc>
          <w:tcPr>
            <w:tcW w:w="837" w:type="dxa"/>
            <w:tcBorders>
              <w:top w:val="single" w:sz="4" w:space="0" w:color="auto"/>
              <w:left w:val="nil"/>
              <w:bottom w:val="single" w:sz="4" w:space="0" w:color="auto"/>
              <w:right w:val="single" w:sz="4" w:space="0" w:color="auto"/>
            </w:tcBorders>
            <w:shd w:val="clear" w:color="000000" w:fill="BDD7EE"/>
            <w:noWrap/>
            <w:vAlign w:val="center"/>
            <w:hideMark/>
          </w:tcPr>
          <w:p w14:paraId="6D5A4BA4" w14:textId="77777777" w:rsidR="00F87E58" w:rsidRPr="002B636D" w:rsidRDefault="00F87E58" w:rsidP="00F87E58">
            <w:pPr>
              <w:pStyle w:val="cuadroCabe"/>
              <w:jc w:val="right"/>
              <w:rPr>
                <w:b/>
                <w:bCs/>
                <w:sz w:val="12"/>
                <w:szCs w:val="12"/>
              </w:rPr>
            </w:pPr>
            <w:r w:rsidRPr="002B636D">
              <w:rPr>
                <w:b/>
                <w:bCs/>
                <w:sz w:val="12"/>
                <w:szCs w:val="12"/>
              </w:rPr>
              <w:t>30.062.212</w:t>
            </w:r>
          </w:p>
        </w:tc>
        <w:tc>
          <w:tcPr>
            <w:tcW w:w="976" w:type="dxa"/>
            <w:tcBorders>
              <w:top w:val="single" w:sz="4" w:space="0" w:color="auto"/>
              <w:left w:val="nil"/>
              <w:bottom w:val="single" w:sz="4" w:space="0" w:color="auto"/>
              <w:right w:val="single" w:sz="4" w:space="0" w:color="auto"/>
            </w:tcBorders>
            <w:shd w:val="clear" w:color="000000" w:fill="BDD7EE"/>
            <w:noWrap/>
            <w:vAlign w:val="center"/>
            <w:hideMark/>
          </w:tcPr>
          <w:p w14:paraId="3C14C824" w14:textId="77777777" w:rsidR="00F87E58" w:rsidRPr="002B636D" w:rsidRDefault="00F87E58" w:rsidP="00F87E58">
            <w:pPr>
              <w:pStyle w:val="cuadroCabe"/>
              <w:jc w:val="right"/>
              <w:rPr>
                <w:b/>
                <w:bCs/>
                <w:sz w:val="12"/>
                <w:szCs w:val="12"/>
              </w:rPr>
            </w:pPr>
            <w:r w:rsidRPr="002B636D">
              <w:rPr>
                <w:b/>
                <w:bCs/>
                <w:sz w:val="12"/>
                <w:szCs w:val="12"/>
              </w:rPr>
              <w:t>17.173.704</w:t>
            </w:r>
          </w:p>
        </w:tc>
        <w:tc>
          <w:tcPr>
            <w:tcW w:w="861" w:type="dxa"/>
            <w:tcBorders>
              <w:top w:val="single" w:sz="4" w:space="0" w:color="auto"/>
              <w:left w:val="nil"/>
              <w:bottom w:val="single" w:sz="4" w:space="0" w:color="auto"/>
              <w:right w:val="single" w:sz="2" w:space="0" w:color="auto"/>
            </w:tcBorders>
            <w:shd w:val="clear" w:color="000000" w:fill="BDD7EE"/>
            <w:noWrap/>
            <w:vAlign w:val="center"/>
            <w:hideMark/>
          </w:tcPr>
          <w:p w14:paraId="044EE6C5" w14:textId="77777777" w:rsidR="00F87E58" w:rsidRPr="002B636D" w:rsidRDefault="00F87E58" w:rsidP="00F87E58">
            <w:pPr>
              <w:pStyle w:val="cuadroCabe"/>
              <w:jc w:val="right"/>
              <w:rPr>
                <w:b/>
                <w:bCs/>
                <w:sz w:val="12"/>
                <w:szCs w:val="12"/>
              </w:rPr>
            </w:pPr>
            <w:r w:rsidRPr="002B636D">
              <w:rPr>
                <w:b/>
                <w:bCs/>
                <w:sz w:val="12"/>
                <w:szCs w:val="12"/>
              </w:rPr>
              <w:t>27.204.536</w:t>
            </w:r>
          </w:p>
        </w:tc>
        <w:tc>
          <w:tcPr>
            <w:tcW w:w="1233"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61F7D74D" w14:textId="77777777" w:rsidR="00F87E58" w:rsidRPr="002B636D" w:rsidRDefault="00F87E58" w:rsidP="00F87E58">
            <w:pPr>
              <w:pStyle w:val="cuadroCabe"/>
              <w:jc w:val="right"/>
              <w:rPr>
                <w:b/>
                <w:bCs/>
                <w:sz w:val="12"/>
                <w:szCs w:val="12"/>
              </w:rPr>
            </w:pPr>
            <w:r w:rsidRPr="002B636D">
              <w:rPr>
                <w:b/>
                <w:bCs/>
                <w:sz w:val="12"/>
                <w:szCs w:val="12"/>
              </w:rPr>
              <w:t>74.440.452</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7C0B869A" w14:textId="77777777" w:rsidR="00F87E58" w:rsidRPr="002B636D" w:rsidRDefault="00F87E58" w:rsidP="00F87E58">
            <w:pPr>
              <w:pStyle w:val="cuadroCabe"/>
              <w:jc w:val="right"/>
              <w:rPr>
                <w:b/>
                <w:bCs/>
                <w:sz w:val="12"/>
                <w:szCs w:val="12"/>
              </w:rPr>
            </w:pPr>
            <w:r w:rsidRPr="002B636D">
              <w:rPr>
                <w:b/>
                <w:bCs/>
                <w:sz w:val="12"/>
                <w:szCs w:val="12"/>
              </w:rPr>
              <w:t>3.571.923</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6137B5C8" w14:textId="77777777" w:rsidR="00F87E58" w:rsidRPr="002B636D" w:rsidRDefault="00F87E58" w:rsidP="00F87E58">
            <w:pPr>
              <w:pStyle w:val="cuadroCabe"/>
              <w:jc w:val="right"/>
              <w:rPr>
                <w:b/>
                <w:bCs/>
                <w:sz w:val="12"/>
                <w:szCs w:val="12"/>
              </w:rPr>
            </w:pPr>
            <w:r w:rsidRPr="002B636D">
              <w:rPr>
                <w:b/>
                <w:bCs/>
                <w:sz w:val="12"/>
                <w:szCs w:val="12"/>
              </w:rPr>
              <w:t>284.762</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3145B2F7" w14:textId="77777777" w:rsidR="00F87E58" w:rsidRPr="002B636D" w:rsidRDefault="00F87E58" w:rsidP="00F87E58">
            <w:pPr>
              <w:pStyle w:val="cuadroCabe"/>
              <w:jc w:val="right"/>
              <w:rPr>
                <w:b/>
                <w:bCs/>
                <w:sz w:val="12"/>
                <w:szCs w:val="12"/>
              </w:rPr>
            </w:pPr>
            <w:r w:rsidRPr="002B636D">
              <w:rPr>
                <w:b/>
                <w:bCs/>
                <w:sz w:val="12"/>
                <w:szCs w:val="12"/>
              </w:rPr>
              <w:t>107.307</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59EF8A7E" w14:textId="77777777" w:rsidR="00F87E58" w:rsidRPr="002B636D" w:rsidRDefault="00F87E58" w:rsidP="00F87E58">
            <w:pPr>
              <w:pStyle w:val="cuadroCabe"/>
              <w:jc w:val="right"/>
              <w:rPr>
                <w:b/>
                <w:bCs/>
                <w:sz w:val="12"/>
                <w:szCs w:val="12"/>
              </w:rPr>
            </w:pPr>
            <w:r w:rsidRPr="002B636D">
              <w:rPr>
                <w:b/>
                <w:bCs/>
                <w:sz w:val="12"/>
                <w:szCs w:val="12"/>
              </w:rPr>
              <w:t>78.104.448</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tcPr>
          <w:p w14:paraId="55A0D8AB" w14:textId="77777777" w:rsidR="00F87E58" w:rsidRPr="002B636D" w:rsidRDefault="00F87E58" w:rsidP="00F87E58">
            <w:pPr>
              <w:pStyle w:val="cuadroCabe"/>
              <w:jc w:val="right"/>
              <w:rPr>
                <w:b/>
                <w:bCs/>
                <w:sz w:val="12"/>
                <w:szCs w:val="12"/>
              </w:rPr>
            </w:pPr>
            <w:r w:rsidRPr="002B636D">
              <w:rPr>
                <w:b/>
                <w:bCs/>
                <w:sz w:val="12"/>
                <w:szCs w:val="12"/>
              </w:rPr>
              <w:t>78.104.448</w:t>
            </w:r>
          </w:p>
        </w:tc>
        <w:tc>
          <w:tcPr>
            <w:tcW w:w="1395" w:type="dxa"/>
            <w:tcBorders>
              <w:top w:val="single" w:sz="4" w:space="0" w:color="auto"/>
              <w:left w:val="single" w:sz="2" w:space="0" w:color="auto"/>
              <w:bottom w:val="single" w:sz="4" w:space="0" w:color="auto"/>
              <w:right w:val="single" w:sz="4" w:space="0" w:color="auto"/>
            </w:tcBorders>
            <w:shd w:val="clear" w:color="000000" w:fill="BDD7EE"/>
            <w:noWrap/>
            <w:vAlign w:val="center"/>
          </w:tcPr>
          <w:p w14:paraId="16A4EA3F" w14:textId="77777777" w:rsidR="00F87E58" w:rsidRPr="002B636D" w:rsidRDefault="00F87E58" w:rsidP="00F87E58">
            <w:pPr>
              <w:pStyle w:val="cuadroCabe"/>
              <w:jc w:val="right"/>
              <w:rPr>
                <w:b/>
                <w:bCs/>
                <w:sz w:val="12"/>
                <w:szCs w:val="12"/>
              </w:rPr>
            </w:pPr>
            <w:r w:rsidRPr="002B636D">
              <w:rPr>
                <w:b/>
                <w:bCs/>
                <w:sz w:val="12"/>
                <w:szCs w:val="12"/>
              </w:rPr>
              <w:t>56.795.000</w:t>
            </w:r>
          </w:p>
        </w:tc>
        <w:tc>
          <w:tcPr>
            <w:tcW w:w="1255" w:type="dxa"/>
            <w:tcBorders>
              <w:top w:val="single" w:sz="4" w:space="0" w:color="auto"/>
              <w:left w:val="nil"/>
              <w:bottom w:val="single" w:sz="4" w:space="0" w:color="auto"/>
              <w:right w:val="single" w:sz="8" w:space="0" w:color="auto"/>
            </w:tcBorders>
            <w:shd w:val="clear" w:color="000000" w:fill="BDD7EE"/>
            <w:noWrap/>
            <w:vAlign w:val="bottom"/>
          </w:tcPr>
          <w:p w14:paraId="4FBB295C" w14:textId="77777777" w:rsidR="00F87E58" w:rsidRPr="002B636D" w:rsidRDefault="00F87E58" w:rsidP="00F87E58">
            <w:pPr>
              <w:pStyle w:val="cuadroCabe"/>
              <w:jc w:val="right"/>
              <w:rPr>
                <w:b/>
                <w:bCs/>
                <w:sz w:val="12"/>
                <w:szCs w:val="12"/>
              </w:rPr>
            </w:pPr>
            <w:r w:rsidRPr="002B636D">
              <w:rPr>
                <w:b/>
                <w:bCs/>
                <w:sz w:val="12"/>
                <w:szCs w:val="12"/>
              </w:rPr>
              <w:t>56.795.000</w:t>
            </w:r>
          </w:p>
        </w:tc>
        <w:tc>
          <w:tcPr>
            <w:tcW w:w="1395" w:type="dxa"/>
            <w:tcBorders>
              <w:top w:val="single" w:sz="4" w:space="0" w:color="auto"/>
              <w:left w:val="single" w:sz="4" w:space="0" w:color="auto"/>
              <w:bottom w:val="single" w:sz="4" w:space="0" w:color="auto"/>
            </w:tcBorders>
            <w:shd w:val="clear" w:color="000000" w:fill="BDD7EE"/>
            <w:noWrap/>
            <w:vAlign w:val="bottom"/>
          </w:tcPr>
          <w:p w14:paraId="5A2E8A48" w14:textId="77777777" w:rsidR="00F87E58" w:rsidRPr="002B636D" w:rsidRDefault="00F87E58" w:rsidP="00F87E58">
            <w:pPr>
              <w:pStyle w:val="cuadroCabe"/>
              <w:jc w:val="right"/>
              <w:rPr>
                <w:b/>
                <w:bCs/>
                <w:sz w:val="12"/>
                <w:szCs w:val="12"/>
              </w:rPr>
            </w:pPr>
            <w:r w:rsidRPr="002B636D">
              <w:rPr>
                <w:b/>
                <w:bCs/>
                <w:sz w:val="12"/>
                <w:szCs w:val="12"/>
              </w:rPr>
              <w:t>21.309.448</w:t>
            </w:r>
          </w:p>
        </w:tc>
      </w:tr>
      <w:tr w:rsidR="00F87E58" w:rsidRPr="002B636D" w14:paraId="5313B18B" w14:textId="77777777" w:rsidTr="00321B53">
        <w:trPr>
          <w:trHeight w:val="252"/>
          <w:jc w:val="center"/>
        </w:trPr>
        <w:tc>
          <w:tcPr>
            <w:tcW w:w="4455" w:type="dxa"/>
            <w:gridSpan w:val="5"/>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9612B88" w14:textId="77777777" w:rsidR="00F87E58" w:rsidRPr="002B636D" w:rsidRDefault="00F87E58" w:rsidP="00F87E58">
            <w:pPr>
              <w:pStyle w:val="cuadroCabe"/>
              <w:jc w:val="right"/>
              <w:rPr>
                <w:b/>
                <w:bCs/>
                <w:sz w:val="12"/>
                <w:szCs w:val="12"/>
              </w:rPr>
            </w:pPr>
            <w:r w:rsidRPr="002B636D">
              <w:rPr>
                <w:b/>
                <w:bCs/>
                <w:sz w:val="12"/>
                <w:szCs w:val="12"/>
              </w:rPr>
              <w:t>TOTAL DESEMBOLSO PARTICIPACION CAPITAL+PRESTAMOS</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3FCFB262" w14:textId="77777777" w:rsidR="00F87E58" w:rsidRPr="002B636D" w:rsidRDefault="00F87E58" w:rsidP="00F87E58">
            <w:pPr>
              <w:pStyle w:val="cuadroCabe"/>
              <w:jc w:val="right"/>
              <w:rPr>
                <w:sz w:val="12"/>
                <w:szCs w:val="12"/>
              </w:rPr>
            </w:pPr>
            <w:r w:rsidRPr="002B636D">
              <w:rPr>
                <w:sz w:val="12"/>
                <w:szCs w:val="12"/>
              </w:rPr>
              <w:t>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DFB395D" w14:textId="77777777" w:rsidR="00F87E58" w:rsidRPr="002B636D" w:rsidRDefault="00F87E58" w:rsidP="00F87E58">
            <w:pPr>
              <w:pStyle w:val="cuadroCabe"/>
              <w:jc w:val="right"/>
              <w:rPr>
                <w:sz w:val="12"/>
                <w:szCs w:val="12"/>
              </w:rPr>
            </w:pPr>
            <w:r w:rsidRPr="002B636D">
              <w:rPr>
                <w:sz w:val="12"/>
                <w:szCs w:val="12"/>
              </w:rPr>
              <w:t>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49D45D81" w14:textId="77777777" w:rsidR="00F87E58" w:rsidRPr="002B636D" w:rsidRDefault="00F87E58" w:rsidP="00F87E58">
            <w:pPr>
              <w:pStyle w:val="cuadroCabe"/>
              <w:jc w:val="right"/>
              <w:rPr>
                <w:sz w:val="12"/>
                <w:szCs w:val="12"/>
              </w:rPr>
            </w:pPr>
            <w:r w:rsidRPr="002B636D">
              <w:rPr>
                <w:sz w:val="12"/>
                <w:szCs w:val="12"/>
              </w:rPr>
              <w:t> </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3140AF5" w14:textId="77777777" w:rsidR="00F87E58" w:rsidRPr="002B636D" w:rsidRDefault="00F87E58" w:rsidP="00F87E58">
            <w:pPr>
              <w:pStyle w:val="cuadroCabe"/>
              <w:jc w:val="right"/>
              <w:rPr>
                <w:b/>
                <w:bCs/>
                <w:sz w:val="12"/>
                <w:szCs w:val="12"/>
              </w:rPr>
            </w:pPr>
            <w:r w:rsidRPr="002B636D">
              <w:rPr>
                <w:b/>
                <w:bCs/>
                <w:sz w:val="12"/>
                <w:szCs w:val="12"/>
              </w:rPr>
              <w:t>82.154.448</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2F544D3"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single" w:sz="2" w:space="0" w:color="auto"/>
              <w:bottom w:val="single" w:sz="4" w:space="0" w:color="auto"/>
              <w:right w:val="nil"/>
            </w:tcBorders>
            <w:shd w:val="clear" w:color="000000" w:fill="BDD7EE"/>
            <w:noWrap/>
            <w:vAlign w:val="bottom"/>
          </w:tcPr>
          <w:p w14:paraId="765E3B2D" w14:textId="77777777" w:rsidR="00F87E58" w:rsidRPr="002B636D" w:rsidRDefault="00F87E58" w:rsidP="00F87E58">
            <w:pPr>
              <w:pStyle w:val="cuadroCabe"/>
              <w:jc w:val="right"/>
              <w:rPr>
                <w:sz w:val="12"/>
                <w:szCs w:val="12"/>
              </w:rPr>
            </w:pPr>
          </w:p>
        </w:tc>
        <w:tc>
          <w:tcPr>
            <w:tcW w:w="1255" w:type="dxa"/>
            <w:tcBorders>
              <w:top w:val="single" w:sz="4" w:space="0" w:color="auto"/>
              <w:left w:val="nil"/>
              <w:bottom w:val="single" w:sz="4" w:space="0" w:color="auto"/>
              <w:right w:val="nil"/>
            </w:tcBorders>
            <w:shd w:val="clear" w:color="000000" w:fill="BDD7EE"/>
            <w:noWrap/>
            <w:vAlign w:val="bottom"/>
          </w:tcPr>
          <w:p w14:paraId="1811161A" w14:textId="77777777" w:rsidR="00F87E58" w:rsidRPr="002B636D" w:rsidRDefault="00F87E58" w:rsidP="00F87E58">
            <w:pPr>
              <w:pStyle w:val="cuadroCabe"/>
              <w:jc w:val="right"/>
              <w:rPr>
                <w:sz w:val="12"/>
                <w:szCs w:val="12"/>
              </w:rPr>
            </w:pPr>
          </w:p>
        </w:tc>
        <w:tc>
          <w:tcPr>
            <w:tcW w:w="1395" w:type="dxa"/>
            <w:tcBorders>
              <w:top w:val="single" w:sz="4" w:space="0" w:color="auto"/>
              <w:left w:val="nil"/>
              <w:bottom w:val="single" w:sz="4" w:space="0" w:color="auto"/>
            </w:tcBorders>
            <w:shd w:val="clear" w:color="000000" w:fill="BDD7EE"/>
            <w:noWrap/>
            <w:vAlign w:val="bottom"/>
          </w:tcPr>
          <w:p w14:paraId="62899486" w14:textId="77777777" w:rsidR="00F87E58" w:rsidRPr="002B636D" w:rsidRDefault="00F87E58" w:rsidP="00F87E58">
            <w:pPr>
              <w:pStyle w:val="cuadroCabe"/>
              <w:jc w:val="right"/>
              <w:rPr>
                <w:sz w:val="12"/>
                <w:szCs w:val="12"/>
              </w:rPr>
            </w:pPr>
          </w:p>
        </w:tc>
      </w:tr>
      <w:tr w:rsidR="00F87E58" w:rsidRPr="002B636D" w14:paraId="3FC5817A" w14:textId="77777777" w:rsidTr="00321B53">
        <w:trPr>
          <w:trHeight w:val="196"/>
          <w:jc w:val="center"/>
        </w:trPr>
        <w:tc>
          <w:tcPr>
            <w:tcW w:w="548" w:type="dxa"/>
            <w:tcBorders>
              <w:top w:val="single" w:sz="4" w:space="0" w:color="auto"/>
              <w:bottom w:val="single" w:sz="4" w:space="0" w:color="auto"/>
              <w:right w:val="single" w:sz="4" w:space="0" w:color="auto"/>
            </w:tcBorders>
            <w:shd w:val="clear" w:color="auto" w:fill="auto"/>
            <w:noWrap/>
            <w:vAlign w:val="center"/>
            <w:hideMark/>
          </w:tcPr>
          <w:p w14:paraId="358F0BAC" w14:textId="77777777" w:rsidR="00F87E58" w:rsidRPr="002B636D" w:rsidRDefault="00F87E58" w:rsidP="00F87E58">
            <w:pPr>
              <w:pStyle w:val="cuatexto"/>
              <w:jc w:val="left"/>
              <w:rPr>
                <w:sz w:val="14"/>
                <w:szCs w:val="14"/>
              </w:rPr>
            </w:pPr>
            <w:r w:rsidRPr="002B636D">
              <w:rPr>
                <w:sz w:val="14"/>
                <w:szCs w:val="14"/>
              </w:rPr>
              <w:t>2023</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4BBF87B8"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0DC68D91" w14:textId="77777777" w:rsidR="00F87E58" w:rsidRPr="002B636D" w:rsidRDefault="00F87E58" w:rsidP="00F87E58">
            <w:pPr>
              <w:pStyle w:val="cuatexto"/>
              <w:jc w:val="right"/>
              <w:rPr>
                <w:sz w:val="14"/>
                <w:szCs w:val="14"/>
              </w:rPr>
            </w:pPr>
            <w:r w:rsidRPr="002B636D">
              <w:rPr>
                <w:sz w:val="14"/>
                <w:szCs w:val="14"/>
              </w:rPr>
              <w:t> </w:t>
            </w:r>
          </w:p>
        </w:tc>
        <w:tc>
          <w:tcPr>
            <w:tcW w:w="861" w:type="dxa"/>
            <w:tcBorders>
              <w:top w:val="single" w:sz="4" w:space="0" w:color="auto"/>
              <w:left w:val="nil"/>
              <w:bottom w:val="single" w:sz="4" w:space="0" w:color="auto"/>
              <w:right w:val="single" w:sz="2" w:space="0" w:color="auto"/>
            </w:tcBorders>
            <w:shd w:val="clear" w:color="auto" w:fill="auto"/>
            <w:noWrap/>
            <w:vAlign w:val="bottom"/>
            <w:hideMark/>
          </w:tcPr>
          <w:p w14:paraId="1531A07C" w14:textId="77777777" w:rsidR="00F87E58" w:rsidRPr="002B636D" w:rsidRDefault="00F87E58" w:rsidP="00F87E58">
            <w:pPr>
              <w:pStyle w:val="cuatexto"/>
              <w:jc w:val="right"/>
              <w:rPr>
                <w:sz w:val="14"/>
                <w:szCs w:val="14"/>
              </w:rPr>
            </w:pPr>
            <w:r w:rsidRPr="002B636D">
              <w:rPr>
                <w:sz w:val="14"/>
                <w:szCs w:val="14"/>
              </w:rPr>
              <w:t> </w:t>
            </w:r>
          </w:p>
        </w:tc>
        <w:tc>
          <w:tcPr>
            <w:tcW w:w="1233"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2BE6805A" w14:textId="77777777" w:rsidR="00F87E58" w:rsidRPr="002B636D" w:rsidRDefault="00F87E58" w:rsidP="00F87E58">
            <w:pPr>
              <w:pStyle w:val="cuatexto"/>
              <w:jc w:val="right"/>
              <w:rPr>
                <w:sz w:val="14"/>
                <w:szCs w:val="14"/>
              </w:rPr>
            </w:pPr>
            <w:r w:rsidRPr="002B636D">
              <w:rPr>
                <w:sz w:val="14"/>
                <w:szCs w:val="14"/>
              </w:rPr>
              <w:t> </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44D6C53A" w14:textId="77777777" w:rsidR="00F87E58" w:rsidRPr="002B636D" w:rsidRDefault="00F87E58" w:rsidP="00F87E58">
            <w:pPr>
              <w:pStyle w:val="cuatexto"/>
              <w:jc w:val="right"/>
              <w:rPr>
                <w:sz w:val="14"/>
                <w:szCs w:val="14"/>
              </w:rPr>
            </w:pPr>
            <w:r w:rsidRPr="002B636D">
              <w:rPr>
                <w:sz w:val="14"/>
                <w:szCs w:val="14"/>
              </w:rPr>
              <w:t> </w:t>
            </w:r>
          </w:p>
        </w:tc>
        <w:tc>
          <w:tcPr>
            <w:tcW w:w="976"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7E591550" w14:textId="77777777" w:rsidR="00F87E58" w:rsidRPr="002B636D" w:rsidRDefault="00F87E58" w:rsidP="00F87E58">
            <w:pPr>
              <w:pStyle w:val="cuatexto"/>
              <w:jc w:val="right"/>
              <w:rPr>
                <w:sz w:val="14"/>
                <w:szCs w:val="14"/>
              </w:rPr>
            </w:pPr>
            <w:r w:rsidRPr="002B636D">
              <w:rPr>
                <w:sz w:val="14"/>
                <w:szCs w:val="14"/>
              </w:rPr>
              <w:t> </w:t>
            </w:r>
          </w:p>
        </w:tc>
        <w:tc>
          <w:tcPr>
            <w:tcW w:w="1257" w:type="dxa"/>
            <w:tcBorders>
              <w:top w:val="single" w:sz="4" w:space="0" w:color="auto"/>
              <w:left w:val="single" w:sz="2" w:space="0" w:color="auto"/>
              <w:bottom w:val="single" w:sz="4" w:space="0" w:color="auto"/>
              <w:right w:val="single" w:sz="2" w:space="0" w:color="auto"/>
            </w:tcBorders>
            <w:shd w:val="clear" w:color="auto" w:fill="auto"/>
            <w:noWrap/>
            <w:vAlign w:val="bottom"/>
            <w:hideMark/>
          </w:tcPr>
          <w:p w14:paraId="3A9396B3" w14:textId="77777777" w:rsidR="00F87E58" w:rsidRPr="002B636D" w:rsidRDefault="00F87E58" w:rsidP="00F87E58">
            <w:pPr>
              <w:pStyle w:val="cuatexto"/>
              <w:jc w:val="right"/>
              <w:rPr>
                <w:sz w:val="14"/>
                <w:szCs w:val="14"/>
              </w:rPr>
            </w:pPr>
            <w:r w:rsidRPr="002B636D">
              <w:rPr>
                <w:sz w:val="14"/>
                <w:szCs w:val="14"/>
              </w:rPr>
              <w:t>1.257.093</w:t>
            </w:r>
          </w:p>
        </w:tc>
        <w:tc>
          <w:tcPr>
            <w:tcW w:w="1982"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4B091596" w14:textId="77777777" w:rsidR="00F87E58" w:rsidRPr="002B636D" w:rsidRDefault="00F87E58" w:rsidP="00F87E58">
            <w:pPr>
              <w:pStyle w:val="cuatexto"/>
              <w:jc w:val="right"/>
              <w:rPr>
                <w:b/>
                <w:bCs/>
                <w:sz w:val="14"/>
                <w:szCs w:val="14"/>
              </w:rPr>
            </w:pPr>
            <w:r w:rsidRPr="002B636D">
              <w:rPr>
                <w:b/>
                <w:bCs/>
                <w:sz w:val="14"/>
                <w:szCs w:val="14"/>
              </w:rPr>
              <w:t>1.257.093</w:t>
            </w:r>
          </w:p>
        </w:tc>
        <w:tc>
          <w:tcPr>
            <w:tcW w:w="1395"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14:paraId="368DFD0D" w14:textId="77777777" w:rsidR="00F87E58" w:rsidRPr="002B636D" w:rsidRDefault="00F87E58" w:rsidP="00F87E58">
            <w:pPr>
              <w:pStyle w:val="cuatexto"/>
              <w:jc w:val="right"/>
              <w:rPr>
                <w:sz w:val="14"/>
                <w:szCs w:val="14"/>
              </w:rPr>
            </w:pPr>
            <w:r w:rsidRPr="002B636D">
              <w:rPr>
                <w:sz w:val="14"/>
                <w:szCs w:val="14"/>
              </w:rPr>
              <w:t> </w:t>
            </w:r>
          </w:p>
        </w:tc>
        <w:tc>
          <w:tcPr>
            <w:tcW w:w="1395" w:type="dxa"/>
            <w:tcBorders>
              <w:top w:val="single" w:sz="4" w:space="0" w:color="auto"/>
              <w:left w:val="single" w:sz="2" w:space="0" w:color="auto"/>
              <w:bottom w:val="single" w:sz="4" w:space="0" w:color="auto"/>
              <w:right w:val="single" w:sz="4" w:space="0" w:color="auto"/>
            </w:tcBorders>
            <w:shd w:val="clear" w:color="auto" w:fill="auto"/>
            <w:noWrap/>
            <w:vAlign w:val="center"/>
          </w:tcPr>
          <w:p w14:paraId="0031A23C" w14:textId="77777777" w:rsidR="00F87E58" w:rsidRPr="002B636D" w:rsidRDefault="00F87E58" w:rsidP="00F87E58">
            <w:pPr>
              <w:pStyle w:val="cuatexto"/>
              <w:jc w:val="right"/>
              <w:rPr>
                <w:sz w:val="14"/>
                <w:szCs w:val="14"/>
              </w:rPr>
            </w:pPr>
            <w:r w:rsidRPr="002B636D">
              <w:rPr>
                <w:sz w:val="14"/>
                <w:szCs w:val="14"/>
              </w:rPr>
              <w:t> </w:t>
            </w:r>
          </w:p>
        </w:tc>
        <w:tc>
          <w:tcPr>
            <w:tcW w:w="1255" w:type="dxa"/>
            <w:tcBorders>
              <w:top w:val="single" w:sz="4" w:space="0" w:color="auto"/>
              <w:left w:val="nil"/>
              <w:bottom w:val="single" w:sz="4" w:space="0" w:color="auto"/>
              <w:right w:val="single" w:sz="4" w:space="0" w:color="auto"/>
            </w:tcBorders>
            <w:shd w:val="clear" w:color="auto" w:fill="auto"/>
            <w:noWrap/>
            <w:vAlign w:val="bottom"/>
          </w:tcPr>
          <w:p w14:paraId="0B29885B" w14:textId="77777777" w:rsidR="00F87E58" w:rsidRPr="002B636D" w:rsidRDefault="00F87E58" w:rsidP="00F87E58">
            <w:pPr>
              <w:pStyle w:val="cuatexto"/>
              <w:jc w:val="right"/>
              <w:rPr>
                <w:sz w:val="14"/>
                <w:szCs w:val="14"/>
              </w:rPr>
            </w:pPr>
            <w:r w:rsidRPr="002B636D">
              <w:rPr>
                <w:sz w:val="14"/>
                <w:szCs w:val="14"/>
              </w:rPr>
              <w:t> </w:t>
            </w:r>
          </w:p>
        </w:tc>
        <w:tc>
          <w:tcPr>
            <w:tcW w:w="1395" w:type="dxa"/>
            <w:tcBorders>
              <w:top w:val="single" w:sz="4" w:space="0" w:color="auto"/>
              <w:left w:val="nil"/>
              <w:bottom w:val="single" w:sz="4" w:space="0" w:color="auto"/>
            </w:tcBorders>
            <w:shd w:val="clear" w:color="auto" w:fill="auto"/>
            <w:noWrap/>
            <w:vAlign w:val="bottom"/>
          </w:tcPr>
          <w:p w14:paraId="5360B325" w14:textId="77777777" w:rsidR="00F87E58" w:rsidRPr="002B636D" w:rsidRDefault="00F87E58" w:rsidP="00F87E58">
            <w:pPr>
              <w:pStyle w:val="cuatexto"/>
              <w:jc w:val="right"/>
              <w:rPr>
                <w:b/>
                <w:bCs/>
                <w:sz w:val="14"/>
                <w:szCs w:val="14"/>
              </w:rPr>
            </w:pPr>
            <w:r w:rsidRPr="002B636D">
              <w:rPr>
                <w:b/>
                <w:bCs/>
                <w:sz w:val="14"/>
                <w:szCs w:val="14"/>
              </w:rPr>
              <w:t> </w:t>
            </w:r>
          </w:p>
        </w:tc>
      </w:tr>
      <w:tr w:rsidR="00F87E58" w:rsidRPr="002B636D" w14:paraId="3525497F" w14:textId="77777777" w:rsidTr="00321B53">
        <w:trPr>
          <w:trHeight w:val="252"/>
          <w:jc w:val="center"/>
        </w:trPr>
        <w:tc>
          <w:tcPr>
            <w:tcW w:w="548" w:type="dxa"/>
            <w:tcBorders>
              <w:top w:val="single" w:sz="4" w:space="0" w:color="auto"/>
              <w:bottom w:val="single" w:sz="4" w:space="0" w:color="auto"/>
              <w:right w:val="single" w:sz="4" w:space="0" w:color="auto"/>
            </w:tcBorders>
            <w:shd w:val="clear" w:color="000000" w:fill="BDD7EE"/>
            <w:noWrap/>
            <w:vAlign w:val="center"/>
            <w:hideMark/>
          </w:tcPr>
          <w:p w14:paraId="1704F738" w14:textId="77777777" w:rsidR="00F87E58" w:rsidRPr="002B636D" w:rsidRDefault="00F87E58" w:rsidP="00F87E58">
            <w:pPr>
              <w:pStyle w:val="cuadroCabe"/>
              <w:jc w:val="left"/>
              <w:rPr>
                <w:sz w:val="12"/>
                <w:szCs w:val="12"/>
              </w:rPr>
            </w:pPr>
            <w:r w:rsidRPr="002B636D">
              <w:rPr>
                <w:sz w:val="12"/>
                <w:szCs w:val="12"/>
              </w:rPr>
              <w:t>Total</w:t>
            </w:r>
          </w:p>
        </w:tc>
        <w:tc>
          <w:tcPr>
            <w:tcW w:w="837" w:type="dxa"/>
            <w:tcBorders>
              <w:top w:val="single" w:sz="4" w:space="0" w:color="auto"/>
              <w:left w:val="nil"/>
              <w:bottom w:val="single" w:sz="4" w:space="0" w:color="auto"/>
              <w:right w:val="single" w:sz="4" w:space="0" w:color="auto"/>
            </w:tcBorders>
            <w:shd w:val="clear" w:color="000000" w:fill="BDD7EE"/>
            <w:noWrap/>
            <w:vAlign w:val="center"/>
            <w:hideMark/>
          </w:tcPr>
          <w:p w14:paraId="348CE747" w14:textId="77777777" w:rsidR="00F87E58" w:rsidRPr="002B636D" w:rsidRDefault="00F87E58" w:rsidP="00F87E58">
            <w:pPr>
              <w:pStyle w:val="cuadroCabe"/>
              <w:jc w:val="right"/>
              <w:rPr>
                <w:b/>
                <w:bCs/>
                <w:sz w:val="12"/>
                <w:szCs w:val="12"/>
              </w:rPr>
            </w:pPr>
            <w:r w:rsidRPr="002B636D">
              <w:rPr>
                <w:b/>
                <w:bCs/>
                <w:sz w:val="12"/>
                <w:szCs w:val="12"/>
              </w:rPr>
              <w:t>30.062.212</w:t>
            </w:r>
          </w:p>
        </w:tc>
        <w:tc>
          <w:tcPr>
            <w:tcW w:w="976" w:type="dxa"/>
            <w:tcBorders>
              <w:top w:val="single" w:sz="4" w:space="0" w:color="auto"/>
              <w:left w:val="nil"/>
              <w:bottom w:val="single" w:sz="4" w:space="0" w:color="auto"/>
              <w:right w:val="single" w:sz="4" w:space="0" w:color="auto"/>
            </w:tcBorders>
            <w:shd w:val="clear" w:color="000000" w:fill="BDD7EE"/>
            <w:noWrap/>
            <w:vAlign w:val="center"/>
            <w:hideMark/>
          </w:tcPr>
          <w:p w14:paraId="1C9150A8" w14:textId="77777777" w:rsidR="00F87E58" w:rsidRPr="002B636D" w:rsidRDefault="00F87E58" w:rsidP="00F87E58">
            <w:pPr>
              <w:pStyle w:val="cuadroCabe"/>
              <w:jc w:val="right"/>
              <w:rPr>
                <w:b/>
                <w:bCs/>
                <w:sz w:val="12"/>
                <w:szCs w:val="12"/>
              </w:rPr>
            </w:pPr>
            <w:r w:rsidRPr="002B636D">
              <w:rPr>
                <w:b/>
                <w:bCs/>
                <w:sz w:val="12"/>
                <w:szCs w:val="12"/>
              </w:rPr>
              <w:t>17.173.704</w:t>
            </w:r>
          </w:p>
        </w:tc>
        <w:tc>
          <w:tcPr>
            <w:tcW w:w="861" w:type="dxa"/>
            <w:tcBorders>
              <w:top w:val="single" w:sz="4" w:space="0" w:color="auto"/>
              <w:left w:val="nil"/>
              <w:bottom w:val="single" w:sz="4" w:space="0" w:color="auto"/>
              <w:right w:val="single" w:sz="2" w:space="0" w:color="auto"/>
            </w:tcBorders>
            <w:shd w:val="clear" w:color="000000" w:fill="BDD7EE"/>
            <w:noWrap/>
            <w:vAlign w:val="center"/>
            <w:hideMark/>
          </w:tcPr>
          <w:p w14:paraId="0DD009E9" w14:textId="77777777" w:rsidR="00F87E58" w:rsidRPr="002B636D" w:rsidRDefault="00F87E58" w:rsidP="00F87E58">
            <w:pPr>
              <w:pStyle w:val="cuadroCabe"/>
              <w:jc w:val="right"/>
              <w:rPr>
                <w:b/>
                <w:bCs/>
                <w:sz w:val="12"/>
                <w:szCs w:val="12"/>
              </w:rPr>
            </w:pPr>
            <w:r w:rsidRPr="002B636D">
              <w:rPr>
                <w:b/>
                <w:bCs/>
                <w:sz w:val="12"/>
                <w:szCs w:val="12"/>
              </w:rPr>
              <w:t>27.204.536</w:t>
            </w:r>
          </w:p>
        </w:tc>
        <w:tc>
          <w:tcPr>
            <w:tcW w:w="1233"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0118F110" w14:textId="77777777" w:rsidR="00F87E58" w:rsidRPr="002B636D" w:rsidRDefault="00F87E58" w:rsidP="00F87E58">
            <w:pPr>
              <w:pStyle w:val="cuadroCabe"/>
              <w:jc w:val="right"/>
              <w:rPr>
                <w:b/>
                <w:bCs/>
                <w:sz w:val="12"/>
                <w:szCs w:val="12"/>
              </w:rPr>
            </w:pPr>
            <w:r w:rsidRPr="002B636D">
              <w:rPr>
                <w:b/>
                <w:bCs/>
                <w:sz w:val="12"/>
                <w:szCs w:val="12"/>
              </w:rPr>
              <w:t>74.440.452</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34E495E1" w14:textId="77777777" w:rsidR="00F87E58" w:rsidRPr="002B636D" w:rsidRDefault="00F87E58" w:rsidP="00F87E58">
            <w:pPr>
              <w:pStyle w:val="cuadroCabe"/>
              <w:jc w:val="right"/>
              <w:rPr>
                <w:b/>
                <w:bCs/>
                <w:sz w:val="12"/>
                <w:szCs w:val="12"/>
              </w:rPr>
            </w:pPr>
            <w:r w:rsidRPr="002B636D">
              <w:rPr>
                <w:b/>
                <w:bCs/>
                <w:sz w:val="12"/>
                <w:szCs w:val="12"/>
              </w:rPr>
              <w:t>3.571.923</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4056B2E1" w14:textId="77777777" w:rsidR="00F87E58" w:rsidRPr="002B636D" w:rsidRDefault="00F87E58" w:rsidP="00F87E58">
            <w:pPr>
              <w:pStyle w:val="cuadroCabe"/>
              <w:jc w:val="right"/>
              <w:rPr>
                <w:b/>
                <w:bCs/>
                <w:sz w:val="12"/>
                <w:szCs w:val="12"/>
              </w:rPr>
            </w:pPr>
            <w:r w:rsidRPr="002B636D">
              <w:rPr>
                <w:b/>
                <w:bCs/>
                <w:sz w:val="12"/>
                <w:szCs w:val="12"/>
              </w:rPr>
              <w:t>284.762</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5919346C" w14:textId="77777777" w:rsidR="00F87E58" w:rsidRPr="00AA16A6" w:rsidRDefault="00D843C7" w:rsidP="00F87E58">
            <w:pPr>
              <w:pStyle w:val="cuadroCabe"/>
              <w:jc w:val="right"/>
              <w:rPr>
                <w:b/>
                <w:bCs/>
                <w:sz w:val="12"/>
                <w:szCs w:val="12"/>
              </w:rPr>
            </w:pPr>
            <w:r w:rsidRPr="00AA16A6">
              <w:rPr>
                <w:b/>
                <w:bCs/>
                <w:sz w:val="12"/>
                <w:szCs w:val="12"/>
              </w:rPr>
              <w:t>1.364.400</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36FCEAC0" w14:textId="77777777" w:rsidR="00F87E58" w:rsidRPr="00AA16A6" w:rsidRDefault="00F87E58" w:rsidP="00F87E58">
            <w:pPr>
              <w:pStyle w:val="cuadroCabe"/>
              <w:jc w:val="right"/>
              <w:rPr>
                <w:b/>
                <w:bCs/>
                <w:sz w:val="12"/>
                <w:szCs w:val="12"/>
              </w:rPr>
            </w:pPr>
            <w:r w:rsidRPr="00AA16A6">
              <w:rPr>
                <w:b/>
                <w:bCs/>
                <w:sz w:val="12"/>
                <w:szCs w:val="12"/>
              </w:rPr>
              <w:t>79.361.541</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center"/>
            <w:hideMark/>
          </w:tcPr>
          <w:p w14:paraId="1FC6A796" w14:textId="77777777" w:rsidR="00F87E58" w:rsidRPr="002B636D" w:rsidRDefault="00F87E58" w:rsidP="00F87E58">
            <w:pPr>
              <w:pStyle w:val="cuadroCabe"/>
              <w:jc w:val="right"/>
              <w:rPr>
                <w:b/>
                <w:bCs/>
                <w:sz w:val="12"/>
                <w:szCs w:val="12"/>
              </w:rPr>
            </w:pPr>
            <w:r w:rsidRPr="002B636D">
              <w:rPr>
                <w:b/>
                <w:bCs/>
                <w:sz w:val="12"/>
                <w:szCs w:val="12"/>
              </w:rPr>
              <w:t>79.361.541</w:t>
            </w:r>
          </w:p>
        </w:tc>
        <w:tc>
          <w:tcPr>
            <w:tcW w:w="1395" w:type="dxa"/>
            <w:tcBorders>
              <w:top w:val="single" w:sz="4" w:space="0" w:color="auto"/>
              <w:left w:val="single" w:sz="2" w:space="0" w:color="auto"/>
              <w:bottom w:val="single" w:sz="4" w:space="0" w:color="auto"/>
              <w:right w:val="single" w:sz="4" w:space="0" w:color="auto"/>
            </w:tcBorders>
            <w:shd w:val="clear" w:color="000000" w:fill="BDD7EE"/>
            <w:noWrap/>
            <w:vAlign w:val="center"/>
          </w:tcPr>
          <w:p w14:paraId="2317E52F" w14:textId="77777777" w:rsidR="00F87E58" w:rsidRPr="002B636D" w:rsidRDefault="00F87E58" w:rsidP="00F87E58">
            <w:pPr>
              <w:pStyle w:val="cuadroCabe"/>
              <w:jc w:val="right"/>
              <w:rPr>
                <w:b/>
                <w:bCs/>
                <w:sz w:val="12"/>
                <w:szCs w:val="12"/>
              </w:rPr>
            </w:pPr>
            <w:r w:rsidRPr="002B636D">
              <w:rPr>
                <w:b/>
                <w:bCs/>
                <w:sz w:val="12"/>
                <w:szCs w:val="12"/>
              </w:rPr>
              <w:t>56.795.000</w:t>
            </w:r>
          </w:p>
        </w:tc>
        <w:tc>
          <w:tcPr>
            <w:tcW w:w="1255" w:type="dxa"/>
            <w:tcBorders>
              <w:top w:val="single" w:sz="4" w:space="0" w:color="auto"/>
              <w:left w:val="nil"/>
              <w:bottom w:val="single" w:sz="4" w:space="0" w:color="auto"/>
              <w:right w:val="single" w:sz="8" w:space="0" w:color="auto"/>
            </w:tcBorders>
            <w:shd w:val="clear" w:color="000000" w:fill="BDD7EE"/>
            <w:noWrap/>
            <w:vAlign w:val="bottom"/>
          </w:tcPr>
          <w:p w14:paraId="66BFFEAF" w14:textId="77777777" w:rsidR="00F87E58" w:rsidRPr="002B636D" w:rsidRDefault="00F87E58" w:rsidP="00F87E58">
            <w:pPr>
              <w:pStyle w:val="cuadroCabe"/>
              <w:jc w:val="right"/>
              <w:rPr>
                <w:b/>
                <w:bCs/>
                <w:sz w:val="12"/>
                <w:szCs w:val="12"/>
              </w:rPr>
            </w:pPr>
            <w:r w:rsidRPr="002B636D">
              <w:rPr>
                <w:b/>
                <w:bCs/>
                <w:sz w:val="12"/>
                <w:szCs w:val="12"/>
              </w:rPr>
              <w:t>56.795.000</w:t>
            </w:r>
          </w:p>
        </w:tc>
        <w:tc>
          <w:tcPr>
            <w:tcW w:w="1395" w:type="dxa"/>
            <w:tcBorders>
              <w:top w:val="single" w:sz="4" w:space="0" w:color="auto"/>
              <w:left w:val="single" w:sz="4" w:space="0" w:color="auto"/>
              <w:bottom w:val="single" w:sz="4" w:space="0" w:color="auto"/>
            </w:tcBorders>
            <w:shd w:val="clear" w:color="000000" w:fill="BDD7EE"/>
            <w:noWrap/>
            <w:vAlign w:val="bottom"/>
          </w:tcPr>
          <w:p w14:paraId="6E9A6BC5" w14:textId="77777777" w:rsidR="00F87E58" w:rsidRPr="002B636D" w:rsidRDefault="00F87E58" w:rsidP="00F87E58">
            <w:pPr>
              <w:pStyle w:val="cuadroCabe"/>
              <w:jc w:val="right"/>
              <w:rPr>
                <w:b/>
                <w:bCs/>
                <w:sz w:val="12"/>
                <w:szCs w:val="12"/>
              </w:rPr>
            </w:pPr>
            <w:r w:rsidRPr="002B636D">
              <w:rPr>
                <w:b/>
                <w:bCs/>
                <w:sz w:val="12"/>
                <w:szCs w:val="12"/>
              </w:rPr>
              <w:t>22.566.541</w:t>
            </w:r>
          </w:p>
        </w:tc>
      </w:tr>
      <w:tr w:rsidR="00F87E58" w:rsidRPr="002B636D" w14:paraId="4C96F677" w14:textId="77777777" w:rsidTr="00321B53">
        <w:trPr>
          <w:trHeight w:val="252"/>
          <w:jc w:val="center"/>
        </w:trPr>
        <w:tc>
          <w:tcPr>
            <w:tcW w:w="4455" w:type="dxa"/>
            <w:gridSpan w:val="5"/>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2815A63" w14:textId="77777777" w:rsidR="00F87E58" w:rsidRPr="002B636D" w:rsidRDefault="00F87E58" w:rsidP="00F87E58">
            <w:pPr>
              <w:pStyle w:val="cuadroCabe"/>
              <w:jc w:val="right"/>
              <w:rPr>
                <w:b/>
                <w:bCs/>
                <w:sz w:val="12"/>
                <w:szCs w:val="12"/>
              </w:rPr>
            </w:pPr>
            <w:r w:rsidRPr="002B636D">
              <w:rPr>
                <w:b/>
                <w:bCs/>
                <w:sz w:val="12"/>
                <w:szCs w:val="12"/>
              </w:rPr>
              <w:t>TOTAL DESEMBOLSO PARTICIPACION CAPITAL+PRESTAMOS</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7756C38" w14:textId="77777777" w:rsidR="00F87E58" w:rsidRPr="002B636D" w:rsidRDefault="00F87E58" w:rsidP="00F87E58">
            <w:pPr>
              <w:pStyle w:val="cuadroCabe"/>
              <w:jc w:val="right"/>
              <w:rPr>
                <w:sz w:val="12"/>
                <w:szCs w:val="12"/>
              </w:rPr>
            </w:pPr>
            <w:r w:rsidRPr="002B636D">
              <w:rPr>
                <w:sz w:val="12"/>
                <w:szCs w:val="12"/>
              </w:rPr>
              <w:t> </w:t>
            </w:r>
          </w:p>
        </w:tc>
        <w:tc>
          <w:tcPr>
            <w:tcW w:w="976"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EC57BAF" w14:textId="77777777" w:rsidR="00F87E58" w:rsidRPr="002B636D" w:rsidRDefault="00F87E58" w:rsidP="00F87E58">
            <w:pPr>
              <w:pStyle w:val="cuadroCabe"/>
              <w:jc w:val="right"/>
              <w:rPr>
                <w:sz w:val="12"/>
                <w:szCs w:val="12"/>
              </w:rPr>
            </w:pPr>
            <w:r w:rsidRPr="002B636D">
              <w:rPr>
                <w:sz w:val="12"/>
                <w:szCs w:val="12"/>
              </w:rPr>
              <w:t> </w:t>
            </w:r>
          </w:p>
        </w:tc>
        <w:tc>
          <w:tcPr>
            <w:tcW w:w="1257"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1926AC2A" w14:textId="77777777" w:rsidR="00F87E58" w:rsidRPr="002B636D" w:rsidRDefault="00F87E58" w:rsidP="00F87E58">
            <w:pPr>
              <w:pStyle w:val="cuadroCabe"/>
              <w:jc w:val="right"/>
              <w:rPr>
                <w:sz w:val="12"/>
                <w:szCs w:val="12"/>
              </w:rPr>
            </w:pPr>
            <w:r w:rsidRPr="002B636D">
              <w:rPr>
                <w:sz w:val="12"/>
                <w:szCs w:val="12"/>
              </w:rPr>
              <w:t> </w:t>
            </w:r>
          </w:p>
        </w:tc>
        <w:tc>
          <w:tcPr>
            <w:tcW w:w="1982"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7BA77496" w14:textId="77777777" w:rsidR="00F87E58" w:rsidRPr="002B636D" w:rsidRDefault="00F87E58" w:rsidP="00F87E58">
            <w:pPr>
              <w:pStyle w:val="cuadroCabe"/>
              <w:jc w:val="right"/>
              <w:rPr>
                <w:b/>
                <w:bCs/>
                <w:sz w:val="12"/>
                <w:szCs w:val="12"/>
              </w:rPr>
            </w:pPr>
            <w:r w:rsidRPr="002B636D">
              <w:rPr>
                <w:b/>
                <w:bCs/>
                <w:sz w:val="12"/>
                <w:szCs w:val="12"/>
              </w:rPr>
              <w:t>83.411.541</w:t>
            </w:r>
          </w:p>
        </w:tc>
        <w:tc>
          <w:tcPr>
            <w:tcW w:w="1395" w:type="dxa"/>
            <w:tcBorders>
              <w:top w:val="single" w:sz="4" w:space="0" w:color="auto"/>
              <w:left w:val="single" w:sz="2" w:space="0" w:color="auto"/>
              <w:bottom w:val="single" w:sz="4" w:space="0" w:color="auto"/>
              <w:right w:val="single" w:sz="2" w:space="0" w:color="auto"/>
            </w:tcBorders>
            <w:shd w:val="clear" w:color="000000" w:fill="BDD7EE"/>
            <w:noWrap/>
            <w:vAlign w:val="bottom"/>
            <w:hideMark/>
          </w:tcPr>
          <w:p w14:paraId="62309A92"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single" w:sz="2" w:space="0" w:color="auto"/>
              <w:bottom w:val="single" w:sz="4" w:space="0" w:color="auto"/>
              <w:right w:val="nil"/>
            </w:tcBorders>
            <w:shd w:val="clear" w:color="000000" w:fill="BDD7EE"/>
            <w:noWrap/>
            <w:vAlign w:val="bottom"/>
            <w:hideMark/>
          </w:tcPr>
          <w:p w14:paraId="7DA6CB72" w14:textId="77777777" w:rsidR="00F87E58" w:rsidRPr="002B636D" w:rsidRDefault="00F87E58" w:rsidP="00F87E58">
            <w:pPr>
              <w:pStyle w:val="cuadroCabe"/>
              <w:jc w:val="right"/>
              <w:rPr>
                <w:sz w:val="12"/>
                <w:szCs w:val="12"/>
              </w:rPr>
            </w:pPr>
            <w:r w:rsidRPr="002B636D">
              <w:rPr>
                <w:sz w:val="12"/>
                <w:szCs w:val="12"/>
              </w:rPr>
              <w:t> </w:t>
            </w:r>
          </w:p>
        </w:tc>
        <w:tc>
          <w:tcPr>
            <w:tcW w:w="1255" w:type="dxa"/>
            <w:tcBorders>
              <w:top w:val="single" w:sz="4" w:space="0" w:color="auto"/>
              <w:left w:val="nil"/>
              <w:bottom w:val="single" w:sz="4" w:space="0" w:color="auto"/>
              <w:right w:val="nil"/>
            </w:tcBorders>
            <w:shd w:val="clear" w:color="000000" w:fill="BDD7EE"/>
            <w:noWrap/>
            <w:vAlign w:val="bottom"/>
            <w:hideMark/>
          </w:tcPr>
          <w:p w14:paraId="02D7D0A6" w14:textId="77777777" w:rsidR="00F87E58" w:rsidRPr="002B636D" w:rsidRDefault="00F87E58" w:rsidP="00F87E58">
            <w:pPr>
              <w:pStyle w:val="cuadroCabe"/>
              <w:jc w:val="right"/>
              <w:rPr>
                <w:sz w:val="12"/>
                <w:szCs w:val="12"/>
              </w:rPr>
            </w:pPr>
            <w:r w:rsidRPr="002B636D">
              <w:rPr>
                <w:sz w:val="12"/>
                <w:szCs w:val="12"/>
              </w:rPr>
              <w:t> </w:t>
            </w:r>
          </w:p>
        </w:tc>
        <w:tc>
          <w:tcPr>
            <w:tcW w:w="1395" w:type="dxa"/>
            <w:tcBorders>
              <w:top w:val="single" w:sz="4" w:space="0" w:color="auto"/>
              <w:left w:val="nil"/>
              <w:bottom w:val="single" w:sz="4" w:space="0" w:color="auto"/>
            </w:tcBorders>
            <w:shd w:val="clear" w:color="000000" w:fill="BDD7EE"/>
            <w:noWrap/>
            <w:vAlign w:val="bottom"/>
            <w:hideMark/>
          </w:tcPr>
          <w:p w14:paraId="2C6C2A13" w14:textId="77777777" w:rsidR="00F87E58" w:rsidRPr="002B636D" w:rsidRDefault="00F87E58" w:rsidP="00F87E58">
            <w:pPr>
              <w:pStyle w:val="cuadroCabe"/>
              <w:jc w:val="right"/>
              <w:rPr>
                <w:sz w:val="12"/>
                <w:szCs w:val="12"/>
              </w:rPr>
            </w:pPr>
            <w:r w:rsidRPr="002B636D">
              <w:rPr>
                <w:sz w:val="12"/>
                <w:szCs w:val="12"/>
              </w:rPr>
              <w:t> </w:t>
            </w:r>
          </w:p>
        </w:tc>
      </w:tr>
    </w:tbl>
    <w:p w14:paraId="567A22B9" w14:textId="77777777" w:rsidR="002076D6" w:rsidRDefault="002076D6" w:rsidP="00F87E58">
      <w:pPr>
        <w:pStyle w:val="texto"/>
        <w:sectPr w:rsidR="002076D6" w:rsidSect="004663EF">
          <w:headerReference w:type="even" r:id="rId17"/>
          <w:type w:val="oddPage"/>
          <w:pgSz w:w="16840" w:h="11907" w:orient="landscape" w:code="9"/>
          <w:pgMar w:top="1559" w:right="2109" w:bottom="1559" w:left="1644" w:header="369" w:footer="136" w:gutter="0"/>
          <w:cols w:space="720"/>
          <w:docGrid w:linePitch="360"/>
        </w:sectPr>
      </w:pPr>
    </w:p>
    <w:p w14:paraId="2692F7D6" w14:textId="77777777" w:rsidR="00F87E58" w:rsidRDefault="00F87E58" w:rsidP="00F87E58">
      <w:pPr>
        <w:pStyle w:val="texto"/>
      </w:pPr>
      <w:r>
        <w:lastRenderedPageBreak/>
        <w:t>Sobre la información que se refleja en el cuadro, destacamos varias cuestiones:</w:t>
      </w:r>
    </w:p>
    <w:p w14:paraId="6F3AA468" w14:textId="77777777" w:rsidR="00F87E58" w:rsidRDefault="00F87E58" w:rsidP="00F87E58">
      <w:pPr>
        <w:pStyle w:val="atitulo3"/>
        <w:spacing w:before="240"/>
      </w:pPr>
      <w:r>
        <w:t>Destino de los préstamos</w:t>
      </w:r>
    </w:p>
    <w:p w14:paraId="37C2178D"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sidRPr="006A217C">
        <w:rPr>
          <w:szCs w:val="26"/>
        </w:rPr>
        <w:t>En el periodo 2005 a 201</w:t>
      </w:r>
      <w:r>
        <w:rPr>
          <w:szCs w:val="26"/>
        </w:rPr>
        <w:t xml:space="preserve">8 </w:t>
      </w:r>
      <w:r w:rsidRPr="006A217C">
        <w:rPr>
          <w:szCs w:val="26"/>
        </w:rPr>
        <w:t xml:space="preserve">se </w:t>
      </w:r>
      <w:r>
        <w:rPr>
          <w:szCs w:val="26"/>
        </w:rPr>
        <w:t xml:space="preserve">ha </w:t>
      </w:r>
      <w:r w:rsidRPr="006A217C">
        <w:rPr>
          <w:szCs w:val="26"/>
        </w:rPr>
        <w:t>financia</w:t>
      </w:r>
      <w:r>
        <w:rPr>
          <w:szCs w:val="26"/>
        </w:rPr>
        <w:t>do</w:t>
      </w:r>
      <w:r w:rsidRPr="006A217C">
        <w:rPr>
          <w:szCs w:val="26"/>
        </w:rPr>
        <w:t xml:space="preserve"> </w:t>
      </w:r>
      <w:r w:rsidRPr="00950ECD">
        <w:rPr>
          <w:szCs w:val="26"/>
        </w:rPr>
        <w:t xml:space="preserve">únicamente la deuda </w:t>
      </w:r>
      <w:r>
        <w:rPr>
          <w:szCs w:val="26"/>
        </w:rPr>
        <w:t xml:space="preserve">financiera </w:t>
      </w:r>
      <w:r w:rsidRPr="00950ECD">
        <w:rPr>
          <w:szCs w:val="26"/>
        </w:rPr>
        <w:t>de Parquenasa</w:t>
      </w:r>
      <w:r w:rsidRPr="00950ECD">
        <w:rPr>
          <w:rStyle w:val="Refdenotaalpie"/>
          <w:rFonts w:eastAsia="Calibri"/>
          <w:szCs w:val="26"/>
        </w:rPr>
        <w:footnoteReference w:id="12"/>
      </w:r>
      <w:r w:rsidRPr="00950ECD">
        <w:rPr>
          <w:szCs w:val="26"/>
        </w:rPr>
        <w:t xml:space="preserve"> (principal e intereses), inversiones de mantenimiento/re</w:t>
      </w:r>
      <w:r w:rsidRPr="006A217C">
        <w:rPr>
          <w:szCs w:val="26"/>
        </w:rPr>
        <w:t>posición y déficit de tesorería de la actividad ordinaria</w:t>
      </w:r>
      <w:r>
        <w:rPr>
          <w:szCs w:val="26"/>
        </w:rPr>
        <w:t xml:space="preserve">, </w:t>
      </w:r>
      <w:r w:rsidRPr="006A217C">
        <w:rPr>
          <w:szCs w:val="26"/>
        </w:rPr>
        <w:t>siendo 2018 el último</w:t>
      </w:r>
      <w:r>
        <w:rPr>
          <w:szCs w:val="26"/>
        </w:rPr>
        <w:t xml:space="preserve"> ejercicio de existencia de deuda bancaria. </w:t>
      </w:r>
    </w:p>
    <w:p w14:paraId="2C0E5A1C" w14:textId="77777777" w:rsidR="00F87E58" w:rsidRPr="00395FA4"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sidRPr="00395FA4">
        <w:rPr>
          <w:szCs w:val="26"/>
        </w:rPr>
        <w:t xml:space="preserve">A partir del ejercicio 2019 </w:t>
      </w:r>
      <w:r w:rsidRPr="00E52DFC">
        <w:rPr>
          <w:rFonts w:cs="Arial"/>
        </w:rPr>
        <w:t>s</w:t>
      </w:r>
      <w:r w:rsidR="00F14A77">
        <w:rPr>
          <w:rFonts w:cs="Arial"/>
        </w:rPr>
        <w:t>o</w:t>
      </w:r>
      <w:r w:rsidRPr="00E52DFC">
        <w:rPr>
          <w:rFonts w:cs="Arial"/>
        </w:rPr>
        <w:t>lo</w:t>
      </w:r>
      <w:r>
        <w:rPr>
          <w:szCs w:val="26"/>
        </w:rPr>
        <w:t xml:space="preserve"> se financia</w:t>
      </w:r>
      <w:r w:rsidR="00F14A77">
        <w:rPr>
          <w:szCs w:val="26"/>
        </w:rPr>
        <w:t>n</w:t>
      </w:r>
      <w:r w:rsidRPr="00395FA4">
        <w:rPr>
          <w:szCs w:val="26"/>
        </w:rPr>
        <w:t xml:space="preserve"> inversiones de mantenimiento/reposición y déficit de tesorería de la actividad ordinar</w:t>
      </w:r>
      <w:r>
        <w:rPr>
          <w:szCs w:val="26"/>
        </w:rPr>
        <w:t xml:space="preserve">ia. No obstante, en 2019 se aprobó </w:t>
      </w:r>
      <w:r w:rsidRPr="00395FA4">
        <w:rPr>
          <w:szCs w:val="26"/>
        </w:rPr>
        <w:t>un plan de inversiones</w:t>
      </w:r>
      <w:r w:rsidR="00F14A77">
        <w:rPr>
          <w:szCs w:val="26"/>
        </w:rPr>
        <w:t xml:space="preserve"> entre</w:t>
      </w:r>
      <w:r w:rsidRPr="00395FA4">
        <w:rPr>
          <w:szCs w:val="26"/>
        </w:rPr>
        <w:t xml:space="preserve"> 2020 a 2022</w:t>
      </w:r>
      <w:bookmarkStart w:id="31" w:name="TMB1288073161"/>
      <w:bookmarkStart w:id="32" w:name="TMB987682705"/>
      <w:bookmarkEnd w:id="31"/>
      <w:bookmarkEnd w:id="32"/>
      <w:r w:rsidRPr="00395FA4">
        <w:rPr>
          <w:szCs w:val="26"/>
        </w:rPr>
        <w:t xml:space="preserve">, contemplado en el Plan Estratégico </w:t>
      </w:r>
      <w:r w:rsidR="00F14A77">
        <w:rPr>
          <w:szCs w:val="26"/>
        </w:rPr>
        <w:t>del mismo período</w:t>
      </w:r>
      <w:r>
        <w:rPr>
          <w:rStyle w:val="Refdenotaalpie"/>
          <w:rFonts w:eastAsia="Calibri"/>
          <w:szCs w:val="26"/>
        </w:rPr>
        <w:footnoteReference w:id="13"/>
      </w:r>
      <w:r w:rsidR="00F14A77">
        <w:rPr>
          <w:szCs w:val="26"/>
        </w:rPr>
        <w:t xml:space="preserve">. Por ello, </w:t>
      </w:r>
      <w:r>
        <w:rPr>
          <w:szCs w:val="26"/>
        </w:rPr>
        <w:t xml:space="preserve">a partir de 2020, se </w:t>
      </w:r>
      <w:r w:rsidRPr="00395FA4">
        <w:rPr>
          <w:szCs w:val="26"/>
        </w:rPr>
        <w:t>financia</w:t>
      </w:r>
      <w:r w:rsidR="00F14A77">
        <w:rPr>
          <w:szCs w:val="26"/>
        </w:rPr>
        <w:t>n también</w:t>
      </w:r>
      <w:r w:rsidRPr="00395FA4">
        <w:rPr>
          <w:szCs w:val="26"/>
        </w:rPr>
        <w:t xml:space="preserve"> inversiones acogidas a</w:t>
      </w:r>
      <w:r>
        <w:rPr>
          <w:szCs w:val="26"/>
        </w:rPr>
        <w:t>l citado plan</w:t>
      </w:r>
      <w:r w:rsidR="00F14A77">
        <w:rPr>
          <w:szCs w:val="26"/>
        </w:rPr>
        <w:t>. E</w:t>
      </w:r>
      <w:r>
        <w:rPr>
          <w:szCs w:val="26"/>
        </w:rPr>
        <w:t>n concreto</w:t>
      </w:r>
      <w:r w:rsidR="00F14A77">
        <w:rPr>
          <w:szCs w:val="26"/>
        </w:rPr>
        <w:t>,</w:t>
      </w:r>
      <w:r>
        <w:rPr>
          <w:szCs w:val="26"/>
        </w:rPr>
        <w:t xml:space="preserve"> 3,8 millones, de los que 0,3 millones se han destinado a la reapertura tras el incendio. </w:t>
      </w:r>
    </w:p>
    <w:p w14:paraId="3DA3AE80"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 xml:space="preserve">En el ejercicio 2022, el </w:t>
      </w:r>
      <w:r w:rsidRPr="00E52DFC">
        <w:rPr>
          <w:rFonts w:cs="Arial"/>
        </w:rPr>
        <w:t>parque</w:t>
      </w:r>
      <w:r>
        <w:rPr>
          <w:szCs w:val="26"/>
        </w:rPr>
        <w:t xml:space="preserve"> sufrió un incendio, lo que provocó la necesidad de realizar inversiones que necesitaron de financiación específica</w:t>
      </w:r>
      <w:r w:rsidR="00E77A75">
        <w:rPr>
          <w:szCs w:val="26"/>
        </w:rPr>
        <w:t>. Fueron</w:t>
      </w:r>
      <w:r>
        <w:rPr>
          <w:szCs w:val="26"/>
        </w:rPr>
        <w:t xml:space="preserve"> 1,5 millones, de los que se han desembolsado 0,11 millones en 2022 y 1,26 millones hasta junio de 2023. </w:t>
      </w:r>
    </w:p>
    <w:p w14:paraId="4B6A4588" w14:textId="77777777" w:rsidR="00F87E58" w:rsidRPr="00E85E61" w:rsidRDefault="00F87E58" w:rsidP="00F87E58">
      <w:pPr>
        <w:pStyle w:val="atitulo3"/>
        <w:spacing w:before="240"/>
        <w:rPr>
          <w:sz w:val="26"/>
        </w:rPr>
      </w:pPr>
      <w:r w:rsidRPr="00E85E61">
        <w:rPr>
          <w:sz w:val="26"/>
        </w:rPr>
        <w:t>Vencimiento de los préstamos</w:t>
      </w:r>
    </w:p>
    <w:p w14:paraId="46FA54DD" w14:textId="77777777" w:rsidR="00F87E58" w:rsidRDefault="00F87E58" w:rsidP="00F87E58">
      <w:pPr>
        <w:pStyle w:val="texto"/>
        <w:spacing w:after="120"/>
        <w:rPr>
          <w:rFonts w:cs="Arial"/>
        </w:rPr>
      </w:pPr>
      <w:r>
        <w:t xml:space="preserve">El vencimiento de los préstamos concedidos por Sodena se refleja en el siguiente cuadro:  </w:t>
      </w:r>
      <w:r>
        <w:rPr>
          <w:rFonts w:cs="Arial"/>
        </w:rPr>
        <w:tab/>
      </w:r>
    </w:p>
    <w:p w14:paraId="0C966FB1" w14:textId="77777777" w:rsidR="00F87E58" w:rsidRDefault="00F87E58" w:rsidP="00F87E58">
      <w:pPr>
        <w:pStyle w:val="texto"/>
        <w:spacing w:after="120"/>
        <w:rPr>
          <w:rFonts w:cs="Arial"/>
        </w:rPr>
      </w:pPr>
      <w:r>
        <w:rPr>
          <w:rFonts w:ascii="Arial Narrow" w:hAnsi="Arial Narrow" w:cs="Calibri"/>
          <w:color w:val="000000"/>
          <w:spacing w:val="0"/>
          <w:sz w:val="20"/>
          <w:szCs w:val="20"/>
          <w:lang w:eastAsia="es-ES"/>
        </w:rPr>
        <w:t xml:space="preserve">                                                                                                                                                                          </w:t>
      </w:r>
      <w:r w:rsidRPr="00806976">
        <w:rPr>
          <w:rFonts w:ascii="Arial Narrow" w:hAnsi="Arial Narrow" w:cs="Calibri"/>
          <w:color w:val="000000"/>
          <w:spacing w:val="0"/>
          <w:sz w:val="20"/>
          <w:szCs w:val="20"/>
          <w:lang w:eastAsia="es-ES"/>
        </w:rPr>
        <w:t>(</w:t>
      </w:r>
      <w:r>
        <w:rPr>
          <w:rFonts w:ascii="Arial Narrow" w:hAnsi="Arial Narrow" w:cs="Calibri"/>
          <w:color w:val="000000"/>
          <w:spacing w:val="0"/>
          <w:sz w:val="20"/>
          <w:szCs w:val="20"/>
          <w:lang w:eastAsia="es-ES"/>
        </w:rPr>
        <w:t xml:space="preserve">en </w:t>
      </w:r>
      <w:r w:rsidRPr="00806976">
        <w:rPr>
          <w:rFonts w:ascii="Arial Narrow" w:hAnsi="Arial Narrow" w:cs="Calibri"/>
          <w:color w:val="000000"/>
          <w:spacing w:val="0"/>
          <w:sz w:val="20"/>
          <w:szCs w:val="20"/>
          <w:lang w:eastAsia="es-ES"/>
        </w:rPr>
        <w:t>miles)</w:t>
      </w:r>
    </w:p>
    <w:tbl>
      <w:tblPr>
        <w:tblW w:w="8789" w:type="dxa"/>
        <w:tblCellMar>
          <w:left w:w="70" w:type="dxa"/>
          <w:right w:w="70" w:type="dxa"/>
        </w:tblCellMar>
        <w:tblLook w:val="04A0" w:firstRow="1" w:lastRow="0" w:firstColumn="1" w:lastColumn="0" w:noHBand="0" w:noVBand="1"/>
      </w:tblPr>
      <w:tblGrid>
        <w:gridCol w:w="2694"/>
        <w:gridCol w:w="1417"/>
        <w:gridCol w:w="1418"/>
        <w:gridCol w:w="1417"/>
        <w:gridCol w:w="709"/>
        <w:gridCol w:w="1134"/>
      </w:tblGrid>
      <w:tr w:rsidR="00F87E58" w:rsidRPr="000C5B18" w14:paraId="2D1E5F65" w14:textId="77777777" w:rsidTr="00F87E58">
        <w:trPr>
          <w:trHeight w:val="255"/>
        </w:trPr>
        <w:tc>
          <w:tcPr>
            <w:tcW w:w="2694" w:type="dxa"/>
            <w:tcBorders>
              <w:top w:val="single" w:sz="4" w:space="0" w:color="auto"/>
              <w:left w:val="nil"/>
              <w:bottom w:val="single" w:sz="4" w:space="0" w:color="auto"/>
              <w:right w:val="nil"/>
            </w:tcBorders>
            <w:shd w:val="clear" w:color="000000" w:fill="9CC2E5"/>
            <w:noWrap/>
            <w:vAlign w:val="center"/>
            <w:hideMark/>
          </w:tcPr>
          <w:p w14:paraId="02477EC5" w14:textId="77777777" w:rsidR="00F87E58" w:rsidRPr="000C5B18" w:rsidRDefault="00F87E58" w:rsidP="00F87E58">
            <w:pPr>
              <w:spacing w:after="0"/>
              <w:ind w:firstLine="0"/>
              <w:jc w:val="left"/>
              <w:rPr>
                <w:rFonts w:ascii="Arial" w:hAnsi="Arial" w:cs="Arial"/>
                <w:color w:val="000000"/>
                <w:sz w:val="18"/>
                <w:szCs w:val="18"/>
                <w:lang w:val="es-ES" w:eastAsia="es-ES"/>
              </w:rPr>
            </w:pPr>
            <w:r w:rsidRPr="000C5B18">
              <w:rPr>
                <w:rFonts w:ascii="Arial" w:hAnsi="Arial" w:cs="Arial"/>
                <w:color w:val="000000"/>
                <w:sz w:val="18"/>
                <w:szCs w:val="18"/>
                <w:lang w:eastAsia="es-ES"/>
              </w:rPr>
              <w:t> </w:t>
            </w:r>
          </w:p>
        </w:tc>
        <w:tc>
          <w:tcPr>
            <w:tcW w:w="1417" w:type="dxa"/>
            <w:tcBorders>
              <w:top w:val="single" w:sz="4" w:space="0" w:color="auto"/>
              <w:left w:val="nil"/>
              <w:bottom w:val="single" w:sz="4" w:space="0" w:color="auto"/>
              <w:right w:val="nil"/>
            </w:tcBorders>
            <w:shd w:val="clear" w:color="000000" w:fill="9CC2E5"/>
            <w:noWrap/>
            <w:vAlign w:val="center"/>
            <w:hideMark/>
          </w:tcPr>
          <w:p w14:paraId="0BD6F827"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eastAsia="es-ES"/>
              </w:rPr>
              <w:t>Concedido</w:t>
            </w:r>
          </w:p>
        </w:tc>
        <w:tc>
          <w:tcPr>
            <w:tcW w:w="1418" w:type="dxa"/>
            <w:tcBorders>
              <w:top w:val="single" w:sz="4" w:space="0" w:color="auto"/>
              <w:left w:val="nil"/>
              <w:bottom w:val="single" w:sz="4" w:space="0" w:color="auto"/>
              <w:right w:val="nil"/>
            </w:tcBorders>
            <w:shd w:val="clear" w:color="000000" w:fill="9CC2E5"/>
            <w:noWrap/>
            <w:vAlign w:val="center"/>
            <w:hideMark/>
          </w:tcPr>
          <w:p w14:paraId="50FAA691"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eastAsia="es-ES"/>
              </w:rPr>
              <w:t>Desembolsado 31/12/2022</w:t>
            </w:r>
          </w:p>
        </w:tc>
        <w:tc>
          <w:tcPr>
            <w:tcW w:w="1417" w:type="dxa"/>
            <w:tcBorders>
              <w:top w:val="single" w:sz="4" w:space="0" w:color="auto"/>
              <w:left w:val="nil"/>
              <w:bottom w:val="single" w:sz="4" w:space="0" w:color="auto"/>
              <w:right w:val="nil"/>
            </w:tcBorders>
            <w:shd w:val="clear" w:color="000000" w:fill="9CC2E5"/>
            <w:vAlign w:val="center"/>
          </w:tcPr>
          <w:p w14:paraId="3AD4F490"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eastAsia="es-ES"/>
              </w:rPr>
              <w:t>Desembolsado 31/06/2023</w:t>
            </w:r>
          </w:p>
        </w:tc>
        <w:tc>
          <w:tcPr>
            <w:tcW w:w="709" w:type="dxa"/>
            <w:tcBorders>
              <w:top w:val="single" w:sz="4" w:space="0" w:color="auto"/>
              <w:left w:val="nil"/>
              <w:bottom w:val="single" w:sz="4" w:space="0" w:color="auto"/>
              <w:right w:val="nil"/>
            </w:tcBorders>
            <w:shd w:val="clear" w:color="000000" w:fill="9CC2E5"/>
            <w:vAlign w:val="center"/>
            <w:hideMark/>
          </w:tcPr>
          <w:p w14:paraId="16B71873"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eastAsia="es-ES"/>
              </w:rPr>
              <w:t>Intereses</w:t>
            </w:r>
          </w:p>
        </w:tc>
        <w:tc>
          <w:tcPr>
            <w:tcW w:w="1134" w:type="dxa"/>
            <w:tcBorders>
              <w:top w:val="single" w:sz="4" w:space="0" w:color="auto"/>
              <w:left w:val="nil"/>
              <w:bottom w:val="single" w:sz="4" w:space="0" w:color="auto"/>
              <w:right w:val="nil"/>
            </w:tcBorders>
            <w:shd w:val="clear" w:color="000000" w:fill="9CC2E5"/>
            <w:noWrap/>
            <w:vAlign w:val="center"/>
            <w:hideMark/>
          </w:tcPr>
          <w:p w14:paraId="0931A8FB" w14:textId="77777777" w:rsidR="00F87E58" w:rsidRPr="000C5B18" w:rsidRDefault="00F87E58" w:rsidP="00F87E58">
            <w:pPr>
              <w:spacing w:after="0"/>
              <w:ind w:firstLine="0"/>
              <w:jc w:val="right"/>
              <w:rPr>
                <w:rFonts w:ascii="Arial" w:hAnsi="Arial" w:cs="Arial"/>
                <w:color w:val="000000"/>
                <w:sz w:val="18"/>
                <w:szCs w:val="18"/>
                <w:lang w:eastAsia="es-ES"/>
              </w:rPr>
            </w:pPr>
            <w:r w:rsidRPr="000C5B18">
              <w:rPr>
                <w:rFonts w:ascii="Arial" w:hAnsi="Arial" w:cs="Arial"/>
                <w:color w:val="000000"/>
                <w:sz w:val="18"/>
                <w:szCs w:val="18"/>
                <w:lang w:eastAsia="es-ES"/>
              </w:rPr>
              <w:t>Fecha</w:t>
            </w:r>
          </w:p>
          <w:p w14:paraId="512C574F"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eastAsia="es-ES"/>
              </w:rPr>
              <w:t>vencimiento</w:t>
            </w:r>
          </w:p>
        </w:tc>
      </w:tr>
      <w:tr w:rsidR="00F87E58" w:rsidRPr="00F80904" w14:paraId="7191E55E" w14:textId="77777777" w:rsidTr="00F87E58">
        <w:trPr>
          <w:trHeight w:val="198"/>
        </w:trPr>
        <w:tc>
          <w:tcPr>
            <w:tcW w:w="2694" w:type="dxa"/>
            <w:tcBorders>
              <w:top w:val="single" w:sz="4" w:space="0" w:color="auto"/>
              <w:left w:val="nil"/>
              <w:bottom w:val="single" w:sz="2" w:space="0" w:color="auto"/>
              <w:right w:val="nil"/>
            </w:tcBorders>
            <w:shd w:val="clear" w:color="auto" w:fill="auto"/>
            <w:vAlign w:val="center"/>
            <w:hideMark/>
          </w:tcPr>
          <w:p w14:paraId="013E7C8A" w14:textId="77777777" w:rsidR="00F87E58" w:rsidRPr="000C5B18" w:rsidRDefault="00F87E58" w:rsidP="00F87E58">
            <w:pPr>
              <w:spacing w:after="0"/>
              <w:ind w:firstLine="0"/>
              <w:jc w:val="lef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Préstamos 2005-2019 +2021+2022</w:t>
            </w:r>
          </w:p>
        </w:tc>
        <w:tc>
          <w:tcPr>
            <w:tcW w:w="1417" w:type="dxa"/>
            <w:tcBorders>
              <w:top w:val="single" w:sz="4" w:space="0" w:color="auto"/>
              <w:left w:val="nil"/>
              <w:bottom w:val="single" w:sz="2" w:space="0" w:color="auto"/>
              <w:right w:val="nil"/>
            </w:tcBorders>
            <w:shd w:val="clear" w:color="auto" w:fill="auto"/>
            <w:noWrap/>
            <w:vAlign w:val="center"/>
            <w:hideMark/>
          </w:tcPr>
          <w:p w14:paraId="553C5B40"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72.104</w:t>
            </w:r>
          </w:p>
        </w:tc>
        <w:tc>
          <w:tcPr>
            <w:tcW w:w="1418" w:type="dxa"/>
            <w:tcBorders>
              <w:top w:val="single" w:sz="4" w:space="0" w:color="auto"/>
              <w:left w:val="nil"/>
              <w:bottom w:val="single" w:sz="2" w:space="0" w:color="auto"/>
              <w:right w:val="nil"/>
            </w:tcBorders>
            <w:shd w:val="clear" w:color="auto" w:fill="auto"/>
            <w:noWrap/>
            <w:vAlign w:val="center"/>
            <w:hideMark/>
          </w:tcPr>
          <w:p w14:paraId="07858B09"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72.104</w:t>
            </w:r>
          </w:p>
        </w:tc>
        <w:tc>
          <w:tcPr>
            <w:tcW w:w="1417" w:type="dxa"/>
            <w:tcBorders>
              <w:top w:val="single" w:sz="4" w:space="0" w:color="auto"/>
              <w:left w:val="nil"/>
              <w:bottom w:val="single" w:sz="2" w:space="0" w:color="auto"/>
              <w:right w:val="nil"/>
            </w:tcBorders>
            <w:vAlign w:val="center"/>
          </w:tcPr>
          <w:p w14:paraId="29337C9D"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72.104</w:t>
            </w:r>
          </w:p>
        </w:tc>
        <w:tc>
          <w:tcPr>
            <w:tcW w:w="709" w:type="dxa"/>
            <w:tcBorders>
              <w:top w:val="single" w:sz="4" w:space="0" w:color="auto"/>
              <w:left w:val="nil"/>
              <w:bottom w:val="single" w:sz="2" w:space="0" w:color="auto"/>
              <w:right w:val="nil"/>
            </w:tcBorders>
            <w:shd w:val="clear" w:color="auto" w:fill="auto"/>
            <w:vAlign w:val="center"/>
            <w:hideMark/>
          </w:tcPr>
          <w:p w14:paraId="37404A2F"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25</w:t>
            </w:r>
          </w:p>
        </w:tc>
        <w:tc>
          <w:tcPr>
            <w:tcW w:w="1134" w:type="dxa"/>
            <w:tcBorders>
              <w:top w:val="single" w:sz="4" w:space="0" w:color="auto"/>
              <w:left w:val="nil"/>
              <w:bottom w:val="single" w:sz="2" w:space="0" w:color="auto"/>
              <w:right w:val="nil"/>
            </w:tcBorders>
            <w:shd w:val="clear" w:color="auto" w:fill="auto"/>
            <w:vAlign w:val="center"/>
            <w:hideMark/>
          </w:tcPr>
          <w:p w14:paraId="386ABAED"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15/03/2027</w:t>
            </w:r>
          </w:p>
        </w:tc>
      </w:tr>
      <w:tr w:rsidR="00F87E58" w:rsidRPr="00F80904" w14:paraId="0CB7F0D8" w14:textId="77777777" w:rsidTr="00F87E58">
        <w:trPr>
          <w:trHeight w:val="198"/>
        </w:trPr>
        <w:tc>
          <w:tcPr>
            <w:tcW w:w="2694" w:type="dxa"/>
            <w:tcBorders>
              <w:top w:val="single" w:sz="2" w:space="0" w:color="auto"/>
              <w:left w:val="nil"/>
              <w:bottom w:val="single" w:sz="2" w:space="0" w:color="auto"/>
              <w:right w:val="nil"/>
            </w:tcBorders>
            <w:shd w:val="clear" w:color="auto" w:fill="auto"/>
            <w:vAlign w:val="center"/>
            <w:hideMark/>
          </w:tcPr>
          <w:p w14:paraId="05194E19" w14:textId="77777777" w:rsidR="00F87E58" w:rsidRPr="000C5B18" w:rsidRDefault="00F87E58" w:rsidP="00F87E58">
            <w:pPr>
              <w:spacing w:after="0"/>
              <w:ind w:firstLine="0"/>
              <w:jc w:val="lef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Préstamo 2020 + Inversion</w:t>
            </w:r>
            <w:r>
              <w:rPr>
                <w:rFonts w:ascii="Arial Narrow" w:hAnsi="Arial Narrow" w:cs="Calibri"/>
                <w:color w:val="000000"/>
                <w:sz w:val="18"/>
                <w:szCs w:val="18"/>
                <w:lang w:eastAsia="es-ES"/>
              </w:rPr>
              <w:t>.</w:t>
            </w:r>
            <w:r w:rsidRPr="000C5B18">
              <w:rPr>
                <w:rFonts w:ascii="Arial Narrow" w:hAnsi="Arial Narrow" w:cs="Calibri"/>
                <w:color w:val="000000"/>
                <w:sz w:val="18"/>
                <w:szCs w:val="18"/>
                <w:lang w:eastAsia="es-ES"/>
              </w:rPr>
              <w:t>Plan Estratégico</w:t>
            </w:r>
          </w:p>
        </w:tc>
        <w:tc>
          <w:tcPr>
            <w:tcW w:w="1417" w:type="dxa"/>
            <w:tcBorders>
              <w:top w:val="single" w:sz="2" w:space="0" w:color="auto"/>
              <w:left w:val="nil"/>
              <w:bottom w:val="single" w:sz="2" w:space="0" w:color="auto"/>
              <w:right w:val="nil"/>
            </w:tcBorders>
            <w:shd w:val="clear" w:color="auto" w:fill="auto"/>
            <w:noWrap/>
            <w:vAlign w:val="center"/>
            <w:hideMark/>
          </w:tcPr>
          <w:p w14:paraId="36D5CDCE"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5.900</w:t>
            </w:r>
          </w:p>
        </w:tc>
        <w:tc>
          <w:tcPr>
            <w:tcW w:w="1418" w:type="dxa"/>
            <w:tcBorders>
              <w:top w:val="single" w:sz="2" w:space="0" w:color="auto"/>
              <w:left w:val="nil"/>
              <w:bottom w:val="single" w:sz="2" w:space="0" w:color="auto"/>
              <w:right w:val="nil"/>
            </w:tcBorders>
            <w:shd w:val="clear" w:color="auto" w:fill="auto"/>
            <w:noWrap/>
            <w:vAlign w:val="center"/>
            <w:hideMark/>
          </w:tcPr>
          <w:p w14:paraId="43451E92"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5.893</w:t>
            </w:r>
          </w:p>
        </w:tc>
        <w:tc>
          <w:tcPr>
            <w:tcW w:w="1417" w:type="dxa"/>
            <w:tcBorders>
              <w:top w:val="single" w:sz="2" w:space="0" w:color="auto"/>
              <w:left w:val="nil"/>
              <w:bottom w:val="single" w:sz="2" w:space="0" w:color="auto"/>
              <w:right w:val="nil"/>
            </w:tcBorders>
            <w:vAlign w:val="center"/>
          </w:tcPr>
          <w:p w14:paraId="4DB28C7F"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5.893</w:t>
            </w:r>
          </w:p>
        </w:tc>
        <w:tc>
          <w:tcPr>
            <w:tcW w:w="709" w:type="dxa"/>
            <w:tcBorders>
              <w:top w:val="single" w:sz="2" w:space="0" w:color="auto"/>
              <w:left w:val="nil"/>
              <w:bottom w:val="single" w:sz="2" w:space="0" w:color="auto"/>
              <w:right w:val="nil"/>
            </w:tcBorders>
            <w:shd w:val="clear" w:color="auto" w:fill="auto"/>
            <w:vAlign w:val="center"/>
            <w:hideMark/>
          </w:tcPr>
          <w:p w14:paraId="55C4CC96"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163</w:t>
            </w:r>
          </w:p>
        </w:tc>
        <w:tc>
          <w:tcPr>
            <w:tcW w:w="1134" w:type="dxa"/>
            <w:tcBorders>
              <w:top w:val="single" w:sz="2" w:space="0" w:color="auto"/>
              <w:left w:val="nil"/>
              <w:bottom w:val="single" w:sz="2" w:space="0" w:color="auto"/>
              <w:right w:val="nil"/>
            </w:tcBorders>
            <w:shd w:val="clear" w:color="auto" w:fill="auto"/>
            <w:vAlign w:val="center"/>
            <w:hideMark/>
          </w:tcPr>
          <w:p w14:paraId="79E97845"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31/05/2025</w:t>
            </w:r>
          </w:p>
        </w:tc>
      </w:tr>
      <w:tr w:rsidR="00F87E58" w:rsidRPr="00F80904" w14:paraId="7FA64873" w14:textId="77777777" w:rsidTr="00F87E58">
        <w:trPr>
          <w:trHeight w:val="198"/>
        </w:trPr>
        <w:tc>
          <w:tcPr>
            <w:tcW w:w="2694" w:type="dxa"/>
            <w:tcBorders>
              <w:top w:val="single" w:sz="2" w:space="0" w:color="auto"/>
              <w:left w:val="nil"/>
              <w:bottom w:val="single" w:sz="4" w:space="0" w:color="auto"/>
              <w:right w:val="nil"/>
            </w:tcBorders>
            <w:shd w:val="clear" w:color="auto" w:fill="auto"/>
            <w:vAlign w:val="center"/>
            <w:hideMark/>
          </w:tcPr>
          <w:p w14:paraId="079F5907" w14:textId="77777777" w:rsidR="00F87E58" w:rsidRPr="000C5B18" w:rsidRDefault="00F87E58" w:rsidP="00F87E58">
            <w:pPr>
              <w:spacing w:after="0"/>
              <w:ind w:firstLine="0"/>
              <w:jc w:val="lef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Préstamo incendio 2022</w:t>
            </w:r>
          </w:p>
        </w:tc>
        <w:tc>
          <w:tcPr>
            <w:tcW w:w="1417" w:type="dxa"/>
            <w:tcBorders>
              <w:top w:val="single" w:sz="2" w:space="0" w:color="auto"/>
              <w:left w:val="nil"/>
              <w:bottom w:val="single" w:sz="4" w:space="0" w:color="auto"/>
              <w:right w:val="nil"/>
            </w:tcBorders>
            <w:shd w:val="clear" w:color="auto" w:fill="auto"/>
            <w:noWrap/>
            <w:vAlign w:val="center"/>
            <w:hideMark/>
          </w:tcPr>
          <w:p w14:paraId="07270AC2"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1.500</w:t>
            </w:r>
          </w:p>
        </w:tc>
        <w:tc>
          <w:tcPr>
            <w:tcW w:w="1418" w:type="dxa"/>
            <w:tcBorders>
              <w:top w:val="single" w:sz="2" w:space="0" w:color="auto"/>
              <w:left w:val="nil"/>
              <w:bottom w:val="single" w:sz="4" w:space="0" w:color="auto"/>
              <w:right w:val="nil"/>
            </w:tcBorders>
            <w:shd w:val="clear" w:color="auto" w:fill="auto"/>
            <w:noWrap/>
            <w:vAlign w:val="center"/>
            <w:hideMark/>
          </w:tcPr>
          <w:p w14:paraId="7FD46434"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107</w:t>
            </w:r>
          </w:p>
        </w:tc>
        <w:tc>
          <w:tcPr>
            <w:tcW w:w="1417" w:type="dxa"/>
            <w:tcBorders>
              <w:top w:val="single" w:sz="2" w:space="0" w:color="auto"/>
              <w:left w:val="nil"/>
              <w:bottom w:val="single" w:sz="4" w:space="0" w:color="auto"/>
              <w:right w:val="nil"/>
            </w:tcBorders>
            <w:vAlign w:val="center"/>
          </w:tcPr>
          <w:p w14:paraId="121513C8"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val="es-ES" w:eastAsia="es-ES"/>
              </w:rPr>
              <w:t>1.364</w:t>
            </w:r>
          </w:p>
        </w:tc>
        <w:tc>
          <w:tcPr>
            <w:tcW w:w="709" w:type="dxa"/>
            <w:tcBorders>
              <w:top w:val="single" w:sz="2" w:space="0" w:color="auto"/>
              <w:left w:val="nil"/>
              <w:bottom w:val="single" w:sz="4" w:space="0" w:color="auto"/>
              <w:right w:val="nil"/>
            </w:tcBorders>
            <w:shd w:val="clear" w:color="auto" w:fill="auto"/>
            <w:vAlign w:val="center"/>
            <w:hideMark/>
          </w:tcPr>
          <w:p w14:paraId="4DA4A0EB"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 </w:t>
            </w:r>
          </w:p>
        </w:tc>
        <w:tc>
          <w:tcPr>
            <w:tcW w:w="1134" w:type="dxa"/>
            <w:tcBorders>
              <w:top w:val="single" w:sz="2" w:space="0" w:color="auto"/>
              <w:left w:val="nil"/>
              <w:bottom w:val="single" w:sz="4" w:space="0" w:color="auto"/>
              <w:right w:val="nil"/>
            </w:tcBorders>
            <w:shd w:val="clear" w:color="auto" w:fill="auto"/>
            <w:vAlign w:val="center"/>
            <w:hideMark/>
          </w:tcPr>
          <w:p w14:paraId="3FBE393A" w14:textId="77777777" w:rsidR="00F87E58" w:rsidRPr="000C5B18" w:rsidRDefault="00F87E58" w:rsidP="00F87E58">
            <w:pPr>
              <w:spacing w:after="0"/>
              <w:ind w:firstLine="0"/>
              <w:jc w:val="right"/>
              <w:rPr>
                <w:rFonts w:ascii="Arial Narrow" w:hAnsi="Arial Narrow" w:cs="Calibri"/>
                <w:color w:val="000000"/>
                <w:sz w:val="18"/>
                <w:szCs w:val="18"/>
                <w:lang w:val="es-ES" w:eastAsia="es-ES"/>
              </w:rPr>
            </w:pPr>
            <w:r w:rsidRPr="000C5B18">
              <w:rPr>
                <w:rFonts w:ascii="Arial Narrow" w:hAnsi="Arial Narrow" w:cs="Calibri"/>
                <w:color w:val="000000"/>
                <w:sz w:val="18"/>
                <w:szCs w:val="18"/>
                <w:lang w:eastAsia="es-ES"/>
              </w:rPr>
              <w:t>01/12/2034</w:t>
            </w:r>
          </w:p>
        </w:tc>
      </w:tr>
      <w:tr w:rsidR="00F87E58" w:rsidRPr="000C5B18" w14:paraId="52C753D4" w14:textId="77777777" w:rsidTr="00F87E58">
        <w:trPr>
          <w:trHeight w:val="255"/>
        </w:trPr>
        <w:tc>
          <w:tcPr>
            <w:tcW w:w="2694" w:type="dxa"/>
            <w:tcBorders>
              <w:top w:val="single" w:sz="4" w:space="0" w:color="auto"/>
              <w:left w:val="nil"/>
              <w:bottom w:val="single" w:sz="4" w:space="0" w:color="auto"/>
              <w:right w:val="nil"/>
            </w:tcBorders>
            <w:shd w:val="clear" w:color="000000" w:fill="9CC2E5"/>
            <w:vAlign w:val="center"/>
            <w:hideMark/>
          </w:tcPr>
          <w:p w14:paraId="29365093" w14:textId="77777777" w:rsidR="00F87E58" w:rsidRPr="000C5B18" w:rsidRDefault="00F87E58" w:rsidP="00F87E58">
            <w:pPr>
              <w:spacing w:after="0"/>
              <w:ind w:firstLine="0"/>
              <w:jc w:val="left"/>
              <w:rPr>
                <w:rFonts w:ascii="Arial" w:hAnsi="Arial" w:cs="Arial"/>
                <w:color w:val="000000"/>
                <w:sz w:val="18"/>
                <w:szCs w:val="18"/>
                <w:lang w:val="es-ES" w:eastAsia="es-ES"/>
              </w:rPr>
            </w:pPr>
            <w:r w:rsidRPr="000C5B18">
              <w:rPr>
                <w:rFonts w:ascii="Arial" w:hAnsi="Arial" w:cs="Arial"/>
                <w:color w:val="000000"/>
                <w:sz w:val="18"/>
                <w:szCs w:val="18"/>
                <w:lang w:eastAsia="es-ES"/>
              </w:rPr>
              <w:t> Total</w:t>
            </w:r>
          </w:p>
        </w:tc>
        <w:tc>
          <w:tcPr>
            <w:tcW w:w="1417" w:type="dxa"/>
            <w:tcBorders>
              <w:top w:val="single" w:sz="4" w:space="0" w:color="auto"/>
              <w:left w:val="nil"/>
              <w:bottom w:val="single" w:sz="4" w:space="0" w:color="auto"/>
              <w:right w:val="nil"/>
            </w:tcBorders>
            <w:shd w:val="clear" w:color="000000" w:fill="9CC2E5"/>
            <w:noWrap/>
            <w:vAlign w:val="center"/>
            <w:hideMark/>
          </w:tcPr>
          <w:p w14:paraId="23BDE75A"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eastAsia="es-ES"/>
              </w:rPr>
              <w:t>79.504</w:t>
            </w:r>
          </w:p>
        </w:tc>
        <w:tc>
          <w:tcPr>
            <w:tcW w:w="1418" w:type="dxa"/>
            <w:tcBorders>
              <w:top w:val="single" w:sz="4" w:space="0" w:color="auto"/>
              <w:left w:val="nil"/>
              <w:bottom w:val="single" w:sz="4" w:space="0" w:color="auto"/>
              <w:right w:val="nil"/>
            </w:tcBorders>
            <w:shd w:val="clear" w:color="000000" w:fill="9CC2E5"/>
            <w:noWrap/>
            <w:vAlign w:val="center"/>
            <w:hideMark/>
          </w:tcPr>
          <w:p w14:paraId="47613A44"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eastAsia="es-ES"/>
              </w:rPr>
              <w:t>78.104</w:t>
            </w:r>
          </w:p>
        </w:tc>
        <w:tc>
          <w:tcPr>
            <w:tcW w:w="1417" w:type="dxa"/>
            <w:tcBorders>
              <w:top w:val="single" w:sz="4" w:space="0" w:color="auto"/>
              <w:left w:val="nil"/>
              <w:bottom w:val="single" w:sz="4" w:space="0" w:color="auto"/>
              <w:right w:val="nil"/>
            </w:tcBorders>
            <w:shd w:val="clear" w:color="000000" w:fill="9CC2E5"/>
            <w:vAlign w:val="center"/>
          </w:tcPr>
          <w:p w14:paraId="780522FC"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val="es-ES" w:eastAsia="es-ES"/>
              </w:rPr>
              <w:t>79.361</w:t>
            </w:r>
          </w:p>
        </w:tc>
        <w:tc>
          <w:tcPr>
            <w:tcW w:w="709" w:type="dxa"/>
            <w:tcBorders>
              <w:top w:val="single" w:sz="4" w:space="0" w:color="auto"/>
              <w:left w:val="nil"/>
              <w:bottom w:val="single" w:sz="4" w:space="0" w:color="auto"/>
              <w:right w:val="nil"/>
            </w:tcBorders>
            <w:shd w:val="clear" w:color="000000" w:fill="9CC2E5"/>
            <w:vAlign w:val="center"/>
            <w:hideMark/>
          </w:tcPr>
          <w:p w14:paraId="781C070B"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eastAsia="es-ES"/>
              </w:rPr>
              <w:t>188</w:t>
            </w:r>
          </w:p>
        </w:tc>
        <w:tc>
          <w:tcPr>
            <w:tcW w:w="1134" w:type="dxa"/>
            <w:tcBorders>
              <w:top w:val="single" w:sz="4" w:space="0" w:color="auto"/>
              <w:left w:val="nil"/>
              <w:bottom w:val="single" w:sz="4" w:space="0" w:color="auto"/>
              <w:right w:val="nil"/>
            </w:tcBorders>
            <w:shd w:val="clear" w:color="000000" w:fill="9CC2E5"/>
            <w:noWrap/>
            <w:vAlign w:val="center"/>
            <w:hideMark/>
          </w:tcPr>
          <w:p w14:paraId="6647279B" w14:textId="77777777" w:rsidR="00F87E58" w:rsidRPr="000C5B18" w:rsidRDefault="00F87E58" w:rsidP="00F87E58">
            <w:pPr>
              <w:spacing w:after="0"/>
              <w:ind w:firstLine="0"/>
              <w:jc w:val="right"/>
              <w:rPr>
                <w:rFonts w:ascii="Arial" w:hAnsi="Arial" w:cs="Arial"/>
                <w:color w:val="000000"/>
                <w:sz w:val="18"/>
                <w:szCs w:val="18"/>
                <w:lang w:val="es-ES" w:eastAsia="es-ES"/>
              </w:rPr>
            </w:pPr>
            <w:r w:rsidRPr="000C5B18">
              <w:rPr>
                <w:rFonts w:ascii="Arial" w:hAnsi="Arial" w:cs="Arial"/>
                <w:color w:val="000000"/>
                <w:sz w:val="18"/>
                <w:szCs w:val="18"/>
                <w:lang w:eastAsia="es-ES"/>
              </w:rPr>
              <w:t> </w:t>
            </w:r>
          </w:p>
        </w:tc>
      </w:tr>
    </w:tbl>
    <w:p w14:paraId="43E7C2C8" w14:textId="77777777" w:rsidR="00F87E58" w:rsidRPr="001D270D" w:rsidRDefault="00F87E58" w:rsidP="00F87E58">
      <w:pPr>
        <w:pStyle w:val="atitulo3"/>
        <w:spacing w:before="240"/>
      </w:pPr>
      <w:r w:rsidRPr="001D270D">
        <w:t>Procedimiento de autorización</w:t>
      </w:r>
    </w:p>
    <w:p w14:paraId="2D285989"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bookmarkStart w:id="33" w:name="TMB1925554492"/>
      <w:bookmarkEnd w:id="33"/>
      <w:r>
        <w:rPr>
          <w:szCs w:val="26"/>
        </w:rPr>
        <w:t>El inicio de la posición de Sodena como prestamista de la sociedad se sitúa en el ejercicio 2005 y se materializa en los siguientes documentos:</w:t>
      </w:r>
    </w:p>
    <w:p w14:paraId="7FFF9F4D" w14:textId="77777777" w:rsidR="00F87E58" w:rsidRPr="005448C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color w:val="000000"/>
          <w:szCs w:val="26"/>
        </w:rPr>
      </w:pPr>
      <w:r>
        <w:rPr>
          <w:szCs w:val="26"/>
        </w:rPr>
        <w:t xml:space="preserve">Acuerdo de accionistas </w:t>
      </w:r>
      <w:r>
        <w:rPr>
          <w:color w:val="000000"/>
          <w:szCs w:val="26"/>
        </w:rPr>
        <w:t>de 31</w:t>
      </w:r>
      <w:r w:rsidRPr="005448C8">
        <w:rPr>
          <w:color w:val="000000"/>
          <w:szCs w:val="26"/>
        </w:rPr>
        <w:t xml:space="preserve"> de enero de 2005.</w:t>
      </w:r>
    </w:p>
    <w:p w14:paraId="0C8F5891" w14:textId="77777777" w:rsidR="00F87E58" w:rsidRPr="005448C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color w:val="000000"/>
          <w:szCs w:val="26"/>
        </w:rPr>
      </w:pPr>
      <w:r w:rsidRPr="005448C8">
        <w:rPr>
          <w:color w:val="000000"/>
          <w:szCs w:val="26"/>
        </w:rPr>
        <w:t xml:space="preserve">Contrato de financiación </w:t>
      </w:r>
      <w:r>
        <w:rPr>
          <w:color w:val="000000"/>
          <w:szCs w:val="26"/>
        </w:rPr>
        <w:t>entre Sodena y Parquenasa de 31 de enero de 2005.</w:t>
      </w:r>
    </w:p>
    <w:p w14:paraId="7245756F"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Pr>
          <w:szCs w:val="26"/>
        </w:rPr>
        <w:t xml:space="preserve">Contrato de </w:t>
      </w:r>
      <w:r w:rsidRPr="005448C8">
        <w:rPr>
          <w:color w:val="000000"/>
          <w:szCs w:val="26"/>
        </w:rPr>
        <w:t>financiación</w:t>
      </w:r>
      <w:r>
        <w:rPr>
          <w:szCs w:val="26"/>
        </w:rPr>
        <w:t xml:space="preserve"> entre Sodena y Parquenasa de 30 de diciembre de 2005.</w:t>
      </w:r>
    </w:p>
    <w:p w14:paraId="6DB71D74" w14:textId="77777777" w:rsidR="00F87E58" w:rsidRPr="007E62F6" w:rsidRDefault="00F87E58" w:rsidP="00F87E58">
      <w:pPr>
        <w:pStyle w:val="texto"/>
      </w:pPr>
      <w:r>
        <w:lastRenderedPageBreak/>
        <w:t xml:space="preserve">Desde el contrato de </w:t>
      </w:r>
      <w:r w:rsidRPr="00327F37">
        <w:t xml:space="preserve">30 de diciembre de 2005, </w:t>
      </w:r>
      <w:r>
        <w:t xml:space="preserve">y ante la recurrente necesidad de financiación anual de Parquenasa, se han ido aprobando cada ejercicio sucesivas adendas </w:t>
      </w:r>
      <w:r w:rsidRPr="007E62F6">
        <w:t xml:space="preserve">al </w:t>
      </w:r>
      <w:r>
        <w:t>citado contrato</w:t>
      </w:r>
      <w:r w:rsidR="00E77A75">
        <w:t>. En ellas,</w:t>
      </w:r>
      <w:r w:rsidRPr="007E62F6">
        <w:t xml:space="preserve"> se renueva la fecha de vencimiento de la financiación concedida, </w:t>
      </w:r>
      <w:r w:rsidR="00E77A75">
        <w:t xml:space="preserve">convirtiendo </w:t>
      </w:r>
      <w:r w:rsidRPr="007E62F6">
        <w:t xml:space="preserve">en participativo el importe necesario para restablecer el equilibrio patrimonial de Parquenasa. </w:t>
      </w:r>
    </w:p>
    <w:p w14:paraId="24F1EE58" w14:textId="77777777" w:rsidR="00F87E58" w:rsidRPr="007E62F6" w:rsidRDefault="00F87E58" w:rsidP="00F87E58">
      <w:pPr>
        <w:pStyle w:val="texto"/>
      </w:pPr>
      <w:r w:rsidRPr="007E62F6">
        <w:t>Asimismo, en la adenda de 2010 se indica que el contrato seguirá siendo vigente durante cinco años más</w:t>
      </w:r>
      <w:r w:rsidR="00E77A75">
        <w:t>. A</w:t>
      </w:r>
      <w:r w:rsidRPr="007E62F6">
        <w:t xml:space="preserve"> partir de 2015, cada adenda indica que seguirá siendo vigente durante los siguientes cuatro o cinco años.</w:t>
      </w:r>
    </w:p>
    <w:p w14:paraId="70515B8A" w14:textId="77777777" w:rsidR="00D843C7" w:rsidRPr="00AA16A6" w:rsidRDefault="00F87E58" w:rsidP="00F87E58">
      <w:pPr>
        <w:pStyle w:val="texto"/>
      </w:pPr>
      <w:r w:rsidRPr="00AA16A6">
        <w:t>No obstante, y de forma adicional en los ejercicios 2020 y 2022 se firmaron además de las adendas, contratos de préstamos con una finalidad muy específica, en concreto</w:t>
      </w:r>
      <w:r w:rsidR="00D843C7" w:rsidRPr="00AA16A6">
        <w:t>:</w:t>
      </w:r>
    </w:p>
    <w:p w14:paraId="7C31B876" w14:textId="77777777" w:rsidR="00D843C7" w:rsidRPr="00AA16A6" w:rsidRDefault="00D843C7" w:rsidP="00D843C7">
      <w:pPr>
        <w:pStyle w:val="texto"/>
        <w:numPr>
          <w:ilvl w:val="0"/>
          <w:numId w:val="43"/>
        </w:numPr>
      </w:pPr>
      <w:r w:rsidRPr="00AA16A6">
        <w:t xml:space="preserve">5,9 </w:t>
      </w:r>
      <w:r w:rsidR="00F87E58" w:rsidRPr="00AA16A6">
        <w:t>millones en 2020 para el Plan de Inversiones 2020-2022</w:t>
      </w:r>
      <w:r w:rsidRPr="00AA16A6">
        <w:t xml:space="preserve">, de los cuales 3,8 millones se destinaban a inversiones a ejecutar entre 2020-2022 y los 2,1 millones restantes a cubrir el déficit de explotación del ejercicio 2020. </w:t>
      </w:r>
    </w:p>
    <w:p w14:paraId="1A7E8679" w14:textId="77777777" w:rsidR="00F87E58" w:rsidRPr="00AA16A6" w:rsidRDefault="00F87E58" w:rsidP="00D843C7">
      <w:pPr>
        <w:pStyle w:val="texto"/>
        <w:numPr>
          <w:ilvl w:val="0"/>
          <w:numId w:val="43"/>
        </w:numPr>
      </w:pPr>
      <w:r w:rsidRPr="00AA16A6">
        <w:t>1,5 millones en 2022 para hacer frente al i</w:t>
      </w:r>
      <w:r w:rsidR="00AA16A6">
        <w:t>ncendio de 2022.</w:t>
      </w:r>
    </w:p>
    <w:p w14:paraId="02F99053" w14:textId="77777777" w:rsidR="00F87E58" w:rsidRDefault="00F87E58" w:rsidP="00F87E58">
      <w:pPr>
        <w:pStyle w:val="texto"/>
        <w:numPr>
          <w:ilvl w:val="0"/>
          <w:numId w:val="14"/>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 xml:space="preserve">Hasta el ejercicio 2014 en el que se modifica la Ley Foral 13/2007, de 4 de abril, de la Hacienda Pública de Navarra (en adelante LFHPN), las concesiones anuales de préstamos y la parte </w:t>
      </w:r>
      <w:r w:rsidRPr="00C54BCA">
        <w:rPr>
          <w:szCs w:val="26"/>
        </w:rPr>
        <w:t>de pré</w:t>
      </w:r>
      <w:r>
        <w:rPr>
          <w:szCs w:val="26"/>
        </w:rPr>
        <w:t>stamos participativos, se aprobaban por el Consejo de Administración de Sodena. A partir del ejercicio 2014, todas las concesiones anuales de préstamos, deben autorizarse mediante ley foral y posterior acuerdo del Gobierno de Navarra. La cronología ha sido la siguiente:</w:t>
      </w:r>
    </w:p>
    <w:p w14:paraId="3B2274C1"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sidRPr="00847727">
        <w:rPr>
          <w:szCs w:val="26"/>
        </w:rPr>
        <w:t>La Ley Foral 10/2014 de 16 de mayo, modificó la L</w:t>
      </w:r>
      <w:r>
        <w:rPr>
          <w:szCs w:val="26"/>
        </w:rPr>
        <w:t xml:space="preserve">FHPN </w:t>
      </w:r>
      <w:r w:rsidRPr="00847727">
        <w:rPr>
          <w:szCs w:val="26"/>
        </w:rPr>
        <w:t xml:space="preserve">en sus artículos 75, apartado 3 y 82 ter, </w:t>
      </w:r>
      <w:r>
        <w:rPr>
          <w:szCs w:val="26"/>
        </w:rPr>
        <w:t xml:space="preserve">apartado 2, </w:t>
      </w:r>
      <w:r w:rsidRPr="00847727">
        <w:rPr>
          <w:szCs w:val="26"/>
        </w:rPr>
        <w:t>y que en su nueva redacción  exige autorización expresa del Parlamento de Navarra, para que cualquier persona física o jurídica pueda ser beneficiaria de avales o préstamos por cuantía superior al 5 por 100 del riesgo vivo máximo establecido en la Ley Foral de Presupuestos Generales de Navarra de cada ejercicio, considerándose el riesgo vivo máximo en función de la entidad otorgante, es decir, según los avales sea emitidos o los préstamos concedidos por la Administración de la Comunidad Foral de Navarra o p</w:t>
      </w:r>
      <w:r>
        <w:rPr>
          <w:szCs w:val="26"/>
        </w:rPr>
        <w:t xml:space="preserve">or sus entidades dependientes. </w:t>
      </w:r>
    </w:p>
    <w:p w14:paraId="33E5D739" w14:textId="77777777" w:rsidR="00F87E58" w:rsidRPr="00A6260E" w:rsidRDefault="00F87E58" w:rsidP="00F87E58">
      <w:pPr>
        <w:pStyle w:val="texto"/>
      </w:pPr>
      <w:r w:rsidRPr="008C0210">
        <w:t>No obstante, no fu</w:t>
      </w:r>
      <w:r>
        <w:t>e hasta finales de 2017</w:t>
      </w:r>
      <w:r w:rsidRPr="008C0210">
        <w:t xml:space="preserve"> cuando Sodena empezó a solicitar la preceptiva autorización del Parlamento</w:t>
      </w:r>
      <w:r>
        <w:t xml:space="preserve"> de Navarra</w:t>
      </w:r>
      <w:r w:rsidRPr="008C0210">
        <w:t>, por lo que se solicitó que se convalidaran y autorizaran las operaciones de préstamo formalizadas por Sodena en los ejercicios 2014, 2015, 2016 y 2017 con Parquena</w:t>
      </w:r>
      <w:r>
        <w:t xml:space="preserve">sa; </w:t>
      </w:r>
      <w:r w:rsidRPr="008C0210">
        <w:t>autorización que se vio re</w:t>
      </w:r>
      <w:r>
        <w:t xml:space="preserve">cogida en la Ley Foral 11/2018, de 30 de mayo, </w:t>
      </w:r>
      <w:r w:rsidRPr="00A6260E">
        <w:t>por la que se autoriza a So</w:t>
      </w:r>
      <w:r>
        <w:t xml:space="preserve">dena </w:t>
      </w:r>
      <w:r w:rsidRPr="00A6260E">
        <w:t>la concesión de determinados préstamos y avales a Parque</w:t>
      </w:r>
      <w:r>
        <w:t xml:space="preserve">nasa. </w:t>
      </w:r>
    </w:p>
    <w:p w14:paraId="137E7EA6" w14:textId="77777777" w:rsidR="00F87E58" w:rsidRDefault="00F87E58" w:rsidP="00F87E58">
      <w:pPr>
        <w:pStyle w:val="texto"/>
        <w:rPr>
          <w:color w:val="000000"/>
        </w:rPr>
      </w:pPr>
      <w:r>
        <w:t>Esta situación fue puesta de manifiesto en el Informe “</w:t>
      </w:r>
      <w:r w:rsidRPr="00045BCE">
        <w:rPr>
          <w:i/>
          <w:color w:val="000000"/>
        </w:rPr>
        <w:t>Aplicación de la Ley Foral 10/2014 en la concesión de avales y préstamos en el Sector Público Foral (2014-2017)”</w:t>
      </w:r>
      <w:r>
        <w:rPr>
          <w:color w:val="000000"/>
        </w:rPr>
        <w:t xml:space="preserve"> que esta Cámara emitió en septiembre de 2018.</w:t>
      </w:r>
    </w:p>
    <w:p w14:paraId="76CD7115" w14:textId="77777777" w:rsidR="00F87E58" w:rsidRPr="003A4D37" w:rsidRDefault="00F87E58" w:rsidP="00F87E58">
      <w:pPr>
        <w:pStyle w:val="texto"/>
        <w:numPr>
          <w:ilvl w:val="0"/>
          <w:numId w:val="14"/>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sidRPr="00847727">
        <w:rPr>
          <w:szCs w:val="26"/>
        </w:rPr>
        <w:lastRenderedPageBreak/>
        <w:t>Desde 201</w:t>
      </w:r>
      <w:r>
        <w:rPr>
          <w:szCs w:val="26"/>
        </w:rPr>
        <w:t xml:space="preserve">8, se vienen incluyendo en las sucesivas leyes forales de presupuestos autorización a Sodena para realizar nuevas operaciones de préstamos y aval, indistintamente con Parquenasa, hasta el máximo que se indica en cada una de ellas. Posteriormente las operaciones concretas deben ser autorizadas por el Gobierno de Navarra. </w:t>
      </w:r>
      <w:r w:rsidRPr="003A4D37">
        <w:rPr>
          <w:szCs w:val="26"/>
        </w:rPr>
        <w:t>Las autorizaciones han sido las siguientes:</w:t>
      </w:r>
    </w:p>
    <w:p w14:paraId="4278171C"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Pr>
          <w:szCs w:val="26"/>
        </w:rPr>
        <w:t xml:space="preserve">Artículo 16.4 de la </w:t>
      </w:r>
      <w:r w:rsidRPr="005448C8">
        <w:rPr>
          <w:color w:val="000000"/>
          <w:szCs w:val="26"/>
        </w:rPr>
        <w:t>Ley</w:t>
      </w:r>
      <w:r w:rsidRPr="00847727">
        <w:rPr>
          <w:szCs w:val="26"/>
        </w:rPr>
        <w:t xml:space="preserve"> Foral 27/2018 de 24 de diciembre de </w:t>
      </w:r>
      <w:r>
        <w:rPr>
          <w:szCs w:val="26"/>
        </w:rPr>
        <w:t>Presupuestos G</w:t>
      </w:r>
      <w:r w:rsidRPr="00847727">
        <w:rPr>
          <w:szCs w:val="26"/>
        </w:rPr>
        <w:t>eneral</w:t>
      </w:r>
      <w:r>
        <w:rPr>
          <w:szCs w:val="26"/>
        </w:rPr>
        <w:t xml:space="preserve">es de Navarra para el año 2019 y posterior autorización mediante Acuerdo del Gobierno de Navarra de 13 de febrero de 2019 </w:t>
      </w:r>
    </w:p>
    <w:p w14:paraId="141B56FB"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Pr>
          <w:szCs w:val="26"/>
        </w:rPr>
        <w:t xml:space="preserve">El Servicio de Patrimonio del Departamento de Economía y Hacienda propuso en 2019 que las autorizaciones anuales del Gobierno, en ejecución de las leyes forales de presupuestos, viniesen precedidas de un procedimiento administrativo que contemplasen una serie de documentos e informes preceptivos. A tal efecto, se aprobó </w:t>
      </w:r>
      <w:r w:rsidRPr="00686962">
        <w:rPr>
          <w:szCs w:val="26"/>
        </w:rPr>
        <w:t>el D</w:t>
      </w:r>
      <w:r>
        <w:rPr>
          <w:szCs w:val="26"/>
        </w:rPr>
        <w:t xml:space="preserve">ecreto Foral </w:t>
      </w:r>
      <w:r w:rsidRPr="00686962">
        <w:rPr>
          <w:szCs w:val="26"/>
        </w:rPr>
        <w:t>216/2019, de 11 de septiembre</w:t>
      </w:r>
      <w:r>
        <w:rPr>
          <w:rStyle w:val="Refdenotaalpie"/>
          <w:rFonts w:eastAsia="Calibri"/>
          <w:szCs w:val="26"/>
        </w:rPr>
        <w:footnoteReference w:id="14"/>
      </w:r>
      <w:r>
        <w:rPr>
          <w:szCs w:val="26"/>
        </w:rPr>
        <w:t>. A partir de su entrada en vigor, se ha seguido dicho procedimiento para obtener las correspondientes autorizaciones anuales.</w:t>
      </w:r>
    </w:p>
    <w:p w14:paraId="77E48B6F"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Pr>
          <w:szCs w:val="26"/>
        </w:rPr>
        <w:t>Artículo 14.8 de l</w:t>
      </w:r>
      <w:r w:rsidRPr="00847727">
        <w:rPr>
          <w:szCs w:val="26"/>
        </w:rPr>
        <w:t>a Ley Foral 5/2020 d</w:t>
      </w:r>
      <w:r>
        <w:rPr>
          <w:szCs w:val="26"/>
        </w:rPr>
        <w:t>e 4 de marzo de Presupuestos G</w:t>
      </w:r>
      <w:r w:rsidRPr="00847727">
        <w:rPr>
          <w:szCs w:val="26"/>
        </w:rPr>
        <w:t xml:space="preserve">enerales de Navarra para el año </w:t>
      </w:r>
      <w:r w:rsidRPr="005448C8">
        <w:rPr>
          <w:color w:val="000000"/>
          <w:szCs w:val="26"/>
        </w:rPr>
        <w:t>2020</w:t>
      </w:r>
      <w:r>
        <w:rPr>
          <w:szCs w:val="26"/>
        </w:rPr>
        <w:t xml:space="preserve"> y posterior autorización mediante Acuerdo del Gobierno de Navarra</w:t>
      </w:r>
      <w:r w:rsidRPr="00847727">
        <w:rPr>
          <w:szCs w:val="26"/>
        </w:rPr>
        <w:t xml:space="preserve"> </w:t>
      </w:r>
      <w:r>
        <w:rPr>
          <w:szCs w:val="26"/>
        </w:rPr>
        <w:t>de 13 de mayo de 2020.</w:t>
      </w:r>
    </w:p>
    <w:p w14:paraId="15C620A1"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Pr>
          <w:szCs w:val="26"/>
        </w:rPr>
        <w:t>Artículo 14.8 de l</w:t>
      </w:r>
      <w:r w:rsidRPr="00847727">
        <w:rPr>
          <w:szCs w:val="26"/>
        </w:rPr>
        <w:t>a Ley Foral</w:t>
      </w:r>
      <w:r>
        <w:rPr>
          <w:szCs w:val="26"/>
        </w:rPr>
        <w:t xml:space="preserve"> 20/2020 de 29 de diciembre de Presupuestos G</w:t>
      </w:r>
      <w:r w:rsidRPr="00847727">
        <w:rPr>
          <w:szCs w:val="26"/>
        </w:rPr>
        <w:t>enerales de Navarra para el año 2021</w:t>
      </w:r>
      <w:r>
        <w:rPr>
          <w:szCs w:val="26"/>
        </w:rPr>
        <w:t>, y posterior autorización mediante Acuerdo del Gobierno de Navarra</w:t>
      </w:r>
      <w:r w:rsidRPr="00847727">
        <w:rPr>
          <w:szCs w:val="26"/>
        </w:rPr>
        <w:t xml:space="preserve"> </w:t>
      </w:r>
      <w:r>
        <w:rPr>
          <w:szCs w:val="26"/>
        </w:rPr>
        <w:t>de 27 de enero de 2021.</w:t>
      </w:r>
    </w:p>
    <w:p w14:paraId="6CDE8B57" w14:textId="77777777" w:rsidR="00F87E58" w:rsidRPr="003A4D37"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szCs w:val="26"/>
        </w:rPr>
      </w:pPr>
      <w:r w:rsidRPr="003A4D37">
        <w:rPr>
          <w:szCs w:val="26"/>
        </w:rPr>
        <w:t xml:space="preserve">Artículo 14.7 de la </w:t>
      </w:r>
      <w:r w:rsidRPr="003A4D37">
        <w:rPr>
          <w:color w:val="000000"/>
          <w:szCs w:val="26"/>
        </w:rPr>
        <w:t>Ley</w:t>
      </w:r>
      <w:r w:rsidRPr="003A4D37">
        <w:rPr>
          <w:szCs w:val="26"/>
        </w:rPr>
        <w:t xml:space="preserve"> Foral 18/2021 de 29 de diciembre de Presupuestos Generales de Navarra para el ejercicio 2022, y posterior autorización mediante Acuerdo del Gobierno de Navarra de 9 de marzo de 2022. Este artículo fue modificado por la Ley Foral 30/2022, de 8 de noviembre, de modificación de la Ley Foral 18/2021, de 29 de diciembre, de Presupuestos Generales de Navarra para el año 2022, y se elev</w:t>
      </w:r>
      <w:r>
        <w:rPr>
          <w:szCs w:val="26"/>
        </w:rPr>
        <w:t xml:space="preserve">ó la cantidad máxima de autorización hasta </w:t>
      </w:r>
      <w:r w:rsidRPr="003A4D37">
        <w:rPr>
          <w:szCs w:val="26"/>
        </w:rPr>
        <w:t>3,2 millones, para incluir 1,5 millones, que eran los necesarios para hacer frente a inversiones afectadas por el incendio con el objetivo de que estuviesen operativas en 2023. El Acuerdo de Gobierno de 30 de noviembre de 2022 autoriza la mencionada financiación.</w:t>
      </w:r>
    </w:p>
    <w:p w14:paraId="3094740E" w14:textId="77777777" w:rsidR="00F87E58" w:rsidRDefault="00F87E58" w:rsidP="00F87E58">
      <w:pPr>
        <w:pStyle w:val="texto"/>
      </w:pPr>
      <w:r>
        <w:t>Por otro lado, la citada Ley Foral 30/2022 autorizó</w:t>
      </w:r>
      <w:r w:rsidR="00E77A75">
        <w:t xml:space="preserve"> también</w:t>
      </w:r>
      <w:r w:rsidRPr="001F5E7F">
        <w:t xml:space="preserve"> </w:t>
      </w:r>
      <w:r>
        <w:t>a Sodena</w:t>
      </w:r>
      <w:r w:rsidR="00E77A75">
        <w:t xml:space="preserve"> a</w:t>
      </w:r>
      <w:r w:rsidRPr="001F5E7F">
        <w:t xml:space="preserve"> modificar los tipos de interés de los préstamos concedidos</w:t>
      </w:r>
      <w:r>
        <w:t xml:space="preserve">, </w:t>
      </w:r>
      <w:r w:rsidRPr="001F5E7F">
        <w:t>fija</w:t>
      </w:r>
      <w:r w:rsidR="00E77A75">
        <w:t>ndo</w:t>
      </w:r>
      <w:r w:rsidRPr="001F5E7F">
        <w:t xml:space="preserve"> los tipos de interés de los préstamos a Parque</w:t>
      </w:r>
      <w:r>
        <w:t>nasa</w:t>
      </w:r>
      <w:r w:rsidR="00085A19">
        <w:t>. La condición es</w:t>
      </w:r>
      <w:r w:rsidRPr="001F5E7F">
        <w:t xml:space="preserve"> que se devenguen únicamente en </w:t>
      </w:r>
      <w:r w:rsidRPr="001F5E7F">
        <w:lastRenderedPageBreak/>
        <w:t>el caso de que la prestataria obtenga resultados del ejercicio positivos, y sin afectar a los int</w:t>
      </w:r>
      <w:r>
        <w:t>ereses que se debieran haber devengado con anterioridad a la entrada en vigor de la citada ley foral, de conformidad con la LFHPN.</w:t>
      </w:r>
    </w:p>
    <w:p w14:paraId="4A3502D8" w14:textId="77777777" w:rsidR="00F87E58" w:rsidRDefault="00F87E58" w:rsidP="00F87E58">
      <w:pPr>
        <w:pStyle w:val="texto"/>
        <w:spacing w:after="240"/>
      </w:pPr>
      <w:r>
        <w:t xml:space="preserve">Sobre esta cuestión, destacamos </w:t>
      </w:r>
      <w:r w:rsidRPr="00FC6834">
        <w:t xml:space="preserve">que </w:t>
      </w:r>
      <w:r>
        <w:t xml:space="preserve">la Intervención General, en su </w:t>
      </w:r>
      <w:r w:rsidRPr="00865AEA">
        <w:t xml:space="preserve">informe de fecha 8 de marzo de 2022, </w:t>
      </w:r>
      <w:r>
        <w:t>puso de manifiesto esta situación, por lo que se instó a realizar las modificaciones legales oportunas para, en su caso, eximir de la exigencia del correspondiente interés legal en determinadas situaciones y no incurrir en contradicción con lo dispuesto en el artículo 82.ter.3 de la LFHPN</w:t>
      </w:r>
      <w:r>
        <w:rPr>
          <w:rStyle w:val="Refdenotaalpie"/>
        </w:rPr>
        <w:footnoteReference w:id="15"/>
      </w:r>
      <w:r>
        <w:t>.</w:t>
      </w:r>
    </w:p>
    <w:p w14:paraId="6EBAF66D" w14:textId="77777777" w:rsidR="00F87E58" w:rsidRDefault="00F87E58" w:rsidP="00A26E71">
      <w:pPr>
        <w:pStyle w:val="atitulo2"/>
        <w:spacing w:after="120"/>
      </w:pPr>
      <w:bookmarkStart w:id="34" w:name="_Toc146017575"/>
      <w:bookmarkStart w:id="35" w:name="_Toc149803653"/>
      <w:r>
        <w:t>2.4 Cuantía y situación contable de Parquenasa en las cuentas anuales de Sodena</w:t>
      </w:r>
      <w:bookmarkEnd w:id="34"/>
      <w:bookmarkEnd w:id="35"/>
    </w:p>
    <w:p w14:paraId="158CAB43" w14:textId="77777777" w:rsidR="00F87E58" w:rsidRDefault="00F87E58" w:rsidP="00F87E58">
      <w:pPr>
        <w:pStyle w:val="texto"/>
      </w:pPr>
      <w:r w:rsidRPr="002B4DAF">
        <w:t>L</w:t>
      </w:r>
      <w:r>
        <w:t>as cuentas anuales de Sodena correspondientes al ejercicio 2022, han sido auditadas</w:t>
      </w:r>
      <w:r>
        <w:rPr>
          <w:rStyle w:val="Refdenotaalpie"/>
        </w:rPr>
        <w:footnoteReference w:id="16"/>
      </w:r>
      <w:r>
        <w:t xml:space="preserve"> con fecha 20 de abril de 2023. La información que se refleja en los siguientes cuadros, es reproducción literal de los correspondientes apartados de la memoria de las cuentas anuales:</w:t>
      </w:r>
    </w:p>
    <w:p w14:paraId="5092DFF6" w14:textId="77777777" w:rsidR="00F87E58" w:rsidRPr="009C44C1" w:rsidRDefault="00F87E58" w:rsidP="00F87E58">
      <w:pPr>
        <w:pStyle w:val="atitulo3"/>
        <w:rPr>
          <w:i w:val="0"/>
          <w:sz w:val="20"/>
          <w:szCs w:val="20"/>
        </w:rPr>
      </w:pPr>
      <w:r w:rsidRPr="009C44C1">
        <w:rPr>
          <w:sz w:val="20"/>
          <w:szCs w:val="20"/>
        </w:rPr>
        <w:t>Apartado 7.2 Descripción de las inversiones en empresas del grupo y aso</w:t>
      </w:r>
      <w:r w:rsidRPr="009C44C1">
        <w:rPr>
          <w:i w:val="0"/>
          <w:sz w:val="20"/>
          <w:szCs w:val="20"/>
        </w:rPr>
        <w:t xml:space="preserve">ciadas </w:t>
      </w:r>
    </w:p>
    <w:tbl>
      <w:tblPr>
        <w:tblW w:w="8789" w:type="dxa"/>
        <w:tblCellMar>
          <w:left w:w="70" w:type="dxa"/>
          <w:right w:w="70" w:type="dxa"/>
        </w:tblCellMar>
        <w:tblLook w:val="04A0" w:firstRow="1" w:lastRow="0" w:firstColumn="1" w:lastColumn="0" w:noHBand="0" w:noVBand="1"/>
      </w:tblPr>
      <w:tblGrid>
        <w:gridCol w:w="7138"/>
        <w:gridCol w:w="1651"/>
      </w:tblGrid>
      <w:tr w:rsidR="00F87E58" w:rsidRPr="009C44C1" w14:paraId="7C56FC32" w14:textId="77777777" w:rsidTr="00F87E58">
        <w:trPr>
          <w:trHeight w:val="255"/>
        </w:trPr>
        <w:tc>
          <w:tcPr>
            <w:tcW w:w="7371" w:type="dxa"/>
            <w:tcBorders>
              <w:top w:val="single" w:sz="4" w:space="0" w:color="auto"/>
              <w:left w:val="nil"/>
              <w:bottom w:val="single" w:sz="4" w:space="0" w:color="auto"/>
              <w:right w:val="nil"/>
            </w:tcBorders>
            <w:shd w:val="clear" w:color="auto" w:fill="auto"/>
            <w:noWrap/>
            <w:vAlign w:val="bottom"/>
          </w:tcPr>
          <w:p w14:paraId="2DA6CA2B" w14:textId="77777777" w:rsidR="00F87E58" w:rsidRPr="009C44C1" w:rsidRDefault="00F87E58" w:rsidP="00A26E71">
            <w:pPr>
              <w:pStyle w:val="cuadroCabe"/>
              <w:spacing w:line="240" w:lineRule="auto"/>
              <w:jc w:val="left"/>
              <w:rPr>
                <w:i/>
              </w:rPr>
            </w:pPr>
            <w:r w:rsidRPr="009C44C1">
              <w:rPr>
                <w:i/>
              </w:rPr>
              <w:t xml:space="preserve">Parque de la Naturaleza S.A. </w:t>
            </w:r>
          </w:p>
        </w:tc>
        <w:tc>
          <w:tcPr>
            <w:tcW w:w="1701" w:type="dxa"/>
            <w:tcBorders>
              <w:top w:val="single" w:sz="4" w:space="0" w:color="auto"/>
              <w:left w:val="nil"/>
              <w:bottom w:val="single" w:sz="4" w:space="0" w:color="auto"/>
              <w:right w:val="nil"/>
            </w:tcBorders>
            <w:shd w:val="clear" w:color="auto" w:fill="auto"/>
            <w:noWrap/>
            <w:vAlign w:val="bottom"/>
          </w:tcPr>
          <w:p w14:paraId="72A69960" w14:textId="77777777" w:rsidR="00F87E58" w:rsidRPr="009C44C1" w:rsidRDefault="00F87E58" w:rsidP="00A26E71">
            <w:pPr>
              <w:pStyle w:val="cuadroCabe"/>
              <w:spacing w:line="240" w:lineRule="auto"/>
              <w:jc w:val="right"/>
              <w:rPr>
                <w:i/>
              </w:rPr>
            </w:pPr>
          </w:p>
        </w:tc>
      </w:tr>
      <w:tr w:rsidR="00F87E58" w:rsidRPr="009C44C1" w14:paraId="3020A2CC" w14:textId="77777777" w:rsidTr="00A26E71">
        <w:trPr>
          <w:trHeight w:val="170"/>
        </w:trPr>
        <w:tc>
          <w:tcPr>
            <w:tcW w:w="7371" w:type="dxa"/>
            <w:tcBorders>
              <w:top w:val="nil"/>
              <w:left w:val="nil"/>
              <w:bottom w:val="single" w:sz="2" w:space="0" w:color="auto"/>
              <w:right w:val="nil"/>
            </w:tcBorders>
            <w:shd w:val="clear" w:color="auto" w:fill="auto"/>
            <w:noWrap/>
            <w:vAlign w:val="bottom"/>
            <w:hideMark/>
          </w:tcPr>
          <w:p w14:paraId="301601FA" w14:textId="77777777" w:rsidR="00F87E58" w:rsidRPr="009C44C1" w:rsidRDefault="00F87E58" w:rsidP="00A26E71">
            <w:pPr>
              <w:pStyle w:val="cuatexto"/>
              <w:spacing w:line="240" w:lineRule="auto"/>
              <w:jc w:val="left"/>
              <w:rPr>
                <w:i/>
              </w:rPr>
            </w:pPr>
            <w:r w:rsidRPr="009C44C1">
              <w:rPr>
                <w:i/>
              </w:rPr>
              <w:t>Directa</w:t>
            </w:r>
          </w:p>
        </w:tc>
        <w:tc>
          <w:tcPr>
            <w:tcW w:w="1701" w:type="dxa"/>
            <w:tcBorders>
              <w:top w:val="nil"/>
              <w:left w:val="nil"/>
              <w:bottom w:val="single" w:sz="2" w:space="0" w:color="auto"/>
              <w:right w:val="nil"/>
            </w:tcBorders>
            <w:shd w:val="clear" w:color="auto" w:fill="auto"/>
            <w:noWrap/>
            <w:vAlign w:val="bottom"/>
            <w:hideMark/>
          </w:tcPr>
          <w:p w14:paraId="57569861" w14:textId="77777777" w:rsidR="00F87E58" w:rsidRPr="009C44C1" w:rsidRDefault="00F87E58" w:rsidP="00A26E71">
            <w:pPr>
              <w:pStyle w:val="cuatexto"/>
              <w:spacing w:line="240" w:lineRule="auto"/>
              <w:jc w:val="right"/>
              <w:rPr>
                <w:i/>
              </w:rPr>
            </w:pPr>
            <w:r w:rsidRPr="009C44C1">
              <w:rPr>
                <w:i/>
              </w:rPr>
              <w:t>45%</w:t>
            </w:r>
          </w:p>
        </w:tc>
      </w:tr>
      <w:tr w:rsidR="00F87E58" w:rsidRPr="009C44C1" w14:paraId="552827E0"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6F12329D" w14:textId="77777777" w:rsidR="00F87E58" w:rsidRPr="009C44C1" w:rsidRDefault="00F87E58" w:rsidP="00A26E71">
            <w:pPr>
              <w:pStyle w:val="cuatexto"/>
              <w:spacing w:line="240" w:lineRule="auto"/>
              <w:jc w:val="left"/>
              <w:rPr>
                <w:i/>
              </w:rPr>
            </w:pPr>
            <w:r w:rsidRPr="009C44C1">
              <w:rPr>
                <w:i/>
              </w:rPr>
              <w:t>Indirecta</w:t>
            </w:r>
          </w:p>
        </w:tc>
        <w:tc>
          <w:tcPr>
            <w:tcW w:w="1701" w:type="dxa"/>
            <w:tcBorders>
              <w:top w:val="single" w:sz="2" w:space="0" w:color="auto"/>
              <w:left w:val="nil"/>
              <w:bottom w:val="single" w:sz="2" w:space="0" w:color="auto"/>
              <w:right w:val="nil"/>
            </w:tcBorders>
            <w:shd w:val="clear" w:color="auto" w:fill="auto"/>
            <w:noWrap/>
            <w:vAlign w:val="bottom"/>
            <w:hideMark/>
          </w:tcPr>
          <w:p w14:paraId="282CAE51" w14:textId="77777777" w:rsidR="00F87E58" w:rsidRPr="009C44C1" w:rsidRDefault="00F87E58" w:rsidP="00A26E71">
            <w:pPr>
              <w:pStyle w:val="cuatexto"/>
              <w:spacing w:line="240" w:lineRule="auto"/>
              <w:jc w:val="right"/>
              <w:rPr>
                <w:i/>
              </w:rPr>
            </w:pPr>
            <w:r w:rsidRPr="009C44C1">
              <w:rPr>
                <w:i/>
              </w:rPr>
              <w:t>0%</w:t>
            </w:r>
          </w:p>
        </w:tc>
      </w:tr>
      <w:tr w:rsidR="00F87E58" w:rsidRPr="009C44C1" w14:paraId="63BFBD1B"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008E9D09" w14:textId="77777777" w:rsidR="00F87E58" w:rsidRPr="009C44C1" w:rsidRDefault="00F87E58" w:rsidP="00A26E71">
            <w:pPr>
              <w:pStyle w:val="cuatexto"/>
              <w:spacing w:line="240" w:lineRule="auto"/>
              <w:jc w:val="left"/>
              <w:rPr>
                <w:i/>
              </w:rPr>
            </w:pPr>
            <w:r w:rsidRPr="009C44C1">
              <w:rPr>
                <w:i/>
              </w:rPr>
              <w:t>Capital</w:t>
            </w:r>
          </w:p>
        </w:tc>
        <w:tc>
          <w:tcPr>
            <w:tcW w:w="1701" w:type="dxa"/>
            <w:tcBorders>
              <w:top w:val="single" w:sz="2" w:space="0" w:color="auto"/>
              <w:left w:val="nil"/>
              <w:bottom w:val="single" w:sz="2" w:space="0" w:color="auto"/>
              <w:right w:val="nil"/>
            </w:tcBorders>
            <w:shd w:val="clear" w:color="auto" w:fill="auto"/>
            <w:noWrap/>
            <w:vAlign w:val="bottom"/>
            <w:hideMark/>
          </w:tcPr>
          <w:p w14:paraId="7A2B21E1" w14:textId="77777777" w:rsidR="00F87E58" w:rsidRPr="009C44C1" w:rsidRDefault="00F87E58" w:rsidP="00A26E71">
            <w:pPr>
              <w:pStyle w:val="cuatexto"/>
              <w:spacing w:line="240" w:lineRule="auto"/>
              <w:jc w:val="right"/>
              <w:rPr>
                <w:i/>
              </w:rPr>
            </w:pPr>
            <w:r w:rsidRPr="009C44C1">
              <w:rPr>
                <w:i/>
              </w:rPr>
              <w:t>1.800.000</w:t>
            </w:r>
          </w:p>
        </w:tc>
      </w:tr>
      <w:tr w:rsidR="00F87E58" w:rsidRPr="009C44C1" w14:paraId="3AC4E592"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4DC6B0AA" w14:textId="77777777" w:rsidR="00F87E58" w:rsidRPr="009C44C1" w:rsidRDefault="00F87E58" w:rsidP="00A26E71">
            <w:pPr>
              <w:pStyle w:val="cuatexto"/>
              <w:spacing w:line="240" w:lineRule="auto"/>
              <w:jc w:val="left"/>
              <w:rPr>
                <w:i/>
              </w:rPr>
            </w:pPr>
            <w:r w:rsidRPr="009C44C1">
              <w:rPr>
                <w:i/>
              </w:rPr>
              <w:t>Reservas</w:t>
            </w:r>
          </w:p>
        </w:tc>
        <w:tc>
          <w:tcPr>
            <w:tcW w:w="1701" w:type="dxa"/>
            <w:tcBorders>
              <w:top w:val="single" w:sz="2" w:space="0" w:color="auto"/>
              <w:left w:val="nil"/>
              <w:bottom w:val="single" w:sz="2" w:space="0" w:color="auto"/>
              <w:right w:val="nil"/>
            </w:tcBorders>
            <w:shd w:val="clear" w:color="auto" w:fill="auto"/>
            <w:noWrap/>
            <w:vAlign w:val="bottom"/>
            <w:hideMark/>
          </w:tcPr>
          <w:p w14:paraId="5A744D43" w14:textId="77777777" w:rsidR="00F87E58" w:rsidRPr="009C44C1" w:rsidRDefault="00F87E58" w:rsidP="00A26E71">
            <w:pPr>
              <w:pStyle w:val="cuatexto"/>
              <w:spacing w:line="240" w:lineRule="auto"/>
              <w:jc w:val="right"/>
              <w:rPr>
                <w:i/>
              </w:rPr>
            </w:pPr>
            <w:r w:rsidRPr="009C44C1">
              <w:rPr>
                <w:i/>
              </w:rPr>
              <w:t>-55.120.162</w:t>
            </w:r>
          </w:p>
        </w:tc>
      </w:tr>
      <w:tr w:rsidR="00F87E58" w:rsidRPr="009C44C1" w14:paraId="2F1E9436"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2EA7F0E6" w14:textId="77777777" w:rsidR="00F87E58" w:rsidRPr="009C44C1" w:rsidRDefault="00F87E58" w:rsidP="00A26E71">
            <w:pPr>
              <w:pStyle w:val="cuatexto"/>
              <w:spacing w:line="240" w:lineRule="auto"/>
              <w:jc w:val="left"/>
              <w:rPr>
                <w:i/>
              </w:rPr>
            </w:pPr>
            <w:r w:rsidRPr="009C44C1">
              <w:rPr>
                <w:i/>
              </w:rPr>
              <w:t>Otras partidas del patrimonio neto</w:t>
            </w:r>
          </w:p>
        </w:tc>
        <w:tc>
          <w:tcPr>
            <w:tcW w:w="1701" w:type="dxa"/>
            <w:tcBorders>
              <w:top w:val="single" w:sz="2" w:space="0" w:color="auto"/>
              <w:left w:val="nil"/>
              <w:bottom w:val="single" w:sz="2" w:space="0" w:color="auto"/>
              <w:right w:val="nil"/>
            </w:tcBorders>
            <w:shd w:val="clear" w:color="auto" w:fill="auto"/>
            <w:noWrap/>
            <w:vAlign w:val="bottom"/>
            <w:hideMark/>
          </w:tcPr>
          <w:p w14:paraId="7BD17FBE" w14:textId="77777777" w:rsidR="00F87E58" w:rsidRPr="009C44C1" w:rsidRDefault="00F87E58" w:rsidP="00A26E71">
            <w:pPr>
              <w:pStyle w:val="cuatexto"/>
              <w:spacing w:line="240" w:lineRule="auto"/>
              <w:jc w:val="right"/>
              <w:rPr>
                <w:i/>
              </w:rPr>
            </w:pPr>
            <w:r w:rsidRPr="009C44C1">
              <w:rPr>
                <w:i/>
              </w:rPr>
              <w:t>-</w:t>
            </w:r>
          </w:p>
        </w:tc>
      </w:tr>
      <w:tr w:rsidR="00F87E58" w:rsidRPr="009C44C1" w14:paraId="46BC1309"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43289C95" w14:textId="77777777" w:rsidR="00F87E58" w:rsidRPr="009C44C1" w:rsidRDefault="00F87E58" w:rsidP="00A26E71">
            <w:pPr>
              <w:pStyle w:val="cuatexto"/>
              <w:spacing w:line="240" w:lineRule="auto"/>
              <w:jc w:val="left"/>
              <w:rPr>
                <w:i/>
              </w:rPr>
            </w:pPr>
            <w:r w:rsidRPr="009C44C1">
              <w:rPr>
                <w:i/>
              </w:rPr>
              <w:t>Explotación</w:t>
            </w:r>
          </w:p>
        </w:tc>
        <w:tc>
          <w:tcPr>
            <w:tcW w:w="1701" w:type="dxa"/>
            <w:tcBorders>
              <w:top w:val="single" w:sz="2" w:space="0" w:color="auto"/>
              <w:left w:val="nil"/>
              <w:bottom w:val="single" w:sz="2" w:space="0" w:color="auto"/>
              <w:right w:val="nil"/>
            </w:tcBorders>
            <w:shd w:val="clear" w:color="auto" w:fill="auto"/>
            <w:noWrap/>
            <w:vAlign w:val="bottom"/>
            <w:hideMark/>
          </w:tcPr>
          <w:p w14:paraId="080BC61E" w14:textId="77777777" w:rsidR="00F87E58" w:rsidRPr="009C44C1" w:rsidRDefault="00F87E58" w:rsidP="00A26E71">
            <w:pPr>
              <w:pStyle w:val="cuatexto"/>
              <w:spacing w:line="240" w:lineRule="auto"/>
              <w:jc w:val="right"/>
              <w:rPr>
                <w:i/>
              </w:rPr>
            </w:pPr>
            <w:r w:rsidRPr="009C44C1">
              <w:rPr>
                <w:i/>
              </w:rPr>
              <w:t>-2.116.938</w:t>
            </w:r>
          </w:p>
        </w:tc>
      </w:tr>
      <w:tr w:rsidR="00F87E58" w:rsidRPr="009C44C1" w14:paraId="15351963"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38332B91" w14:textId="77777777" w:rsidR="00F87E58" w:rsidRPr="009C44C1" w:rsidRDefault="00F87E58" w:rsidP="00A26E71">
            <w:pPr>
              <w:pStyle w:val="cuatexto"/>
              <w:spacing w:line="240" w:lineRule="auto"/>
              <w:jc w:val="left"/>
              <w:rPr>
                <w:i/>
              </w:rPr>
            </w:pPr>
            <w:r w:rsidRPr="009C44C1">
              <w:rPr>
                <w:i/>
              </w:rPr>
              <w:t>Actividades continuadas</w:t>
            </w:r>
          </w:p>
        </w:tc>
        <w:tc>
          <w:tcPr>
            <w:tcW w:w="1701" w:type="dxa"/>
            <w:tcBorders>
              <w:top w:val="single" w:sz="2" w:space="0" w:color="auto"/>
              <w:left w:val="nil"/>
              <w:bottom w:val="single" w:sz="2" w:space="0" w:color="auto"/>
              <w:right w:val="nil"/>
            </w:tcBorders>
            <w:shd w:val="clear" w:color="auto" w:fill="auto"/>
            <w:noWrap/>
            <w:vAlign w:val="bottom"/>
            <w:hideMark/>
          </w:tcPr>
          <w:p w14:paraId="1E1B37B7" w14:textId="77777777" w:rsidR="00F87E58" w:rsidRPr="009C44C1" w:rsidRDefault="00F87E58" w:rsidP="00A26E71">
            <w:pPr>
              <w:pStyle w:val="cuatexto"/>
              <w:spacing w:line="240" w:lineRule="auto"/>
              <w:jc w:val="right"/>
              <w:rPr>
                <w:i/>
              </w:rPr>
            </w:pPr>
            <w:r w:rsidRPr="009C44C1">
              <w:rPr>
                <w:i/>
              </w:rPr>
              <w:t>-2.210.198</w:t>
            </w:r>
          </w:p>
        </w:tc>
      </w:tr>
      <w:tr w:rsidR="00F87E58" w:rsidRPr="009C44C1" w14:paraId="2BF29621"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311B9D65" w14:textId="77777777" w:rsidR="00F87E58" w:rsidRPr="009C44C1" w:rsidRDefault="00F87E58" w:rsidP="00A26E71">
            <w:pPr>
              <w:pStyle w:val="cuatexto"/>
              <w:spacing w:line="240" w:lineRule="auto"/>
              <w:jc w:val="left"/>
              <w:rPr>
                <w:i/>
              </w:rPr>
            </w:pPr>
            <w:r w:rsidRPr="009C44C1">
              <w:rPr>
                <w:i/>
              </w:rPr>
              <w:t>Actividades interrumpidas</w:t>
            </w:r>
          </w:p>
        </w:tc>
        <w:tc>
          <w:tcPr>
            <w:tcW w:w="1701" w:type="dxa"/>
            <w:tcBorders>
              <w:top w:val="single" w:sz="2" w:space="0" w:color="auto"/>
              <w:left w:val="nil"/>
              <w:bottom w:val="single" w:sz="2" w:space="0" w:color="auto"/>
              <w:right w:val="nil"/>
            </w:tcBorders>
            <w:shd w:val="clear" w:color="auto" w:fill="auto"/>
            <w:noWrap/>
            <w:vAlign w:val="bottom"/>
            <w:hideMark/>
          </w:tcPr>
          <w:p w14:paraId="0B71E889" w14:textId="77777777" w:rsidR="00F87E58" w:rsidRPr="009C44C1" w:rsidRDefault="00F87E58" w:rsidP="00A26E71">
            <w:pPr>
              <w:pStyle w:val="cuatexto"/>
              <w:spacing w:line="240" w:lineRule="auto"/>
              <w:jc w:val="right"/>
              <w:rPr>
                <w:i/>
              </w:rPr>
            </w:pPr>
            <w:r w:rsidRPr="009C44C1">
              <w:rPr>
                <w:i/>
              </w:rPr>
              <w:t>-</w:t>
            </w:r>
          </w:p>
        </w:tc>
      </w:tr>
      <w:tr w:rsidR="00F87E58" w:rsidRPr="009C44C1" w14:paraId="087EF6EE"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147638F9" w14:textId="77777777" w:rsidR="00F87E58" w:rsidRPr="009C44C1" w:rsidRDefault="00F87E58" w:rsidP="00A26E71">
            <w:pPr>
              <w:pStyle w:val="cuatexto"/>
              <w:spacing w:line="240" w:lineRule="auto"/>
              <w:jc w:val="left"/>
              <w:rPr>
                <w:i/>
              </w:rPr>
            </w:pPr>
            <w:r w:rsidRPr="009C44C1">
              <w:rPr>
                <w:i/>
              </w:rPr>
              <w:t>Total</w:t>
            </w:r>
          </w:p>
        </w:tc>
        <w:tc>
          <w:tcPr>
            <w:tcW w:w="1701" w:type="dxa"/>
            <w:tcBorders>
              <w:top w:val="single" w:sz="2" w:space="0" w:color="auto"/>
              <w:left w:val="nil"/>
              <w:bottom w:val="single" w:sz="2" w:space="0" w:color="auto"/>
              <w:right w:val="nil"/>
            </w:tcBorders>
            <w:shd w:val="clear" w:color="auto" w:fill="auto"/>
            <w:noWrap/>
            <w:vAlign w:val="bottom"/>
            <w:hideMark/>
          </w:tcPr>
          <w:p w14:paraId="167458CA" w14:textId="77777777" w:rsidR="00F87E58" w:rsidRPr="009C44C1" w:rsidRDefault="00F87E58" w:rsidP="00A26E71">
            <w:pPr>
              <w:pStyle w:val="cuatexto"/>
              <w:spacing w:line="240" w:lineRule="auto"/>
              <w:jc w:val="right"/>
              <w:rPr>
                <w:i/>
              </w:rPr>
            </w:pPr>
            <w:r w:rsidRPr="009C44C1">
              <w:rPr>
                <w:i/>
              </w:rPr>
              <w:t>-2.210.198</w:t>
            </w:r>
          </w:p>
        </w:tc>
      </w:tr>
      <w:tr w:rsidR="00F87E58" w:rsidRPr="009C44C1" w14:paraId="0D4D3053"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09D3CF1F" w14:textId="77777777" w:rsidR="00F87E58" w:rsidRPr="009C44C1" w:rsidRDefault="00F87E58" w:rsidP="00A26E71">
            <w:pPr>
              <w:pStyle w:val="cuatexto"/>
              <w:spacing w:line="240" w:lineRule="auto"/>
              <w:jc w:val="left"/>
              <w:rPr>
                <w:i/>
              </w:rPr>
            </w:pPr>
            <w:r w:rsidRPr="009C44C1">
              <w:rPr>
                <w:i/>
              </w:rPr>
              <w:t>Patrimonio neto total</w:t>
            </w:r>
          </w:p>
        </w:tc>
        <w:tc>
          <w:tcPr>
            <w:tcW w:w="1701" w:type="dxa"/>
            <w:tcBorders>
              <w:top w:val="single" w:sz="2" w:space="0" w:color="auto"/>
              <w:left w:val="nil"/>
              <w:bottom w:val="single" w:sz="2" w:space="0" w:color="auto"/>
              <w:right w:val="nil"/>
            </w:tcBorders>
            <w:shd w:val="clear" w:color="auto" w:fill="auto"/>
            <w:noWrap/>
            <w:vAlign w:val="bottom"/>
            <w:hideMark/>
          </w:tcPr>
          <w:p w14:paraId="1DBD96C1" w14:textId="77777777" w:rsidR="00F87E58" w:rsidRPr="009C44C1" w:rsidRDefault="00F87E58" w:rsidP="00A26E71">
            <w:pPr>
              <w:pStyle w:val="cuatexto"/>
              <w:spacing w:line="240" w:lineRule="auto"/>
              <w:jc w:val="right"/>
              <w:rPr>
                <w:i/>
              </w:rPr>
            </w:pPr>
            <w:r w:rsidRPr="009C44C1">
              <w:rPr>
                <w:i/>
              </w:rPr>
              <w:t>-55.530.360</w:t>
            </w:r>
          </w:p>
        </w:tc>
      </w:tr>
      <w:tr w:rsidR="00F87E58" w:rsidRPr="009C44C1" w14:paraId="07C81A3F"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65439B32" w14:textId="77777777" w:rsidR="00F87E58" w:rsidRPr="009C44C1" w:rsidRDefault="00F87E58" w:rsidP="00A26E71">
            <w:pPr>
              <w:pStyle w:val="cuatexto"/>
              <w:spacing w:line="240" w:lineRule="auto"/>
              <w:jc w:val="left"/>
              <w:rPr>
                <w:i/>
              </w:rPr>
            </w:pPr>
            <w:r w:rsidRPr="009C44C1">
              <w:rPr>
                <w:i/>
              </w:rPr>
              <w:t>Coste</w:t>
            </w:r>
          </w:p>
        </w:tc>
        <w:tc>
          <w:tcPr>
            <w:tcW w:w="1701" w:type="dxa"/>
            <w:tcBorders>
              <w:top w:val="single" w:sz="2" w:space="0" w:color="auto"/>
              <w:left w:val="nil"/>
              <w:bottom w:val="single" w:sz="2" w:space="0" w:color="auto"/>
              <w:right w:val="nil"/>
            </w:tcBorders>
            <w:shd w:val="clear" w:color="auto" w:fill="auto"/>
            <w:noWrap/>
            <w:vAlign w:val="bottom"/>
            <w:hideMark/>
          </w:tcPr>
          <w:p w14:paraId="6DA5AC19" w14:textId="77777777" w:rsidR="00F87E58" w:rsidRPr="009C44C1" w:rsidRDefault="00F87E58" w:rsidP="00A26E71">
            <w:pPr>
              <w:pStyle w:val="cuatexto"/>
              <w:spacing w:line="240" w:lineRule="auto"/>
              <w:jc w:val="right"/>
              <w:rPr>
                <w:i/>
              </w:rPr>
            </w:pPr>
            <w:r w:rsidRPr="009C44C1">
              <w:rPr>
                <w:i/>
              </w:rPr>
              <w:t>4.050.000</w:t>
            </w:r>
          </w:p>
        </w:tc>
      </w:tr>
      <w:tr w:rsidR="00F87E58" w:rsidRPr="009C44C1" w14:paraId="62A91663" w14:textId="77777777" w:rsidTr="00A26E71">
        <w:trPr>
          <w:trHeight w:val="170"/>
        </w:trPr>
        <w:tc>
          <w:tcPr>
            <w:tcW w:w="7371" w:type="dxa"/>
            <w:tcBorders>
              <w:top w:val="single" w:sz="2" w:space="0" w:color="auto"/>
              <w:left w:val="nil"/>
              <w:bottom w:val="single" w:sz="2" w:space="0" w:color="auto"/>
              <w:right w:val="nil"/>
            </w:tcBorders>
            <w:shd w:val="clear" w:color="auto" w:fill="auto"/>
            <w:noWrap/>
            <w:vAlign w:val="bottom"/>
            <w:hideMark/>
          </w:tcPr>
          <w:p w14:paraId="22A38A60" w14:textId="77777777" w:rsidR="00F87E58" w:rsidRPr="009C44C1" w:rsidRDefault="00F87E58" w:rsidP="00A26E71">
            <w:pPr>
              <w:pStyle w:val="cuatexto"/>
              <w:spacing w:line="240" w:lineRule="auto"/>
              <w:jc w:val="left"/>
              <w:rPr>
                <w:i/>
              </w:rPr>
            </w:pPr>
            <w:r w:rsidRPr="009C44C1">
              <w:rPr>
                <w:i/>
              </w:rPr>
              <w:t>Deterioro del ejercicio</w:t>
            </w:r>
          </w:p>
        </w:tc>
        <w:tc>
          <w:tcPr>
            <w:tcW w:w="1701" w:type="dxa"/>
            <w:tcBorders>
              <w:top w:val="single" w:sz="2" w:space="0" w:color="auto"/>
              <w:left w:val="nil"/>
              <w:bottom w:val="single" w:sz="2" w:space="0" w:color="auto"/>
              <w:right w:val="nil"/>
            </w:tcBorders>
            <w:shd w:val="clear" w:color="auto" w:fill="auto"/>
            <w:noWrap/>
            <w:vAlign w:val="bottom"/>
            <w:hideMark/>
          </w:tcPr>
          <w:p w14:paraId="77005425" w14:textId="77777777" w:rsidR="00F87E58" w:rsidRPr="009C44C1" w:rsidRDefault="00F87E58" w:rsidP="00A26E71">
            <w:pPr>
              <w:pStyle w:val="cuatexto"/>
              <w:spacing w:line="240" w:lineRule="auto"/>
              <w:jc w:val="right"/>
              <w:rPr>
                <w:i/>
              </w:rPr>
            </w:pPr>
            <w:r w:rsidRPr="009C44C1">
              <w:rPr>
                <w:i/>
              </w:rPr>
              <w:t>.</w:t>
            </w:r>
          </w:p>
        </w:tc>
      </w:tr>
      <w:tr w:rsidR="00F87E58" w:rsidRPr="009C44C1" w14:paraId="0FCD0DF7" w14:textId="77777777" w:rsidTr="00A26E71">
        <w:trPr>
          <w:trHeight w:val="170"/>
        </w:trPr>
        <w:tc>
          <w:tcPr>
            <w:tcW w:w="7371" w:type="dxa"/>
            <w:tcBorders>
              <w:top w:val="single" w:sz="2" w:space="0" w:color="auto"/>
              <w:left w:val="nil"/>
              <w:bottom w:val="single" w:sz="4" w:space="0" w:color="auto"/>
              <w:right w:val="nil"/>
            </w:tcBorders>
            <w:shd w:val="clear" w:color="auto" w:fill="auto"/>
            <w:noWrap/>
            <w:vAlign w:val="bottom"/>
            <w:hideMark/>
          </w:tcPr>
          <w:p w14:paraId="0BCCB30D" w14:textId="77777777" w:rsidR="00F87E58" w:rsidRPr="009C44C1" w:rsidRDefault="00F87E58" w:rsidP="00A26E71">
            <w:pPr>
              <w:pStyle w:val="cuatexto"/>
              <w:spacing w:line="240" w:lineRule="auto"/>
              <w:jc w:val="left"/>
              <w:rPr>
                <w:i/>
              </w:rPr>
            </w:pPr>
            <w:r w:rsidRPr="009C44C1">
              <w:rPr>
                <w:i/>
              </w:rPr>
              <w:t>Deterioro acumulado</w:t>
            </w:r>
          </w:p>
        </w:tc>
        <w:tc>
          <w:tcPr>
            <w:tcW w:w="1701" w:type="dxa"/>
            <w:tcBorders>
              <w:top w:val="single" w:sz="2" w:space="0" w:color="auto"/>
              <w:left w:val="nil"/>
              <w:bottom w:val="single" w:sz="4" w:space="0" w:color="auto"/>
              <w:right w:val="nil"/>
            </w:tcBorders>
            <w:shd w:val="clear" w:color="auto" w:fill="auto"/>
            <w:noWrap/>
            <w:vAlign w:val="bottom"/>
            <w:hideMark/>
          </w:tcPr>
          <w:p w14:paraId="46FDC074" w14:textId="77777777" w:rsidR="00F87E58" w:rsidRPr="009C44C1" w:rsidRDefault="00F87E58" w:rsidP="00A26E71">
            <w:pPr>
              <w:pStyle w:val="cuatexto"/>
              <w:spacing w:line="240" w:lineRule="auto"/>
              <w:jc w:val="right"/>
              <w:rPr>
                <w:i/>
              </w:rPr>
            </w:pPr>
            <w:r w:rsidRPr="009C44C1">
              <w:rPr>
                <w:i/>
              </w:rPr>
              <w:t>-4.050.000</w:t>
            </w:r>
          </w:p>
        </w:tc>
      </w:tr>
      <w:tr w:rsidR="00F87E58" w:rsidRPr="009C44C1" w14:paraId="5576702A" w14:textId="77777777" w:rsidTr="00F87E58">
        <w:trPr>
          <w:trHeight w:val="198"/>
        </w:trPr>
        <w:tc>
          <w:tcPr>
            <w:tcW w:w="7371" w:type="dxa"/>
            <w:tcBorders>
              <w:top w:val="single" w:sz="4" w:space="0" w:color="auto"/>
              <w:left w:val="nil"/>
              <w:bottom w:val="single" w:sz="4" w:space="0" w:color="auto"/>
              <w:right w:val="nil"/>
            </w:tcBorders>
            <w:shd w:val="clear" w:color="auto" w:fill="auto"/>
            <w:noWrap/>
            <w:vAlign w:val="bottom"/>
            <w:hideMark/>
          </w:tcPr>
          <w:p w14:paraId="489D7ED1" w14:textId="77777777" w:rsidR="00F87E58" w:rsidRPr="009C44C1" w:rsidRDefault="00F87E58" w:rsidP="00F87E58">
            <w:pPr>
              <w:pStyle w:val="cuatexto"/>
              <w:jc w:val="left"/>
              <w:rPr>
                <w:i/>
              </w:rPr>
            </w:pPr>
            <w:r w:rsidRPr="009C44C1">
              <w:rPr>
                <w:i/>
              </w:rPr>
              <w:t>Dividendos recibidos</w:t>
            </w:r>
          </w:p>
        </w:tc>
        <w:tc>
          <w:tcPr>
            <w:tcW w:w="1701" w:type="dxa"/>
            <w:tcBorders>
              <w:top w:val="single" w:sz="4" w:space="0" w:color="auto"/>
              <w:left w:val="nil"/>
              <w:bottom w:val="single" w:sz="4" w:space="0" w:color="auto"/>
              <w:right w:val="nil"/>
            </w:tcBorders>
            <w:shd w:val="clear" w:color="auto" w:fill="auto"/>
            <w:noWrap/>
            <w:vAlign w:val="bottom"/>
            <w:hideMark/>
          </w:tcPr>
          <w:p w14:paraId="5D16F9B5" w14:textId="77777777" w:rsidR="00F87E58" w:rsidRPr="009C44C1" w:rsidRDefault="00F87E58" w:rsidP="00F87E58">
            <w:pPr>
              <w:pStyle w:val="cuatexto"/>
              <w:jc w:val="right"/>
              <w:rPr>
                <w:i/>
              </w:rPr>
            </w:pPr>
            <w:r w:rsidRPr="009C44C1">
              <w:rPr>
                <w:i/>
              </w:rPr>
              <w:t>-</w:t>
            </w:r>
          </w:p>
        </w:tc>
      </w:tr>
    </w:tbl>
    <w:p w14:paraId="3BB9EC2D" w14:textId="77777777" w:rsidR="00F87E58" w:rsidRDefault="00F87E58" w:rsidP="00F87E58">
      <w:pPr>
        <w:spacing w:after="0"/>
        <w:ind w:firstLine="0"/>
        <w:jc w:val="left"/>
        <w:rPr>
          <w:rFonts w:ascii="Arial" w:hAnsi="Arial"/>
          <w:i/>
          <w:iCs/>
          <w:color w:val="000000"/>
          <w:spacing w:val="10"/>
          <w:kern w:val="28"/>
        </w:rPr>
      </w:pPr>
      <w:r>
        <w:br w:type="page"/>
      </w:r>
    </w:p>
    <w:p w14:paraId="66A649EB" w14:textId="77777777" w:rsidR="00F87E58" w:rsidRPr="009C44C1" w:rsidRDefault="00F87E58" w:rsidP="00F87E58">
      <w:pPr>
        <w:pStyle w:val="atitulo3"/>
        <w:rPr>
          <w:sz w:val="20"/>
          <w:szCs w:val="20"/>
        </w:rPr>
      </w:pPr>
      <w:r w:rsidRPr="009C44C1">
        <w:rPr>
          <w:sz w:val="20"/>
          <w:szCs w:val="20"/>
        </w:rPr>
        <w:lastRenderedPageBreak/>
        <w:t xml:space="preserve">Apartado 11.2 Garantías, avales y pasivos contingentes </w:t>
      </w:r>
    </w:p>
    <w:tbl>
      <w:tblPr>
        <w:tblW w:w="8789" w:type="dxa"/>
        <w:tblCellMar>
          <w:left w:w="70" w:type="dxa"/>
          <w:right w:w="70" w:type="dxa"/>
        </w:tblCellMar>
        <w:tblLook w:val="04A0" w:firstRow="1" w:lastRow="0" w:firstColumn="1" w:lastColumn="0" w:noHBand="0" w:noVBand="1"/>
      </w:tblPr>
      <w:tblGrid>
        <w:gridCol w:w="6804"/>
        <w:gridCol w:w="844"/>
        <w:gridCol w:w="1141"/>
      </w:tblGrid>
      <w:tr w:rsidR="00F87E58" w:rsidRPr="009C44C1" w14:paraId="6BEB1868" w14:textId="77777777" w:rsidTr="00F87E58">
        <w:trPr>
          <w:trHeight w:val="253"/>
        </w:trPr>
        <w:tc>
          <w:tcPr>
            <w:tcW w:w="6804" w:type="dxa"/>
            <w:tcBorders>
              <w:top w:val="single" w:sz="4" w:space="0" w:color="auto"/>
              <w:left w:val="nil"/>
              <w:bottom w:val="single" w:sz="4" w:space="0" w:color="auto"/>
              <w:right w:val="nil"/>
            </w:tcBorders>
            <w:shd w:val="clear" w:color="auto" w:fill="auto"/>
            <w:noWrap/>
            <w:vAlign w:val="center"/>
            <w:hideMark/>
          </w:tcPr>
          <w:p w14:paraId="146EB8D4" w14:textId="77777777" w:rsidR="00F87E58" w:rsidRPr="009C44C1" w:rsidRDefault="00F87E58" w:rsidP="00F87E58">
            <w:pPr>
              <w:pStyle w:val="cuadroCabe"/>
              <w:jc w:val="left"/>
            </w:pPr>
          </w:p>
        </w:tc>
        <w:tc>
          <w:tcPr>
            <w:tcW w:w="1127" w:type="dxa"/>
            <w:tcBorders>
              <w:top w:val="single" w:sz="4" w:space="0" w:color="auto"/>
              <w:left w:val="nil"/>
              <w:bottom w:val="single" w:sz="4" w:space="0" w:color="auto"/>
              <w:right w:val="nil"/>
            </w:tcBorders>
            <w:shd w:val="clear" w:color="auto" w:fill="auto"/>
            <w:vAlign w:val="center"/>
          </w:tcPr>
          <w:p w14:paraId="76B56B8A" w14:textId="77777777" w:rsidR="00F87E58" w:rsidRPr="009C44C1" w:rsidRDefault="00F87E58" w:rsidP="00F87E58">
            <w:pPr>
              <w:pStyle w:val="cuadroCabe"/>
              <w:jc w:val="right"/>
            </w:pPr>
            <w:r w:rsidRPr="009C44C1">
              <w:t>2022</w:t>
            </w:r>
          </w:p>
        </w:tc>
        <w:tc>
          <w:tcPr>
            <w:tcW w:w="1141" w:type="dxa"/>
            <w:tcBorders>
              <w:top w:val="single" w:sz="4" w:space="0" w:color="auto"/>
              <w:left w:val="nil"/>
              <w:bottom w:val="single" w:sz="4" w:space="0" w:color="auto"/>
              <w:right w:val="nil"/>
            </w:tcBorders>
            <w:shd w:val="clear" w:color="auto" w:fill="auto"/>
            <w:noWrap/>
            <w:vAlign w:val="center"/>
          </w:tcPr>
          <w:p w14:paraId="28EB74C3" w14:textId="77777777" w:rsidR="00F87E58" w:rsidRPr="009C44C1" w:rsidRDefault="00F87E58" w:rsidP="00F87E58">
            <w:pPr>
              <w:pStyle w:val="cuadroCabe"/>
              <w:jc w:val="right"/>
            </w:pPr>
            <w:r w:rsidRPr="009C44C1">
              <w:t>2021</w:t>
            </w:r>
          </w:p>
        </w:tc>
      </w:tr>
      <w:tr w:rsidR="00F87E58" w:rsidRPr="009C44C1" w14:paraId="41D4E776" w14:textId="77777777" w:rsidTr="00F87E58">
        <w:trPr>
          <w:trHeight w:val="198"/>
        </w:trPr>
        <w:tc>
          <w:tcPr>
            <w:tcW w:w="6804" w:type="dxa"/>
            <w:tcBorders>
              <w:top w:val="single" w:sz="4" w:space="0" w:color="auto"/>
              <w:left w:val="nil"/>
              <w:bottom w:val="single" w:sz="4" w:space="0" w:color="auto"/>
              <w:right w:val="nil"/>
            </w:tcBorders>
            <w:shd w:val="clear" w:color="auto" w:fill="auto"/>
            <w:noWrap/>
            <w:vAlign w:val="bottom"/>
            <w:hideMark/>
          </w:tcPr>
          <w:p w14:paraId="35143722" w14:textId="77777777" w:rsidR="00F87E58" w:rsidRPr="009C44C1" w:rsidRDefault="00F87E58" w:rsidP="00F87E58">
            <w:pPr>
              <w:pStyle w:val="cuatexto"/>
              <w:jc w:val="left"/>
              <w:rPr>
                <w:i/>
              </w:rPr>
            </w:pPr>
            <w:r w:rsidRPr="009C44C1">
              <w:rPr>
                <w:i/>
              </w:rPr>
              <w:t xml:space="preserve">Parque de la Naturaleza de Navarra S.A. </w:t>
            </w:r>
          </w:p>
        </w:tc>
        <w:tc>
          <w:tcPr>
            <w:tcW w:w="1127" w:type="dxa"/>
            <w:tcBorders>
              <w:top w:val="single" w:sz="4" w:space="0" w:color="auto"/>
              <w:left w:val="nil"/>
              <w:bottom w:val="single" w:sz="4" w:space="0" w:color="auto"/>
              <w:right w:val="nil"/>
            </w:tcBorders>
          </w:tcPr>
          <w:p w14:paraId="6393D5D0" w14:textId="77777777" w:rsidR="00F87E58" w:rsidRPr="009C44C1" w:rsidRDefault="00F87E58" w:rsidP="00F87E58">
            <w:pPr>
              <w:pStyle w:val="cuatexto"/>
              <w:jc w:val="right"/>
              <w:rPr>
                <w:i/>
              </w:rPr>
            </w:pPr>
            <w:r w:rsidRPr="009C44C1">
              <w:rPr>
                <w:i/>
              </w:rPr>
              <w:t>180.000</w:t>
            </w:r>
          </w:p>
        </w:tc>
        <w:tc>
          <w:tcPr>
            <w:tcW w:w="1141" w:type="dxa"/>
            <w:tcBorders>
              <w:top w:val="single" w:sz="4" w:space="0" w:color="auto"/>
              <w:left w:val="nil"/>
              <w:bottom w:val="single" w:sz="4" w:space="0" w:color="auto"/>
              <w:right w:val="nil"/>
            </w:tcBorders>
            <w:shd w:val="clear" w:color="auto" w:fill="auto"/>
            <w:noWrap/>
            <w:vAlign w:val="bottom"/>
            <w:hideMark/>
          </w:tcPr>
          <w:p w14:paraId="397E6AD3" w14:textId="77777777" w:rsidR="00F87E58" w:rsidRPr="009C44C1" w:rsidRDefault="00F87E58" w:rsidP="00F87E58">
            <w:pPr>
              <w:pStyle w:val="cuatexto"/>
              <w:jc w:val="right"/>
              <w:rPr>
                <w:i/>
              </w:rPr>
            </w:pPr>
            <w:r w:rsidRPr="009C44C1">
              <w:rPr>
                <w:i/>
              </w:rPr>
              <w:t>180.000</w:t>
            </w:r>
          </w:p>
        </w:tc>
      </w:tr>
    </w:tbl>
    <w:p w14:paraId="1FC0664C" w14:textId="77777777" w:rsidR="00F87E58" w:rsidRPr="009C44C1" w:rsidRDefault="00F87E58" w:rsidP="00F87E58">
      <w:pPr>
        <w:pStyle w:val="atitulo3"/>
        <w:spacing w:before="240"/>
        <w:rPr>
          <w:sz w:val="20"/>
          <w:szCs w:val="20"/>
        </w:rPr>
      </w:pPr>
      <w:r w:rsidRPr="009C44C1">
        <w:rPr>
          <w:sz w:val="20"/>
          <w:szCs w:val="20"/>
        </w:rPr>
        <w:t>Apartado 8.2.1 Créditos a empresas del grupo y asociadas</w:t>
      </w:r>
    </w:p>
    <w:tbl>
      <w:tblPr>
        <w:tblW w:w="8789" w:type="dxa"/>
        <w:tblCellMar>
          <w:left w:w="70" w:type="dxa"/>
          <w:right w:w="70" w:type="dxa"/>
        </w:tblCellMar>
        <w:tblLook w:val="04A0" w:firstRow="1" w:lastRow="0" w:firstColumn="1" w:lastColumn="0" w:noHBand="0" w:noVBand="1"/>
      </w:tblPr>
      <w:tblGrid>
        <w:gridCol w:w="7002"/>
        <w:gridCol w:w="1787"/>
      </w:tblGrid>
      <w:tr w:rsidR="00F87E58" w:rsidRPr="009C44C1" w14:paraId="5B27D1D7" w14:textId="77777777" w:rsidTr="00321B53">
        <w:trPr>
          <w:trHeight w:val="198"/>
        </w:trPr>
        <w:tc>
          <w:tcPr>
            <w:tcW w:w="7002" w:type="dxa"/>
            <w:tcBorders>
              <w:top w:val="single" w:sz="4" w:space="0" w:color="auto"/>
              <w:left w:val="nil"/>
              <w:bottom w:val="single" w:sz="4" w:space="0" w:color="auto"/>
              <w:right w:val="nil"/>
            </w:tcBorders>
            <w:shd w:val="clear" w:color="auto" w:fill="auto"/>
            <w:noWrap/>
            <w:vAlign w:val="bottom"/>
          </w:tcPr>
          <w:p w14:paraId="33212F94" w14:textId="77777777" w:rsidR="00F87E58" w:rsidRPr="009C44C1" w:rsidRDefault="00F87E58" w:rsidP="00F87E58">
            <w:pPr>
              <w:pStyle w:val="cuadroCabe"/>
              <w:jc w:val="left"/>
              <w:rPr>
                <w:rFonts w:ascii="Arial Narrow" w:hAnsi="Arial Narrow"/>
                <w:i/>
                <w:sz w:val="20"/>
                <w:szCs w:val="20"/>
              </w:rPr>
            </w:pPr>
            <w:r w:rsidRPr="009C44C1">
              <w:rPr>
                <w:rFonts w:ascii="Arial Narrow" w:hAnsi="Arial Narrow"/>
                <w:i/>
                <w:sz w:val="20"/>
                <w:szCs w:val="20"/>
              </w:rPr>
              <w:t>Créditos</w:t>
            </w:r>
          </w:p>
        </w:tc>
        <w:tc>
          <w:tcPr>
            <w:tcW w:w="1787" w:type="dxa"/>
            <w:tcBorders>
              <w:top w:val="single" w:sz="4" w:space="0" w:color="auto"/>
              <w:left w:val="nil"/>
              <w:bottom w:val="single" w:sz="4" w:space="0" w:color="auto"/>
              <w:right w:val="nil"/>
            </w:tcBorders>
            <w:shd w:val="clear" w:color="auto" w:fill="auto"/>
            <w:noWrap/>
            <w:vAlign w:val="bottom"/>
          </w:tcPr>
          <w:p w14:paraId="1B2AFC90" w14:textId="77777777" w:rsidR="00F87E58" w:rsidRPr="009C44C1" w:rsidRDefault="00F87E58" w:rsidP="00F87E58">
            <w:pPr>
              <w:pStyle w:val="cuadroCabe"/>
              <w:jc w:val="right"/>
              <w:rPr>
                <w:rFonts w:ascii="Arial Narrow" w:hAnsi="Arial Narrow"/>
                <w:i/>
                <w:sz w:val="20"/>
                <w:szCs w:val="20"/>
              </w:rPr>
            </w:pPr>
            <w:r w:rsidRPr="009C44C1">
              <w:rPr>
                <w:rFonts w:ascii="Arial Narrow" w:hAnsi="Arial Narrow"/>
                <w:i/>
                <w:sz w:val="20"/>
                <w:szCs w:val="20"/>
              </w:rPr>
              <w:t>2022</w:t>
            </w:r>
          </w:p>
        </w:tc>
      </w:tr>
      <w:tr w:rsidR="00F87E58" w:rsidRPr="009C44C1" w14:paraId="6D280945" w14:textId="77777777" w:rsidTr="00321B53">
        <w:trPr>
          <w:trHeight w:val="198"/>
        </w:trPr>
        <w:tc>
          <w:tcPr>
            <w:tcW w:w="7002" w:type="dxa"/>
            <w:tcBorders>
              <w:top w:val="single" w:sz="4" w:space="0" w:color="auto"/>
              <w:left w:val="nil"/>
              <w:bottom w:val="single" w:sz="2" w:space="0" w:color="auto"/>
              <w:right w:val="nil"/>
            </w:tcBorders>
            <w:shd w:val="clear" w:color="auto" w:fill="auto"/>
            <w:noWrap/>
            <w:vAlign w:val="bottom"/>
            <w:hideMark/>
          </w:tcPr>
          <w:p w14:paraId="21AA016B" w14:textId="77777777" w:rsidR="00F87E58" w:rsidRPr="009C44C1" w:rsidRDefault="00F87E58" w:rsidP="00F87E58">
            <w:pPr>
              <w:pStyle w:val="cuadroCabe"/>
              <w:jc w:val="left"/>
              <w:rPr>
                <w:rFonts w:ascii="Arial Narrow" w:hAnsi="Arial Narrow"/>
                <w:i/>
                <w:sz w:val="20"/>
                <w:szCs w:val="20"/>
              </w:rPr>
            </w:pPr>
            <w:r w:rsidRPr="009C44C1">
              <w:rPr>
                <w:rFonts w:ascii="Arial Narrow" w:hAnsi="Arial Narrow"/>
                <w:i/>
                <w:sz w:val="20"/>
                <w:szCs w:val="20"/>
              </w:rPr>
              <w:t>Importe concedido</w:t>
            </w:r>
          </w:p>
        </w:tc>
        <w:tc>
          <w:tcPr>
            <w:tcW w:w="1787" w:type="dxa"/>
            <w:tcBorders>
              <w:top w:val="single" w:sz="4" w:space="0" w:color="auto"/>
              <w:left w:val="nil"/>
              <w:bottom w:val="single" w:sz="2" w:space="0" w:color="auto"/>
              <w:right w:val="nil"/>
            </w:tcBorders>
            <w:shd w:val="clear" w:color="auto" w:fill="auto"/>
            <w:noWrap/>
            <w:vAlign w:val="bottom"/>
            <w:hideMark/>
          </w:tcPr>
          <w:p w14:paraId="12053752" w14:textId="77777777" w:rsidR="00F87E58" w:rsidRPr="009C44C1" w:rsidRDefault="00F87E58" w:rsidP="00F87E58">
            <w:pPr>
              <w:pStyle w:val="cuadroCabe"/>
              <w:jc w:val="right"/>
              <w:rPr>
                <w:rFonts w:ascii="Arial Narrow" w:hAnsi="Arial Narrow"/>
                <w:i/>
                <w:sz w:val="20"/>
                <w:szCs w:val="20"/>
              </w:rPr>
            </w:pPr>
            <w:r w:rsidRPr="009C44C1">
              <w:rPr>
                <w:rFonts w:ascii="Arial Narrow" w:hAnsi="Arial Narrow"/>
                <w:i/>
                <w:sz w:val="20"/>
                <w:szCs w:val="20"/>
              </w:rPr>
              <w:t>78.104.448</w:t>
            </w:r>
          </w:p>
        </w:tc>
      </w:tr>
      <w:tr w:rsidR="00F87E58" w:rsidRPr="009C44C1" w14:paraId="6EA432D3" w14:textId="77777777" w:rsidTr="00F87E58">
        <w:trPr>
          <w:trHeight w:val="198"/>
        </w:trPr>
        <w:tc>
          <w:tcPr>
            <w:tcW w:w="7002" w:type="dxa"/>
            <w:tcBorders>
              <w:top w:val="single" w:sz="2" w:space="0" w:color="auto"/>
              <w:left w:val="nil"/>
              <w:bottom w:val="single" w:sz="2" w:space="0" w:color="auto"/>
              <w:right w:val="nil"/>
            </w:tcBorders>
            <w:shd w:val="clear" w:color="auto" w:fill="auto"/>
            <w:noWrap/>
            <w:vAlign w:val="bottom"/>
            <w:hideMark/>
          </w:tcPr>
          <w:p w14:paraId="33F89D05" w14:textId="77777777" w:rsidR="00F87E58" w:rsidRPr="009C44C1" w:rsidRDefault="00F87E58" w:rsidP="00F87E58">
            <w:pPr>
              <w:pStyle w:val="cuadroCabe"/>
              <w:jc w:val="left"/>
              <w:rPr>
                <w:rFonts w:ascii="Arial Narrow" w:hAnsi="Arial Narrow"/>
                <w:i/>
                <w:sz w:val="20"/>
                <w:szCs w:val="20"/>
              </w:rPr>
            </w:pPr>
            <w:r w:rsidRPr="009C44C1">
              <w:rPr>
                <w:rFonts w:ascii="Arial Narrow" w:hAnsi="Arial Narrow"/>
                <w:i/>
                <w:sz w:val="20"/>
                <w:szCs w:val="20"/>
              </w:rPr>
              <w:t>Intereses</w:t>
            </w:r>
          </w:p>
        </w:tc>
        <w:tc>
          <w:tcPr>
            <w:tcW w:w="1787" w:type="dxa"/>
            <w:tcBorders>
              <w:top w:val="single" w:sz="2" w:space="0" w:color="auto"/>
              <w:left w:val="nil"/>
              <w:bottom w:val="single" w:sz="2" w:space="0" w:color="auto"/>
              <w:right w:val="nil"/>
            </w:tcBorders>
            <w:shd w:val="clear" w:color="auto" w:fill="auto"/>
            <w:noWrap/>
            <w:vAlign w:val="bottom"/>
            <w:hideMark/>
          </w:tcPr>
          <w:p w14:paraId="63AC9385" w14:textId="77777777" w:rsidR="00F87E58" w:rsidRPr="009C44C1" w:rsidRDefault="00F87E58" w:rsidP="00F87E58">
            <w:pPr>
              <w:pStyle w:val="cuadroCabe"/>
              <w:jc w:val="right"/>
              <w:rPr>
                <w:rFonts w:ascii="Arial Narrow" w:hAnsi="Arial Narrow"/>
                <w:i/>
                <w:sz w:val="20"/>
                <w:szCs w:val="20"/>
              </w:rPr>
            </w:pPr>
            <w:r w:rsidRPr="009C44C1">
              <w:rPr>
                <w:rFonts w:ascii="Arial Narrow" w:hAnsi="Arial Narrow"/>
                <w:i/>
                <w:sz w:val="20"/>
                <w:szCs w:val="20"/>
              </w:rPr>
              <w:t>187.706</w:t>
            </w:r>
          </w:p>
        </w:tc>
      </w:tr>
      <w:tr w:rsidR="00F87E58" w:rsidRPr="009C44C1" w14:paraId="23CFA131" w14:textId="77777777" w:rsidTr="00F87E58">
        <w:trPr>
          <w:trHeight w:val="198"/>
        </w:trPr>
        <w:tc>
          <w:tcPr>
            <w:tcW w:w="7002" w:type="dxa"/>
            <w:tcBorders>
              <w:top w:val="single" w:sz="2" w:space="0" w:color="auto"/>
              <w:left w:val="nil"/>
              <w:bottom w:val="single" w:sz="4" w:space="0" w:color="auto"/>
              <w:right w:val="nil"/>
            </w:tcBorders>
            <w:shd w:val="clear" w:color="auto" w:fill="auto"/>
            <w:noWrap/>
            <w:vAlign w:val="bottom"/>
            <w:hideMark/>
          </w:tcPr>
          <w:p w14:paraId="2C3EBCDE" w14:textId="77777777" w:rsidR="00F87E58" w:rsidRPr="009C44C1" w:rsidRDefault="00F87E58" w:rsidP="00F87E58">
            <w:pPr>
              <w:pStyle w:val="cuadroCabe"/>
              <w:jc w:val="left"/>
              <w:rPr>
                <w:rFonts w:ascii="Arial Narrow" w:hAnsi="Arial Narrow"/>
                <w:i/>
                <w:sz w:val="20"/>
                <w:szCs w:val="20"/>
              </w:rPr>
            </w:pPr>
            <w:r w:rsidRPr="009C44C1">
              <w:rPr>
                <w:rFonts w:ascii="Arial Narrow" w:hAnsi="Arial Narrow"/>
                <w:i/>
                <w:sz w:val="20"/>
                <w:szCs w:val="20"/>
              </w:rPr>
              <w:t>Deterioro</w:t>
            </w:r>
          </w:p>
        </w:tc>
        <w:tc>
          <w:tcPr>
            <w:tcW w:w="1787" w:type="dxa"/>
            <w:tcBorders>
              <w:top w:val="single" w:sz="2" w:space="0" w:color="auto"/>
              <w:left w:val="nil"/>
              <w:bottom w:val="single" w:sz="4" w:space="0" w:color="auto"/>
              <w:right w:val="nil"/>
            </w:tcBorders>
            <w:shd w:val="clear" w:color="auto" w:fill="auto"/>
            <w:noWrap/>
            <w:vAlign w:val="bottom"/>
            <w:hideMark/>
          </w:tcPr>
          <w:p w14:paraId="7DE05FFE" w14:textId="77777777" w:rsidR="00F87E58" w:rsidRPr="009C44C1" w:rsidRDefault="00F87E58" w:rsidP="00F87E58">
            <w:pPr>
              <w:pStyle w:val="cuadroCabe"/>
              <w:jc w:val="right"/>
              <w:rPr>
                <w:rFonts w:ascii="Arial Narrow" w:hAnsi="Arial Narrow"/>
                <w:i/>
                <w:sz w:val="20"/>
                <w:szCs w:val="20"/>
              </w:rPr>
            </w:pPr>
            <w:r w:rsidRPr="009C44C1">
              <w:rPr>
                <w:rFonts w:ascii="Arial Narrow" w:hAnsi="Arial Narrow"/>
                <w:i/>
                <w:sz w:val="20"/>
                <w:szCs w:val="20"/>
              </w:rPr>
              <w:t>-55.780.244</w:t>
            </w:r>
          </w:p>
        </w:tc>
      </w:tr>
      <w:tr w:rsidR="00F87E58" w:rsidRPr="009C44C1" w14:paraId="321A9606" w14:textId="77777777" w:rsidTr="00F87E58">
        <w:trPr>
          <w:trHeight w:val="198"/>
        </w:trPr>
        <w:tc>
          <w:tcPr>
            <w:tcW w:w="7002" w:type="dxa"/>
            <w:tcBorders>
              <w:top w:val="single" w:sz="2" w:space="0" w:color="auto"/>
              <w:left w:val="nil"/>
              <w:bottom w:val="single" w:sz="4" w:space="0" w:color="auto"/>
              <w:right w:val="nil"/>
            </w:tcBorders>
            <w:shd w:val="clear" w:color="auto" w:fill="auto"/>
            <w:noWrap/>
            <w:vAlign w:val="bottom"/>
          </w:tcPr>
          <w:p w14:paraId="6F678979" w14:textId="77777777" w:rsidR="00F87E58" w:rsidRPr="009C44C1" w:rsidRDefault="00F87E58" w:rsidP="00F87E58">
            <w:pPr>
              <w:pStyle w:val="cuadroCabe"/>
              <w:jc w:val="left"/>
              <w:rPr>
                <w:rFonts w:ascii="Arial Narrow" w:hAnsi="Arial Narrow"/>
                <w:i/>
                <w:sz w:val="20"/>
                <w:szCs w:val="20"/>
              </w:rPr>
            </w:pPr>
            <w:r w:rsidRPr="009C44C1">
              <w:rPr>
                <w:rFonts w:ascii="Arial Narrow" w:hAnsi="Arial Narrow"/>
                <w:i/>
                <w:sz w:val="20"/>
                <w:szCs w:val="20"/>
              </w:rPr>
              <w:t>Total</w:t>
            </w:r>
          </w:p>
        </w:tc>
        <w:tc>
          <w:tcPr>
            <w:tcW w:w="1787" w:type="dxa"/>
            <w:tcBorders>
              <w:top w:val="single" w:sz="2" w:space="0" w:color="auto"/>
              <w:left w:val="nil"/>
              <w:bottom w:val="single" w:sz="4" w:space="0" w:color="auto"/>
              <w:right w:val="nil"/>
            </w:tcBorders>
            <w:shd w:val="clear" w:color="auto" w:fill="auto"/>
            <w:noWrap/>
            <w:vAlign w:val="bottom"/>
          </w:tcPr>
          <w:p w14:paraId="7211DB65" w14:textId="77777777" w:rsidR="00F87E58" w:rsidRPr="009C44C1" w:rsidRDefault="00F87E58" w:rsidP="00F87E58">
            <w:pPr>
              <w:pStyle w:val="cuadroCabe"/>
              <w:jc w:val="right"/>
              <w:rPr>
                <w:rFonts w:ascii="Arial Narrow" w:hAnsi="Arial Narrow"/>
                <w:i/>
                <w:sz w:val="20"/>
                <w:szCs w:val="20"/>
              </w:rPr>
            </w:pPr>
            <w:r w:rsidRPr="009C44C1">
              <w:rPr>
                <w:rFonts w:ascii="Arial Narrow" w:hAnsi="Arial Narrow"/>
                <w:i/>
                <w:sz w:val="20"/>
                <w:szCs w:val="20"/>
              </w:rPr>
              <w:t>22.511.910</w:t>
            </w:r>
          </w:p>
        </w:tc>
      </w:tr>
    </w:tbl>
    <w:p w14:paraId="40FA200C" w14:textId="77777777" w:rsidR="00F87E58" w:rsidRPr="009C44C1" w:rsidRDefault="00F87E58" w:rsidP="00F87E58">
      <w:pPr>
        <w:autoSpaceDE w:val="0"/>
        <w:autoSpaceDN w:val="0"/>
        <w:adjustRightInd w:val="0"/>
        <w:spacing w:before="60" w:after="120"/>
        <w:ind w:left="278" w:hanging="278"/>
        <w:rPr>
          <w:rFonts w:ascii="Arial Narrow" w:hAnsi="Arial Narrow"/>
          <w:sz w:val="16"/>
          <w:szCs w:val="16"/>
        </w:rPr>
      </w:pPr>
      <w:r w:rsidRPr="009C44C1">
        <w:rPr>
          <w:rFonts w:ascii="Arial Narrow" w:hAnsi="Arial Narrow"/>
          <w:sz w:val="16"/>
          <w:szCs w:val="16"/>
        </w:rPr>
        <w:t>Nota (1) A 31 de diciembre de 2022, 56.795.000 tienen la naturaleza de préstamos participativos”</w:t>
      </w:r>
      <w:r w:rsidR="00321B53">
        <w:rPr>
          <w:rFonts w:ascii="Arial Narrow" w:hAnsi="Arial Narrow"/>
          <w:sz w:val="16"/>
          <w:szCs w:val="16"/>
        </w:rPr>
        <w:t>.</w:t>
      </w:r>
    </w:p>
    <w:p w14:paraId="56AC4B38" w14:textId="77777777" w:rsidR="00F87E58" w:rsidRDefault="00F87E58" w:rsidP="00F87E58">
      <w:pPr>
        <w:autoSpaceDE w:val="0"/>
        <w:autoSpaceDN w:val="0"/>
        <w:adjustRightInd w:val="0"/>
        <w:spacing w:after="120"/>
        <w:ind w:firstLine="280"/>
        <w:rPr>
          <w:color w:val="000000"/>
          <w:sz w:val="26"/>
          <w:szCs w:val="26"/>
        </w:rPr>
      </w:pPr>
      <w:r w:rsidRPr="00743432">
        <w:rPr>
          <w:color w:val="000000"/>
          <w:sz w:val="26"/>
          <w:szCs w:val="26"/>
        </w:rPr>
        <w:t xml:space="preserve">Sobre </w:t>
      </w:r>
      <w:r>
        <w:rPr>
          <w:color w:val="000000"/>
          <w:sz w:val="26"/>
          <w:szCs w:val="26"/>
        </w:rPr>
        <w:t>esta información, destacamos los siguientes aspectos:</w:t>
      </w:r>
    </w:p>
    <w:p w14:paraId="2ACE7B89"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240"/>
        <w:ind w:left="0" w:firstLine="289"/>
        <w:rPr>
          <w:szCs w:val="26"/>
        </w:rPr>
      </w:pPr>
      <w:r w:rsidRPr="00042475">
        <w:rPr>
          <w:szCs w:val="26"/>
        </w:rPr>
        <w:t xml:space="preserve">En las cuentas anuales de Sodena, la aportación realizada en el capital </w:t>
      </w:r>
      <w:r>
        <w:rPr>
          <w:szCs w:val="26"/>
        </w:rPr>
        <w:t xml:space="preserve">por 4,05 millones </w:t>
      </w:r>
      <w:r w:rsidRPr="00042475">
        <w:rPr>
          <w:szCs w:val="26"/>
        </w:rPr>
        <w:t xml:space="preserve">está </w:t>
      </w:r>
      <w:r w:rsidRPr="00E52DFC">
        <w:rPr>
          <w:rFonts w:cs="Arial"/>
        </w:rPr>
        <w:t>actualmente</w:t>
      </w:r>
      <w:r w:rsidRPr="00042475">
        <w:rPr>
          <w:szCs w:val="26"/>
        </w:rPr>
        <w:t xml:space="preserve"> deteriorada en su totalidad. </w:t>
      </w:r>
      <w:r>
        <w:rPr>
          <w:szCs w:val="26"/>
        </w:rPr>
        <w:t>De hecho, el deterioro total se alcanzó en el ejercicio 2006, tal y como se observa en el siguiente cuadro:</w:t>
      </w:r>
    </w:p>
    <w:tbl>
      <w:tblPr>
        <w:tblW w:w="10881" w:type="dxa"/>
        <w:jc w:val="center"/>
        <w:tblCellMar>
          <w:left w:w="70" w:type="dxa"/>
          <w:right w:w="70" w:type="dxa"/>
        </w:tblCellMar>
        <w:tblLook w:val="04A0" w:firstRow="1" w:lastRow="0" w:firstColumn="1" w:lastColumn="0" w:noHBand="0" w:noVBand="1"/>
      </w:tblPr>
      <w:tblGrid>
        <w:gridCol w:w="992"/>
        <w:gridCol w:w="398"/>
        <w:gridCol w:w="452"/>
        <w:gridCol w:w="406"/>
        <w:gridCol w:w="542"/>
        <w:gridCol w:w="488"/>
        <w:gridCol w:w="476"/>
        <w:gridCol w:w="470"/>
        <w:gridCol w:w="409"/>
        <w:gridCol w:w="470"/>
        <w:gridCol w:w="566"/>
        <w:gridCol w:w="470"/>
        <w:gridCol w:w="523"/>
        <w:gridCol w:w="470"/>
        <w:gridCol w:w="393"/>
        <w:gridCol w:w="554"/>
        <w:gridCol w:w="454"/>
        <w:gridCol w:w="397"/>
        <w:gridCol w:w="393"/>
        <w:gridCol w:w="393"/>
        <w:gridCol w:w="393"/>
        <w:gridCol w:w="393"/>
        <w:gridCol w:w="379"/>
      </w:tblGrid>
      <w:tr w:rsidR="00F87E58" w:rsidRPr="00DB3C52" w14:paraId="383443EF" w14:textId="77777777" w:rsidTr="00F87E58">
        <w:trPr>
          <w:trHeight w:val="255"/>
          <w:jc w:val="center"/>
        </w:trPr>
        <w:tc>
          <w:tcPr>
            <w:tcW w:w="992" w:type="dxa"/>
            <w:tcBorders>
              <w:top w:val="single" w:sz="4" w:space="0" w:color="auto"/>
              <w:bottom w:val="single" w:sz="4" w:space="0" w:color="auto"/>
              <w:right w:val="nil"/>
            </w:tcBorders>
            <w:shd w:val="clear" w:color="auto" w:fill="9CC2E5"/>
            <w:noWrap/>
            <w:vAlign w:val="bottom"/>
          </w:tcPr>
          <w:p w14:paraId="4E660897" w14:textId="77777777" w:rsidR="00F87E58" w:rsidRPr="00DB3C52" w:rsidRDefault="00F87E58" w:rsidP="00F87E58">
            <w:pPr>
              <w:pStyle w:val="cuadroCabe"/>
              <w:ind w:right="-26"/>
              <w:jc w:val="right"/>
              <w:rPr>
                <w:sz w:val="12"/>
                <w:szCs w:val="12"/>
              </w:rPr>
            </w:pPr>
          </w:p>
        </w:tc>
        <w:tc>
          <w:tcPr>
            <w:tcW w:w="398" w:type="dxa"/>
            <w:tcBorders>
              <w:top w:val="single" w:sz="4" w:space="0" w:color="auto"/>
              <w:left w:val="nil"/>
              <w:bottom w:val="single" w:sz="4" w:space="0" w:color="auto"/>
              <w:right w:val="nil"/>
            </w:tcBorders>
            <w:shd w:val="clear" w:color="auto" w:fill="9CC2E5"/>
            <w:noWrap/>
            <w:vAlign w:val="bottom"/>
          </w:tcPr>
          <w:p w14:paraId="3B64702F" w14:textId="77777777" w:rsidR="00F87E58" w:rsidRPr="00DB3C52" w:rsidRDefault="00F87E58" w:rsidP="00F87E58">
            <w:pPr>
              <w:pStyle w:val="cuadroCabe"/>
              <w:tabs>
                <w:tab w:val="clear" w:pos="2835"/>
                <w:tab w:val="right" w:pos="331"/>
              </w:tabs>
              <w:ind w:left="-59"/>
              <w:jc w:val="right"/>
              <w:rPr>
                <w:sz w:val="12"/>
                <w:szCs w:val="12"/>
              </w:rPr>
            </w:pPr>
            <w:r w:rsidRPr="00DB3C52">
              <w:rPr>
                <w:sz w:val="12"/>
                <w:szCs w:val="12"/>
              </w:rPr>
              <w:t>2001</w:t>
            </w:r>
          </w:p>
        </w:tc>
        <w:tc>
          <w:tcPr>
            <w:tcW w:w="452" w:type="dxa"/>
            <w:tcBorders>
              <w:top w:val="single" w:sz="4" w:space="0" w:color="auto"/>
              <w:left w:val="nil"/>
              <w:bottom w:val="single" w:sz="4" w:space="0" w:color="auto"/>
              <w:right w:val="nil"/>
            </w:tcBorders>
            <w:shd w:val="clear" w:color="auto" w:fill="9CC2E5"/>
            <w:noWrap/>
            <w:vAlign w:val="bottom"/>
          </w:tcPr>
          <w:p w14:paraId="1730810F" w14:textId="77777777" w:rsidR="00F87E58" w:rsidRPr="00DB3C52" w:rsidRDefault="00F87E58" w:rsidP="00F87E58">
            <w:pPr>
              <w:pStyle w:val="cuadroCabe"/>
              <w:tabs>
                <w:tab w:val="clear" w:pos="2835"/>
                <w:tab w:val="right" w:pos="331"/>
              </w:tabs>
              <w:ind w:left="-99"/>
              <w:jc w:val="right"/>
              <w:rPr>
                <w:sz w:val="12"/>
                <w:szCs w:val="12"/>
              </w:rPr>
            </w:pPr>
            <w:r w:rsidRPr="00DB3C52">
              <w:rPr>
                <w:sz w:val="12"/>
                <w:szCs w:val="12"/>
              </w:rPr>
              <w:t>2002</w:t>
            </w:r>
          </w:p>
        </w:tc>
        <w:tc>
          <w:tcPr>
            <w:tcW w:w="406" w:type="dxa"/>
            <w:tcBorders>
              <w:top w:val="single" w:sz="4" w:space="0" w:color="auto"/>
              <w:left w:val="nil"/>
              <w:bottom w:val="single" w:sz="4" w:space="0" w:color="auto"/>
              <w:right w:val="nil"/>
            </w:tcBorders>
            <w:shd w:val="clear" w:color="auto" w:fill="9CC2E5"/>
            <w:noWrap/>
            <w:vAlign w:val="bottom"/>
          </w:tcPr>
          <w:p w14:paraId="3AD3E8F4" w14:textId="77777777" w:rsidR="00F87E58" w:rsidRPr="00DB3C52" w:rsidRDefault="00F87E58" w:rsidP="00F87E58">
            <w:pPr>
              <w:pStyle w:val="cuadroCabe"/>
              <w:ind w:left="-70"/>
              <w:jc w:val="right"/>
              <w:rPr>
                <w:sz w:val="12"/>
                <w:szCs w:val="12"/>
              </w:rPr>
            </w:pPr>
            <w:r w:rsidRPr="00DB3C52">
              <w:rPr>
                <w:sz w:val="12"/>
                <w:szCs w:val="12"/>
              </w:rPr>
              <w:t>2003</w:t>
            </w:r>
          </w:p>
        </w:tc>
        <w:tc>
          <w:tcPr>
            <w:tcW w:w="542" w:type="dxa"/>
            <w:tcBorders>
              <w:top w:val="single" w:sz="4" w:space="0" w:color="auto"/>
              <w:left w:val="nil"/>
              <w:bottom w:val="single" w:sz="4" w:space="0" w:color="auto"/>
              <w:right w:val="nil"/>
            </w:tcBorders>
            <w:shd w:val="clear" w:color="auto" w:fill="9CC2E5"/>
            <w:noWrap/>
            <w:vAlign w:val="bottom"/>
          </w:tcPr>
          <w:p w14:paraId="6E9C9D92" w14:textId="77777777" w:rsidR="00F87E58" w:rsidRPr="00DB3C52" w:rsidRDefault="00F87E58" w:rsidP="00F87E58">
            <w:pPr>
              <w:pStyle w:val="cuadroCabe"/>
              <w:ind w:left="-39"/>
              <w:jc w:val="right"/>
              <w:rPr>
                <w:sz w:val="12"/>
                <w:szCs w:val="12"/>
              </w:rPr>
            </w:pPr>
            <w:r w:rsidRPr="00DB3C52">
              <w:rPr>
                <w:sz w:val="12"/>
                <w:szCs w:val="12"/>
              </w:rPr>
              <w:t>2004</w:t>
            </w:r>
          </w:p>
        </w:tc>
        <w:tc>
          <w:tcPr>
            <w:tcW w:w="488" w:type="dxa"/>
            <w:tcBorders>
              <w:top w:val="single" w:sz="4" w:space="0" w:color="auto"/>
              <w:left w:val="nil"/>
              <w:bottom w:val="single" w:sz="4" w:space="0" w:color="auto"/>
              <w:right w:val="nil"/>
            </w:tcBorders>
            <w:shd w:val="clear" w:color="auto" w:fill="9CC2E5"/>
            <w:noWrap/>
            <w:vAlign w:val="bottom"/>
          </w:tcPr>
          <w:p w14:paraId="0955EE71" w14:textId="77777777" w:rsidR="00F87E58" w:rsidRPr="00DB3C52" w:rsidRDefault="00F87E58" w:rsidP="00F87E58">
            <w:pPr>
              <w:pStyle w:val="cuadroCabe"/>
              <w:ind w:left="-16"/>
              <w:jc w:val="right"/>
              <w:rPr>
                <w:sz w:val="12"/>
                <w:szCs w:val="12"/>
              </w:rPr>
            </w:pPr>
            <w:r w:rsidRPr="00DB3C52">
              <w:rPr>
                <w:sz w:val="12"/>
                <w:szCs w:val="12"/>
              </w:rPr>
              <w:t>2005</w:t>
            </w:r>
          </w:p>
        </w:tc>
        <w:tc>
          <w:tcPr>
            <w:tcW w:w="476" w:type="dxa"/>
            <w:tcBorders>
              <w:top w:val="single" w:sz="4" w:space="0" w:color="auto"/>
              <w:left w:val="nil"/>
              <w:bottom w:val="single" w:sz="4" w:space="0" w:color="auto"/>
              <w:right w:val="nil"/>
            </w:tcBorders>
            <w:shd w:val="clear" w:color="auto" w:fill="8DB3E2" w:themeFill="text2" w:themeFillTint="66"/>
            <w:noWrap/>
            <w:vAlign w:val="bottom"/>
          </w:tcPr>
          <w:p w14:paraId="40A91707" w14:textId="77777777" w:rsidR="00F87E58" w:rsidRPr="00DB3C52" w:rsidRDefault="00F87E58" w:rsidP="00F87E58">
            <w:pPr>
              <w:pStyle w:val="cuadroCabe"/>
              <w:jc w:val="right"/>
              <w:rPr>
                <w:b/>
                <w:sz w:val="12"/>
                <w:szCs w:val="12"/>
              </w:rPr>
            </w:pPr>
            <w:r w:rsidRPr="00DB3C52">
              <w:rPr>
                <w:b/>
                <w:sz w:val="12"/>
                <w:szCs w:val="12"/>
              </w:rPr>
              <w:t>2006</w:t>
            </w:r>
          </w:p>
        </w:tc>
        <w:tc>
          <w:tcPr>
            <w:tcW w:w="470" w:type="dxa"/>
            <w:tcBorders>
              <w:top w:val="single" w:sz="4" w:space="0" w:color="auto"/>
              <w:left w:val="nil"/>
              <w:bottom w:val="single" w:sz="4" w:space="0" w:color="auto"/>
              <w:right w:val="nil"/>
            </w:tcBorders>
            <w:shd w:val="clear" w:color="auto" w:fill="9CC2E5"/>
            <w:noWrap/>
            <w:vAlign w:val="bottom"/>
          </w:tcPr>
          <w:p w14:paraId="31E5474D" w14:textId="77777777" w:rsidR="00F87E58" w:rsidRPr="00DB3C52" w:rsidRDefault="00F87E58" w:rsidP="00F87E58">
            <w:pPr>
              <w:pStyle w:val="cuadroCabe"/>
              <w:ind w:left="-97"/>
              <w:jc w:val="right"/>
              <w:rPr>
                <w:sz w:val="12"/>
                <w:szCs w:val="12"/>
              </w:rPr>
            </w:pPr>
            <w:r w:rsidRPr="00DB3C52">
              <w:rPr>
                <w:sz w:val="12"/>
                <w:szCs w:val="12"/>
              </w:rPr>
              <w:t>2007</w:t>
            </w:r>
          </w:p>
        </w:tc>
        <w:tc>
          <w:tcPr>
            <w:tcW w:w="409" w:type="dxa"/>
            <w:tcBorders>
              <w:top w:val="single" w:sz="4" w:space="0" w:color="auto"/>
              <w:left w:val="nil"/>
              <w:bottom w:val="single" w:sz="4" w:space="0" w:color="auto"/>
              <w:right w:val="nil"/>
            </w:tcBorders>
            <w:shd w:val="clear" w:color="auto" w:fill="9CC2E5"/>
            <w:noWrap/>
            <w:vAlign w:val="bottom"/>
          </w:tcPr>
          <w:p w14:paraId="43ED340F" w14:textId="77777777" w:rsidR="00F87E58" w:rsidRPr="00DB3C52" w:rsidRDefault="00F87E58" w:rsidP="00F87E58">
            <w:pPr>
              <w:pStyle w:val="cuadroCabe"/>
              <w:ind w:left="-97"/>
              <w:jc w:val="right"/>
              <w:rPr>
                <w:sz w:val="12"/>
                <w:szCs w:val="12"/>
              </w:rPr>
            </w:pPr>
            <w:r w:rsidRPr="00DB3C52">
              <w:rPr>
                <w:sz w:val="12"/>
                <w:szCs w:val="12"/>
              </w:rPr>
              <w:t>2008</w:t>
            </w:r>
          </w:p>
        </w:tc>
        <w:tc>
          <w:tcPr>
            <w:tcW w:w="470" w:type="dxa"/>
            <w:tcBorders>
              <w:top w:val="single" w:sz="4" w:space="0" w:color="auto"/>
              <w:left w:val="nil"/>
              <w:bottom w:val="single" w:sz="4" w:space="0" w:color="auto"/>
              <w:right w:val="nil"/>
            </w:tcBorders>
            <w:shd w:val="clear" w:color="auto" w:fill="9CC2E5"/>
            <w:noWrap/>
            <w:vAlign w:val="bottom"/>
          </w:tcPr>
          <w:p w14:paraId="7DF2EA2E" w14:textId="77777777" w:rsidR="00F87E58" w:rsidRPr="00DB3C52" w:rsidRDefault="00F87E58" w:rsidP="00F87E58">
            <w:pPr>
              <w:pStyle w:val="cuadroCabe"/>
              <w:ind w:left="-97"/>
              <w:jc w:val="right"/>
              <w:rPr>
                <w:sz w:val="12"/>
                <w:szCs w:val="12"/>
              </w:rPr>
            </w:pPr>
            <w:r w:rsidRPr="00DB3C52">
              <w:rPr>
                <w:sz w:val="12"/>
                <w:szCs w:val="12"/>
              </w:rPr>
              <w:t>2009</w:t>
            </w:r>
          </w:p>
        </w:tc>
        <w:tc>
          <w:tcPr>
            <w:tcW w:w="566" w:type="dxa"/>
            <w:tcBorders>
              <w:top w:val="single" w:sz="4" w:space="0" w:color="auto"/>
              <w:left w:val="nil"/>
              <w:bottom w:val="single" w:sz="4" w:space="0" w:color="auto"/>
              <w:right w:val="nil"/>
            </w:tcBorders>
            <w:shd w:val="clear" w:color="auto" w:fill="9CC2E5"/>
            <w:noWrap/>
            <w:vAlign w:val="bottom"/>
          </w:tcPr>
          <w:p w14:paraId="6B0ED288" w14:textId="77777777" w:rsidR="00F87E58" w:rsidRPr="00DB3C52" w:rsidRDefault="00F87E58" w:rsidP="00F87E58">
            <w:pPr>
              <w:pStyle w:val="cuadroCabe"/>
              <w:ind w:left="-97"/>
              <w:jc w:val="right"/>
              <w:rPr>
                <w:sz w:val="12"/>
                <w:szCs w:val="12"/>
              </w:rPr>
            </w:pPr>
            <w:r w:rsidRPr="00DB3C52">
              <w:rPr>
                <w:sz w:val="12"/>
                <w:szCs w:val="12"/>
              </w:rPr>
              <w:t>2010</w:t>
            </w:r>
          </w:p>
        </w:tc>
        <w:tc>
          <w:tcPr>
            <w:tcW w:w="470" w:type="dxa"/>
            <w:tcBorders>
              <w:top w:val="single" w:sz="4" w:space="0" w:color="auto"/>
              <w:left w:val="nil"/>
              <w:bottom w:val="single" w:sz="4" w:space="0" w:color="auto"/>
              <w:right w:val="nil"/>
            </w:tcBorders>
            <w:shd w:val="clear" w:color="auto" w:fill="9CC2E5"/>
            <w:noWrap/>
            <w:vAlign w:val="bottom"/>
          </w:tcPr>
          <w:p w14:paraId="32AF93EF" w14:textId="77777777" w:rsidR="00F87E58" w:rsidRPr="00DB3C52" w:rsidRDefault="00F87E58" w:rsidP="00F87E58">
            <w:pPr>
              <w:pStyle w:val="cuadroCabe"/>
              <w:ind w:left="-97"/>
              <w:jc w:val="right"/>
              <w:rPr>
                <w:sz w:val="12"/>
                <w:szCs w:val="12"/>
              </w:rPr>
            </w:pPr>
            <w:r w:rsidRPr="00DB3C52">
              <w:rPr>
                <w:sz w:val="12"/>
                <w:szCs w:val="12"/>
              </w:rPr>
              <w:t>2011</w:t>
            </w:r>
          </w:p>
        </w:tc>
        <w:tc>
          <w:tcPr>
            <w:tcW w:w="523" w:type="dxa"/>
            <w:tcBorders>
              <w:top w:val="single" w:sz="4" w:space="0" w:color="auto"/>
              <w:left w:val="nil"/>
              <w:bottom w:val="single" w:sz="4" w:space="0" w:color="auto"/>
              <w:right w:val="nil"/>
            </w:tcBorders>
            <w:shd w:val="clear" w:color="auto" w:fill="9CC2E5"/>
            <w:noWrap/>
            <w:vAlign w:val="bottom"/>
          </w:tcPr>
          <w:p w14:paraId="14CAFA4A" w14:textId="77777777" w:rsidR="00F87E58" w:rsidRPr="00DB3C52" w:rsidRDefault="00F87E58" w:rsidP="00F87E58">
            <w:pPr>
              <w:pStyle w:val="cuadroCabe"/>
              <w:ind w:left="-97"/>
              <w:jc w:val="right"/>
              <w:rPr>
                <w:sz w:val="12"/>
                <w:szCs w:val="12"/>
              </w:rPr>
            </w:pPr>
            <w:r w:rsidRPr="00DB3C52">
              <w:rPr>
                <w:sz w:val="12"/>
                <w:szCs w:val="12"/>
              </w:rPr>
              <w:t>2012</w:t>
            </w:r>
          </w:p>
        </w:tc>
        <w:tc>
          <w:tcPr>
            <w:tcW w:w="470" w:type="dxa"/>
            <w:tcBorders>
              <w:top w:val="single" w:sz="4" w:space="0" w:color="auto"/>
              <w:left w:val="nil"/>
              <w:bottom w:val="single" w:sz="4" w:space="0" w:color="auto"/>
              <w:right w:val="nil"/>
            </w:tcBorders>
            <w:shd w:val="clear" w:color="auto" w:fill="9CC2E5"/>
            <w:noWrap/>
            <w:vAlign w:val="bottom"/>
          </w:tcPr>
          <w:p w14:paraId="49F0A0C7" w14:textId="77777777" w:rsidR="00F87E58" w:rsidRPr="00DB3C52" w:rsidRDefault="00F87E58" w:rsidP="00F87E58">
            <w:pPr>
              <w:pStyle w:val="cuadroCabe"/>
              <w:ind w:left="-97"/>
              <w:jc w:val="right"/>
              <w:rPr>
                <w:sz w:val="12"/>
                <w:szCs w:val="12"/>
              </w:rPr>
            </w:pPr>
            <w:r w:rsidRPr="00DB3C52">
              <w:rPr>
                <w:sz w:val="12"/>
                <w:szCs w:val="12"/>
              </w:rPr>
              <w:t>2013</w:t>
            </w:r>
          </w:p>
        </w:tc>
        <w:tc>
          <w:tcPr>
            <w:tcW w:w="393" w:type="dxa"/>
            <w:tcBorders>
              <w:top w:val="single" w:sz="4" w:space="0" w:color="auto"/>
              <w:left w:val="nil"/>
              <w:bottom w:val="single" w:sz="4" w:space="0" w:color="auto"/>
              <w:right w:val="nil"/>
            </w:tcBorders>
            <w:shd w:val="clear" w:color="auto" w:fill="9CC2E5"/>
            <w:noWrap/>
            <w:vAlign w:val="bottom"/>
          </w:tcPr>
          <w:p w14:paraId="2F54DF77" w14:textId="77777777" w:rsidR="00F87E58" w:rsidRPr="00DB3C52" w:rsidRDefault="00F87E58" w:rsidP="00F87E58">
            <w:pPr>
              <w:pStyle w:val="cuadroCabe"/>
              <w:ind w:left="-97" w:right="-14"/>
              <w:jc w:val="right"/>
              <w:rPr>
                <w:sz w:val="12"/>
                <w:szCs w:val="12"/>
              </w:rPr>
            </w:pPr>
            <w:r w:rsidRPr="00DB3C52">
              <w:rPr>
                <w:sz w:val="12"/>
                <w:szCs w:val="12"/>
              </w:rPr>
              <w:t>2014</w:t>
            </w:r>
          </w:p>
        </w:tc>
        <w:tc>
          <w:tcPr>
            <w:tcW w:w="554" w:type="dxa"/>
            <w:tcBorders>
              <w:top w:val="single" w:sz="4" w:space="0" w:color="auto"/>
              <w:left w:val="nil"/>
              <w:bottom w:val="single" w:sz="4" w:space="0" w:color="auto"/>
              <w:right w:val="nil"/>
            </w:tcBorders>
            <w:shd w:val="clear" w:color="auto" w:fill="9CC2E5"/>
            <w:noWrap/>
            <w:vAlign w:val="bottom"/>
          </w:tcPr>
          <w:p w14:paraId="660DA4A8" w14:textId="77777777" w:rsidR="00F87E58" w:rsidRPr="00DB3C52" w:rsidRDefault="00F87E58" w:rsidP="00F87E58">
            <w:pPr>
              <w:pStyle w:val="cuadroCabe"/>
              <w:ind w:left="-97"/>
              <w:jc w:val="right"/>
              <w:rPr>
                <w:sz w:val="12"/>
                <w:szCs w:val="12"/>
              </w:rPr>
            </w:pPr>
            <w:r w:rsidRPr="00DB3C52">
              <w:rPr>
                <w:sz w:val="12"/>
                <w:szCs w:val="12"/>
              </w:rPr>
              <w:t>2015</w:t>
            </w:r>
          </w:p>
        </w:tc>
        <w:tc>
          <w:tcPr>
            <w:tcW w:w="454" w:type="dxa"/>
            <w:tcBorders>
              <w:top w:val="single" w:sz="4" w:space="0" w:color="auto"/>
              <w:left w:val="nil"/>
              <w:bottom w:val="single" w:sz="4" w:space="0" w:color="auto"/>
              <w:right w:val="nil"/>
            </w:tcBorders>
            <w:shd w:val="clear" w:color="auto" w:fill="9CC2E5"/>
            <w:noWrap/>
            <w:vAlign w:val="bottom"/>
          </w:tcPr>
          <w:p w14:paraId="3472A55C" w14:textId="77777777" w:rsidR="00F87E58" w:rsidRPr="00DB3C52" w:rsidRDefault="00F87E58" w:rsidP="00F87E58">
            <w:pPr>
              <w:pStyle w:val="cuadroCabe"/>
              <w:ind w:left="-97"/>
              <w:jc w:val="right"/>
              <w:rPr>
                <w:sz w:val="12"/>
                <w:szCs w:val="12"/>
              </w:rPr>
            </w:pPr>
            <w:r w:rsidRPr="00DB3C52">
              <w:rPr>
                <w:sz w:val="12"/>
                <w:szCs w:val="12"/>
              </w:rPr>
              <w:t>2016</w:t>
            </w:r>
          </w:p>
        </w:tc>
        <w:tc>
          <w:tcPr>
            <w:tcW w:w="397" w:type="dxa"/>
            <w:tcBorders>
              <w:top w:val="single" w:sz="4" w:space="0" w:color="auto"/>
              <w:left w:val="nil"/>
              <w:bottom w:val="single" w:sz="4" w:space="0" w:color="auto"/>
              <w:right w:val="nil"/>
            </w:tcBorders>
            <w:shd w:val="clear" w:color="auto" w:fill="9CC2E5"/>
            <w:noWrap/>
            <w:vAlign w:val="bottom"/>
          </w:tcPr>
          <w:p w14:paraId="2D3E9C94" w14:textId="77777777" w:rsidR="00F87E58" w:rsidRPr="00DB3C52" w:rsidRDefault="00F87E58" w:rsidP="00F87E58">
            <w:pPr>
              <w:pStyle w:val="cuadroCabe"/>
              <w:ind w:left="-97"/>
              <w:jc w:val="right"/>
              <w:rPr>
                <w:sz w:val="12"/>
                <w:szCs w:val="12"/>
              </w:rPr>
            </w:pPr>
            <w:r w:rsidRPr="00DB3C52">
              <w:rPr>
                <w:sz w:val="12"/>
                <w:szCs w:val="12"/>
              </w:rPr>
              <w:t>2017</w:t>
            </w:r>
          </w:p>
        </w:tc>
        <w:tc>
          <w:tcPr>
            <w:tcW w:w="393" w:type="dxa"/>
            <w:tcBorders>
              <w:top w:val="single" w:sz="4" w:space="0" w:color="auto"/>
              <w:left w:val="nil"/>
              <w:bottom w:val="single" w:sz="4" w:space="0" w:color="auto"/>
              <w:right w:val="nil"/>
            </w:tcBorders>
            <w:shd w:val="clear" w:color="auto" w:fill="9CC2E5"/>
            <w:noWrap/>
            <w:vAlign w:val="bottom"/>
          </w:tcPr>
          <w:p w14:paraId="5609B1A8" w14:textId="77777777" w:rsidR="00F87E58" w:rsidRPr="00DB3C52" w:rsidRDefault="00F87E58" w:rsidP="00F87E58">
            <w:pPr>
              <w:pStyle w:val="cuadroCabe"/>
              <w:ind w:left="-97"/>
              <w:jc w:val="right"/>
              <w:rPr>
                <w:sz w:val="12"/>
                <w:szCs w:val="12"/>
              </w:rPr>
            </w:pPr>
            <w:r w:rsidRPr="00DB3C52">
              <w:rPr>
                <w:sz w:val="12"/>
                <w:szCs w:val="12"/>
              </w:rPr>
              <w:t>2018</w:t>
            </w:r>
          </w:p>
        </w:tc>
        <w:tc>
          <w:tcPr>
            <w:tcW w:w="393" w:type="dxa"/>
            <w:tcBorders>
              <w:top w:val="single" w:sz="4" w:space="0" w:color="auto"/>
              <w:left w:val="nil"/>
              <w:bottom w:val="single" w:sz="4" w:space="0" w:color="auto"/>
              <w:right w:val="nil"/>
            </w:tcBorders>
            <w:shd w:val="clear" w:color="auto" w:fill="9CC2E5"/>
            <w:noWrap/>
            <w:vAlign w:val="bottom"/>
          </w:tcPr>
          <w:p w14:paraId="4CF15658" w14:textId="77777777" w:rsidR="00F87E58" w:rsidRPr="00DB3C52" w:rsidRDefault="00F87E58" w:rsidP="00F87E58">
            <w:pPr>
              <w:pStyle w:val="cuadroCabe"/>
              <w:ind w:left="-97"/>
              <w:jc w:val="right"/>
              <w:rPr>
                <w:sz w:val="12"/>
                <w:szCs w:val="12"/>
              </w:rPr>
            </w:pPr>
            <w:r w:rsidRPr="00DB3C52">
              <w:rPr>
                <w:sz w:val="12"/>
                <w:szCs w:val="12"/>
              </w:rPr>
              <w:t>2019</w:t>
            </w:r>
          </w:p>
        </w:tc>
        <w:tc>
          <w:tcPr>
            <w:tcW w:w="393" w:type="dxa"/>
            <w:tcBorders>
              <w:top w:val="single" w:sz="4" w:space="0" w:color="auto"/>
              <w:left w:val="nil"/>
              <w:bottom w:val="single" w:sz="4" w:space="0" w:color="auto"/>
              <w:right w:val="nil"/>
            </w:tcBorders>
            <w:shd w:val="clear" w:color="auto" w:fill="9CC2E5"/>
            <w:noWrap/>
            <w:vAlign w:val="bottom"/>
          </w:tcPr>
          <w:p w14:paraId="618A3F6A" w14:textId="77777777" w:rsidR="00F87E58" w:rsidRPr="00DB3C52" w:rsidRDefault="00F87E58" w:rsidP="00F87E58">
            <w:pPr>
              <w:pStyle w:val="cuadroCabe"/>
              <w:ind w:left="-97"/>
              <w:jc w:val="right"/>
              <w:rPr>
                <w:sz w:val="12"/>
                <w:szCs w:val="12"/>
              </w:rPr>
            </w:pPr>
            <w:r w:rsidRPr="00DB3C52">
              <w:rPr>
                <w:sz w:val="12"/>
                <w:szCs w:val="12"/>
              </w:rPr>
              <w:t>2020</w:t>
            </w:r>
          </w:p>
        </w:tc>
        <w:tc>
          <w:tcPr>
            <w:tcW w:w="393" w:type="dxa"/>
            <w:tcBorders>
              <w:top w:val="single" w:sz="4" w:space="0" w:color="auto"/>
              <w:left w:val="nil"/>
              <w:bottom w:val="single" w:sz="4" w:space="0" w:color="auto"/>
              <w:right w:val="nil"/>
            </w:tcBorders>
            <w:shd w:val="clear" w:color="auto" w:fill="9CC2E5"/>
            <w:noWrap/>
            <w:vAlign w:val="bottom"/>
          </w:tcPr>
          <w:p w14:paraId="0FAFB05C" w14:textId="77777777" w:rsidR="00F87E58" w:rsidRPr="00DB3C52" w:rsidRDefault="00F87E58" w:rsidP="00F87E58">
            <w:pPr>
              <w:pStyle w:val="cuadroCabe"/>
              <w:ind w:left="-97"/>
              <w:jc w:val="right"/>
              <w:rPr>
                <w:sz w:val="12"/>
                <w:szCs w:val="12"/>
              </w:rPr>
            </w:pPr>
            <w:r w:rsidRPr="00DB3C52">
              <w:rPr>
                <w:sz w:val="12"/>
                <w:szCs w:val="12"/>
              </w:rPr>
              <w:t>2021</w:t>
            </w:r>
          </w:p>
        </w:tc>
        <w:tc>
          <w:tcPr>
            <w:tcW w:w="379" w:type="dxa"/>
            <w:tcBorders>
              <w:top w:val="single" w:sz="4" w:space="0" w:color="auto"/>
              <w:left w:val="nil"/>
              <w:bottom w:val="single" w:sz="4" w:space="0" w:color="auto"/>
              <w:right w:val="nil"/>
            </w:tcBorders>
            <w:shd w:val="clear" w:color="auto" w:fill="9CC2E5"/>
            <w:noWrap/>
            <w:vAlign w:val="bottom"/>
          </w:tcPr>
          <w:p w14:paraId="620D6DA5" w14:textId="77777777" w:rsidR="00F87E58" w:rsidRPr="00DB3C52" w:rsidRDefault="00F87E58" w:rsidP="00F87E58">
            <w:pPr>
              <w:pStyle w:val="cuadroCabe"/>
              <w:ind w:left="-97"/>
              <w:jc w:val="right"/>
              <w:rPr>
                <w:sz w:val="12"/>
                <w:szCs w:val="12"/>
              </w:rPr>
            </w:pPr>
            <w:r w:rsidRPr="00DB3C52">
              <w:rPr>
                <w:sz w:val="12"/>
                <w:szCs w:val="12"/>
              </w:rPr>
              <w:t>2022</w:t>
            </w:r>
          </w:p>
        </w:tc>
      </w:tr>
      <w:tr w:rsidR="00F87E58" w:rsidRPr="00DB3C52" w14:paraId="49CE55BE" w14:textId="77777777" w:rsidTr="00321B53">
        <w:trPr>
          <w:trHeight w:val="123"/>
          <w:jc w:val="center"/>
        </w:trPr>
        <w:tc>
          <w:tcPr>
            <w:tcW w:w="992" w:type="dxa"/>
            <w:tcBorders>
              <w:top w:val="single" w:sz="4" w:space="0" w:color="auto"/>
              <w:bottom w:val="single" w:sz="4" w:space="0" w:color="auto"/>
              <w:right w:val="nil"/>
            </w:tcBorders>
            <w:shd w:val="clear" w:color="auto" w:fill="auto"/>
            <w:noWrap/>
            <w:vAlign w:val="bottom"/>
            <w:hideMark/>
          </w:tcPr>
          <w:p w14:paraId="481EFE5E" w14:textId="77777777" w:rsidR="00F87E58" w:rsidRPr="00DB3C52" w:rsidRDefault="00F87E58" w:rsidP="00321B53">
            <w:pPr>
              <w:pStyle w:val="cuatexto"/>
              <w:spacing w:line="240" w:lineRule="auto"/>
              <w:ind w:right="-28"/>
              <w:jc w:val="left"/>
              <w:rPr>
                <w:rFonts w:cs="Arial"/>
                <w:sz w:val="12"/>
                <w:szCs w:val="12"/>
              </w:rPr>
            </w:pPr>
            <w:r w:rsidRPr="00DB3C52">
              <w:rPr>
                <w:rFonts w:cs="Arial"/>
                <w:sz w:val="12"/>
                <w:szCs w:val="12"/>
              </w:rPr>
              <w:t>Deterioro Contable Participación</w:t>
            </w:r>
          </w:p>
        </w:tc>
        <w:tc>
          <w:tcPr>
            <w:tcW w:w="398" w:type="dxa"/>
            <w:tcBorders>
              <w:top w:val="single" w:sz="4" w:space="0" w:color="auto"/>
              <w:left w:val="nil"/>
              <w:bottom w:val="single" w:sz="4" w:space="0" w:color="auto"/>
              <w:right w:val="nil"/>
            </w:tcBorders>
            <w:shd w:val="clear" w:color="auto" w:fill="auto"/>
            <w:noWrap/>
            <w:vAlign w:val="center"/>
            <w:hideMark/>
          </w:tcPr>
          <w:p w14:paraId="68112E1E" w14:textId="77777777" w:rsidR="00F87E58" w:rsidRPr="00933B99" w:rsidRDefault="00F87E58" w:rsidP="00321B53">
            <w:pPr>
              <w:pStyle w:val="cuadroCabe"/>
              <w:tabs>
                <w:tab w:val="clear" w:pos="2835"/>
                <w:tab w:val="right" w:pos="331"/>
              </w:tabs>
              <w:spacing w:line="240" w:lineRule="auto"/>
              <w:jc w:val="right"/>
              <w:rPr>
                <w:sz w:val="12"/>
                <w:szCs w:val="12"/>
              </w:rPr>
            </w:pPr>
            <w:r w:rsidRPr="00933B99">
              <w:rPr>
                <w:sz w:val="12"/>
                <w:szCs w:val="12"/>
              </w:rPr>
              <w:t>0,00</w:t>
            </w:r>
          </w:p>
        </w:tc>
        <w:tc>
          <w:tcPr>
            <w:tcW w:w="452" w:type="dxa"/>
            <w:tcBorders>
              <w:top w:val="single" w:sz="4" w:space="0" w:color="auto"/>
              <w:left w:val="nil"/>
              <w:bottom w:val="single" w:sz="4" w:space="0" w:color="auto"/>
              <w:right w:val="nil"/>
            </w:tcBorders>
            <w:shd w:val="clear" w:color="auto" w:fill="auto"/>
            <w:noWrap/>
            <w:vAlign w:val="center"/>
            <w:hideMark/>
          </w:tcPr>
          <w:p w14:paraId="76232A29" w14:textId="77777777" w:rsidR="00F87E58" w:rsidRPr="00DB3C52" w:rsidRDefault="00F87E58" w:rsidP="00321B53">
            <w:pPr>
              <w:pStyle w:val="cuatexto"/>
              <w:tabs>
                <w:tab w:val="clear" w:pos="2835"/>
                <w:tab w:val="right" w:pos="331"/>
              </w:tabs>
              <w:spacing w:line="240" w:lineRule="auto"/>
              <w:ind w:left="-99"/>
              <w:jc w:val="right"/>
              <w:rPr>
                <w:rFonts w:cs="Arial"/>
                <w:sz w:val="14"/>
                <w:szCs w:val="14"/>
              </w:rPr>
            </w:pPr>
            <w:r w:rsidRPr="00DB3C52">
              <w:rPr>
                <w:rFonts w:cs="Arial"/>
                <w:sz w:val="14"/>
                <w:szCs w:val="14"/>
              </w:rPr>
              <w:t>(0,02)</w:t>
            </w:r>
          </w:p>
        </w:tc>
        <w:tc>
          <w:tcPr>
            <w:tcW w:w="406" w:type="dxa"/>
            <w:tcBorders>
              <w:top w:val="single" w:sz="4" w:space="0" w:color="auto"/>
              <w:left w:val="nil"/>
              <w:bottom w:val="single" w:sz="4" w:space="0" w:color="auto"/>
              <w:right w:val="nil"/>
            </w:tcBorders>
            <w:shd w:val="clear" w:color="auto" w:fill="auto"/>
            <w:noWrap/>
            <w:vAlign w:val="center"/>
            <w:hideMark/>
          </w:tcPr>
          <w:p w14:paraId="3E154B00" w14:textId="77777777" w:rsidR="00F87E58" w:rsidRPr="00DB3C52" w:rsidRDefault="00F87E58" w:rsidP="00321B53">
            <w:pPr>
              <w:pStyle w:val="cuatexto"/>
              <w:spacing w:line="240" w:lineRule="auto"/>
              <w:ind w:left="-70"/>
              <w:jc w:val="right"/>
              <w:rPr>
                <w:rFonts w:cs="Arial"/>
                <w:sz w:val="14"/>
                <w:szCs w:val="14"/>
              </w:rPr>
            </w:pPr>
            <w:r w:rsidRPr="00DB3C52">
              <w:rPr>
                <w:rFonts w:cs="Arial"/>
                <w:sz w:val="14"/>
                <w:szCs w:val="14"/>
              </w:rPr>
              <w:t>(0,21)</w:t>
            </w:r>
          </w:p>
        </w:tc>
        <w:tc>
          <w:tcPr>
            <w:tcW w:w="542" w:type="dxa"/>
            <w:tcBorders>
              <w:top w:val="single" w:sz="4" w:space="0" w:color="auto"/>
              <w:left w:val="nil"/>
              <w:bottom w:val="single" w:sz="4" w:space="0" w:color="auto"/>
              <w:right w:val="nil"/>
            </w:tcBorders>
            <w:shd w:val="clear" w:color="auto" w:fill="auto"/>
            <w:noWrap/>
            <w:vAlign w:val="center"/>
            <w:hideMark/>
          </w:tcPr>
          <w:p w14:paraId="51EB0C40" w14:textId="77777777" w:rsidR="00F87E58" w:rsidRPr="00DB3C52" w:rsidRDefault="00F87E58" w:rsidP="00321B53">
            <w:pPr>
              <w:pStyle w:val="cuatexto"/>
              <w:spacing w:line="240" w:lineRule="auto"/>
              <w:ind w:left="-39"/>
              <w:jc w:val="right"/>
              <w:rPr>
                <w:rFonts w:cs="Arial"/>
                <w:sz w:val="14"/>
                <w:szCs w:val="14"/>
              </w:rPr>
            </w:pPr>
            <w:r w:rsidRPr="00DB3C52">
              <w:rPr>
                <w:rFonts w:cs="Arial"/>
                <w:sz w:val="14"/>
                <w:szCs w:val="14"/>
              </w:rPr>
              <w:t>(1,37)</w:t>
            </w:r>
          </w:p>
        </w:tc>
        <w:tc>
          <w:tcPr>
            <w:tcW w:w="488" w:type="dxa"/>
            <w:tcBorders>
              <w:top w:val="single" w:sz="4" w:space="0" w:color="auto"/>
              <w:left w:val="nil"/>
              <w:bottom w:val="single" w:sz="4" w:space="0" w:color="auto"/>
              <w:right w:val="nil"/>
            </w:tcBorders>
            <w:shd w:val="clear" w:color="auto" w:fill="auto"/>
            <w:noWrap/>
            <w:vAlign w:val="center"/>
            <w:hideMark/>
          </w:tcPr>
          <w:p w14:paraId="4141D781" w14:textId="77777777" w:rsidR="00F87E58" w:rsidRPr="00DB3C52" w:rsidRDefault="00F87E58" w:rsidP="00321B53">
            <w:pPr>
              <w:pStyle w:val="cuatexto"/>
              <w:spacing w:line="240" w:lineRule="auto"/>
              <w:ind w:left="-16"/>
              <w:jc w:val="right"/>
              <w:rPr>
                <w:rFonts w:cs="Arial"/>
                <w:sz w:val="14"/>
                <w:szCs w:val="14"/>
              </w:rPr>
            </w:pPr>
            <w:r w:rsidRPr="00DB3C52">
              <w:rPr>
                <w:rFonts w:cs="Arial"/>
                <w:sz w:val="14"/>
                <w:szCs w:val="14"/>
              </w:rPr>
              <w:t>(3,17)</w:t>
            </w:r>
          </w:p>
        </w:tc>
        <w:tc>
          <w:tcPr>
            <w:tcW w:w="476" w:type="dxa"/>
            <w:tcBorders>
              <w:top w:val="single" w:sz="4" w:space="0" w:color="auto"/>
              <w:left w:val="nil"/>
              <w:bottom w:val="single" w:sz="4" w:space="0" w:color="auto"/>
              <w:right w:val="nil"/>
            </w:tcBorders>
            <w:shd w:val="clear" w:color="auto" w:fill="auto"/>
            <w:noWrap/>
            <w:vAlign w:val="center"/>
            <w:hideMark/>
          </w:tcPr>
          <w:p w14:paraId="15F54B0E" w14:textId="77777777" w:rsidR="00F87E58" w:rsidRPr="00DB3C52" w:rsidRDefault="00F87E58" w:rsidP="00321B53">
            <w:pPr>
              <w:pStyle w:val="cuatexto"/>
              <w:spacing w:line="240" w:lineRule="auto"/>
              <w:jc w:val="right"/>
              <w:rPr>
                <w:rFonts w:cs="Arial"/>
                <w:b/>
                <w:sz w:val="14"/>
                <w:szCs w:val="14"/>
              </w:rPr>
            </w:pPr>
            <w:r w:rsidRPr="00DB3C52">
              <w:rPr>
                <w:rFonts w:cs="Arial"/>
                <w:b/>
                <w:sz w:val="14"/>
                <w:szCs w:val="14"/>
              </w:rPr>
              <w:t>(4,05)</w:t>
            </w:r>
          </w:p>
        </w:tc>
        <w:tc>
          <w:tcPr>
            <w:tcW w:w="470" w:type="dxa"/>
            <w:tcBorders>
              <w:top w:val="single" w:sz="4" w:space="0" w:color="auto"/>
              <w:left w:val="nil"/>
              <w:bottom w:val="single" w:sz="4" w:space="0" w:color="auto"/>
              <w:right w:val="nil"/>
            </w:tcBorders>
            <w:shd w:val="clear" w:color="auto" w:fill="auto"/>
            <w:noWrap/>
            <w:vAlign w:val="center"/>
            <w:hideMark/>
          </w:tcPr>
          <w:p w14:paraId="7E4D0DBB"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409" w:type="dxa"/>
            <w:tcBorders>
              <w:top w:val="single" w:sz="4" w:space="0" w:color="auto"/>
              <w:left w:val="nil"/>
              <w:bottom w:val="single" w:sz="4" w:space="0" w:color="auto"/>
              <w:right w:val="nil"/>
            </w:tcBorders>
            <w:shd w:val="clear" w:color="auto" w:fill="auto"/>
            <w:noWrap/>
            <w:vAlign w:val="center"/>
            <w:hideMark/>
          </w:tcPr>
          <w:p w14:paraId="6D14C13B"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470" w:type="dxa"/>
            <w:tcBorders>
              <w:top w:val="single" w:sz="4" w:space="0" w:color="auto"/>
              <w:left w:val="nil"/>
              <w:bottom w:val="single" w:sz="4" w:space="0" w:color="auto"/>
              <w:right w:val="nil"/>
            </w:tcBorders>
            <w:shd w:val="clear" w:color="auto" w:fill="auto"/>
            <w:noWrap/>
            <w:vAlign w:val="center"/>
            <w:hideMark/>
          </w:tcPr>
          <w:p w14:paraId="5045EFD7"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566" w:type="dxa"/>
            <w:tcBorders>
              <w:top w:val="single" w:sz="4" w:space="0" w:color="auto"/>
              <w:left w:val="nil"/>
              <w:bottom w:val="single" w:sz="4" w:space="0" w:color="auto"/>
              <w:right w:val="nil"/>
            </w:tcBorders>
            <w:shd w:val="clear" w:color="auto" w:fill="auto"/>
            <w:noWrap/>
            <w:vAlign w:val="center"/>
            <w:hideMark/>
          </w:tcPr>
          <w:p w14:paraId="260EEB3E"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470" w:type="dxa"/>
            <w:tcBorders>
              <w:top w:val="single" w:sz="4" w:space="0" w:color="auto"/>
              <w:left w:val="nil"/>
              <w:bottom w:val="single" w:sz="4" w:space="0" w:color="auto"/>
              <w:right w:val="nil"/>
            </w:tcBorders>
            <w:shd w:val="clear" w:color="auto" w:fill="auto"/>
            <w:noWrap/>
            <w:vAlign w:val="center"/>
            <w:hideMark/>
          </w:tcPr>
          <w:p w14:paraId="25635EB9"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523" w:type="dxa"/>
            <w:tcBorders>
              <w:top w:val="single" w:sz="4" w:space="0" w:color="auto"/>
              <w:left w:val="nil"/>
              <w:bottom w:val="single" w:sz="4" w:space="0" w:color="auto"/>
              <w:right w:val="nil"/>
            </w:tcBorders>
            <w:shd w:val="clear" w:color="auto" w:fill="auto"/>
            <w:noWrap/>
            <w:vAlign w:val="center"/>
            <w:hideMark/>
          </w:tcPr>
          <w:p w14:paraId="7035B7B2"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470" w:type="dxa"/>
            <w:tcBorders>
              <w:top w:val="single" w:sz="4" w:space="0" w:color="auto"/>
              <w:left w:val="nil"/>
              <w:bottom w:val="single" w:sz="4" w:space="0" w:color="auto"/>
              <w:right w:val="nil"/>
            </w:tcBorders>
            <w:shd w:val="clear" w:color="auto" w:fill="auto"/>
            <w:noWrap/>
            <w:vAlign w:val="center"/>
            <w:hideMark/>
          </w:tcPr>
          <w:p w14:paraId="57D5155C"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393" w:type="dxa"/>
            <w:tcBorders>
              <w:top w:val="single" w:sz="4" w:space="0" w:color="auto"/>
              <w:left w:val="nil"/>
              <w:bottom w:val="single" w:sz="4" w:space="0" w:color="auto"/>
              <w:right w:val="nil"/>
            </w:tcBorders>
            <w:shd w:val="clear" w:color="auto" w:fill="auto"/>
            <w:noWrap/>
            <w:vAlign w:val="center"/>
            <w:hideMark/>
          </w:tcPr>
          <w:p w14:paraId="24A14144" w14:textId="77777777" w:rsidR="00F87E58" w:rsidRPr="00933B99" w:rsidRDefault="00F87E58" w:rsidP="00321B53">
            <w:pPr>
              <w:pStyle w:val="cuadroCabe"/>
              <w:spacing w:line="240" w:lineRule="auto"/>
              <w:ind w:left="-97" w:right="-14"/>
              <w:jc w:val="right"/>
              <w:rPr>
                <w:sz w:val="12"/>
                <w:szCs w:val="12"/>
              </w:rPr>
            </w:pPr>
            <w:r w:rsidRPr="00933B99">
              <w:rPr>
                <w:sz w:val="12"/>
                <w:szCs w:val="12"/>
              </w:rPr>
              <w:t>(4,05)</w:t>
            </w:r>
          </w:p>
        </w:tc>
        <w:tc>
          <w:tcPr>
            <w:tcW w:w="554" w:type="dxa"/>
            <w:tcBorders>
              <w:top w:val="single" w:sz="4" w:space="0" w:color="auto"/>
              <w:left w:val="nil"/>
              <w:bottom w:val="single" w:sz="4" w:space="0" w:color="auto"/>
              <w:right w:val="nil"/>
            </w:tcBorders>
            <w:shd w:val="clear" w:color="auto" w:fill="auto"/>
            <w:noWrap/>
            <w:vAlign w:val="center"/>
            <w:hideMark/>
          </w:tcPr>
          <w:p w14:paraId="5951952F"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454" w:type="dxa"/>
            <w:tcBorders>
              <w:top w:val="single" w:sz="4" w:space="0" w:color="auto"/>
              <w:left w:val="nil"/>
              <w:bottom w:val="single" w:sz="4" w:space="0" w:color="auto"/>
              <w:right w:val="nil"/>
            </w:tcBorders>
            <w:shd w:val="clear" w:color="auto" w:fill="auto"/>
            <w:noWrap/>
            <w:vAlign w:val="center"/>
            <w:hideMark/>
          </w:tcPr>
          <w:p w14:paraId="29D510DB"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397" w:type="dxa"/>
            <w:tcBorders>
              <w:top w:val="single" w:sz="4" w:space="0" w:color="auto"/>
              <w:left w:val="nil"/>
              <w:bottom w:val="single" w:sz="4" w:space="0" w:color="auto"/>
              <w:right w:val="nil"/>
            </w:tcBorders>
            <w:shd w:val="clear" w:color="auto" w:fill="auto"/>
            <w:noWrap/>
            <w:vAlign w:val="center"/>
            <w:hideMark/>
          </w:tcPr>
          <w:p w14:paraId="6DF460CC"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393" w:type="dxa"/>
            <w:tcBorders>
              <w:top w:val="single" w:sz="4" w:space="0" w:color="auto"/>
              <w:left w:val="nil"/>
              <w:bottom w:val="single" w:sz="4" w:space="0" w:color="auto"/>
              <w:right w:val="nil"/>
            </w:tcBorders>
            <w:shd w:val="clear" w:color="auto" w:fill="auto"/>
            <w:noWrap/>
            <w:vAlign w:val="center"/>
            <w:hideMark/>
          </w:tcPr>
          <w:p w14:paraId="533257A3"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393" w:type="dxa"/>
            <w:tcBorders>
              <w:top w:val="single" w:sz="4" w:space="0" w:color="auto"/>
              <w:left w:val="nil"/>
              <w:bottom w:val="single" w:sz="4" w:space="0" w:color="auto"/>
              <w:right w:val="nil"/>
            </w:tcBorders>
            <w:shd w:val="clear" w:color="auto" w:fill="auto"/>
            <w:noWrap/>
            <w:vAlign w:val="center"/>
            <w:hideMark/>
          </w:tcPr>
          <w:p w14:paraId="4D58E6D9"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393" w:type="dxa"/>
            <w:tcBorders>
              <w:top w:val="single" w:sz="4" w:space="0" w:color="auto"/>
              <w:left w:val="nil"/>
              <w:bottom w:val="single" w:sz="4" w:space="0" w:color="auto"/>
              <w:right w:val="nil"/>
            </w:tcBorders>
            <w:shd w:val="clear" w:color="auto" w:fill="auto"/>
            <w:noWrap/>
            <w:vAlign w:val="center"/>
            <w:hideMark/>
          </w:tcPr>
          <w:p w14:paraId="669CFC7B"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393" w:type="dxa"/>
            <w:tcBorders>
              <w:top w:val="single" w:sz="4" w:space="0" w:color="auto"/>
              <w:left w:val="nil"/>
              <w:bottom w:val="single" w:sz="4" w:space="0" w:color="auto"/>
              <w:right w:val="nil"/>
            </w:tcBorders>
            <w:shd w:val="clear" w:color="auto" w:fill="auto"/>
            <w:noWrap/>
            <w:vAlign w:val="center"/>
            <w:hideMark/>
          </w:tcPr>
          <w:p w14:paraId="2F8ED8DF" w14:textId="77777777" w:rsidR="00F87E58" w:rsidRPr="00933B99" w:rsidRDefault="00F87E58" w:rsidP="00321B53">
            <w:pPr>
              <w:pStyle w:val="cuadroCabe"/>
              <w:spacing w:line="240" w:lineRule="auto"/>
              <w:ind w:left="-97"/>
              <w:jc w:val="right"/>
              <w:rPr>
                <w:sz w:val="12"/>
                <w:szCs w:val="12"/>
              </w:rPr>
            </w:pPr>
            <w:r w:rsidRPr="00933B99">
              <w:rPr>
                <w:sz w:val="12"/>
                <w:szCs w:val="12"/>
              </w:rPr>
              <w:t>(4,05)</w:t>
            </w:r>
          </w:p>
        </w:tc>
        <w:tc>
          <w:tcPr>
            <w:tcW w:w="379" w:type="dxa"/>
            <w:tcBorders>
              <w:top w:val="single" w:sz="4" w:space="0" w:color="auto"/>
              <w:left w:val="nil"/>
              <w:bottom w:val="single" w:sz="4" w:space="0" w:color="auto"/>
              <w:right w:val="nil"/>
            </w:tcBorders>
            <w:shd w:val="clear" w:color="auto" w:fill="auto"/>
            <w:noWrap/>
            <w:vAlign w:val="center"/>
            <w:hideMark/>
          </w:tcPr>
          <w:p w14:paraId="1622A2DA" w14:textId="77777777" w:rsidR="00F87E58" w:rsidRPr="00DB3C52" w:rsidRDefault="00F87E58" w:rsidP="00321B53">
            <w:pPr>
              <w:pStyle w:val="cuatexto"/>
              <w:spacing w:line="240" w:lineRule="auto"/>
              <w:ind w:left="-97"/>
              <w:jc w:val="right"/>
              <w:rPr>
                <w:rFonts w:cs="Arial"/>
                <w:sz w:val="14"/>
                <w:szCs w:val="14"/>
              </w:rPr>
            </w:pPr>
            <w:r w:rsidRPr="00DB3C52">
              <w:rPr>
                <w:rFonts w:cs="Arial"/>
                <w:sz w:val="14"/>
                <w:szCs w:val="14"/>
              </w:rPr>
              <w:t>(4,05)</w:t>
            </w:r>
          </w:p>
        </w:tc>
      </w:tr>
    </w:tbl>
    <w:p w14:paraId="0BBC3DFB" w14:textId="77777777" w:rsidR="00F87E58" w:rsidRDefault="00F87E58" w:rsidP="00F87E58">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240"/>
        <w:ind w:left="0" w:firstLine="289"/>
        <w:rPr>
          <w:szCs w:val="26"/>
        </w:rPr>
      </w:pPr>
      <w:r>
        <w:rPr>
          <w:szCs w:val="26"/>
        </w:rPr>
        <w:t xml:space="preserve">A 31 de </w:t>
      </w:r>
      <w:r w:rsidRPr="00E52DFC">
        <w:rPr>
          <w:rFonts w:cs="Arial"/>
        </w:rPr>
        <w:t>diciembre</w:t>
      </w:r>
      <w:r>
        <w:rPr>
          <w:szCs w:val="26"/>
        </w:rPr>
        <w:t xml:space="preserve"> de 2022 </w:t>
      </w:r>
      <w:r w:rsidRPr="003A22BD">
        <w:rPr>
          <w:szCs w:val="26"/>
        </w:rPr>
        <w:t>el total de présta</w:t>
      </w:r>
      <w:r>
        <w:rPr>
          <w:szCs w:val="26"/>
        </w:rPr>
        <w:t>mos concedidos asciende a 78,1 millones, de los que hay que diferenciar lo siguiente:</w:t>
      </w:r>
    </w:p>
    <w:p w14:paraId="4FA2857F" w14:textId="77777777" w:rsidR="00F87E58" w:rsidRDefault="00F87E58" w:rsidP="00F87E58">
      <w:pPr>
        <w:pStyle w:val="texto"/>
        <w:numPr>
          <w:ilvl w:val="0"/>
          <w:numId w:val="28"/>
        </w:numPr>
        <w:tabs>
          <w:tab w:val="clear" w:pos="2835"/>
          <w:tab w:val="clear" w:pos="3969"/>
          <w:tab w:val="clear" w:pos="5103"/>
          <w:tab w:val="clear" w:pos="6237"/>
          <w:tab w:val="clear" w:pos="7371"/>
          <w:tab w:val="num" w:pos="284"/>
          <w:tab w:val="left" w:pos="480"/>
          <w:tab w:val="num" w:pos="567"/>
          <w:tab w:val="num" w:pos="2062"/>
          <w:tab w:val="num" w:pos="4472"/>
        </w:tabs>
        <w:spacing w:after="240"/>
        <w:ind w:left="0" w:firstLine="284"/>
        <w:rPr>
          <w:szCs w:val="26"/>
        </w:rPr>
      </w:pPr>
      <w:r>
        <w:rPr>
          <w:szCs w:val="26"/>
        </w:rPr>
        <w:t xml:space="preserve">Un importe de 55,78 millones figura como préstamos deteriorados, al considerarse por </w:t>
      </w:r>
      <w:r w:rsidRPr="00AA16A6">
        <w:rPr>
          <w:szCs w:val="26"/>
        </w:rPr>
        <w:t>Sodena</w:t>
      </w:r>
      <w:r w:rsidR="00AE5218" w:rsidRPr="00AA16A6">
        <w:rPr>
          <w:szCs w:val="26"/>
        </w:rPr>
        <w:t xml:space="preserve">, </w:t>
      </w:r>
      <w:r w:rsidR="003B2AB7" w:rsidRPr="00AA16A6">
        <w:rPr>
          <w:szCs w:val="26"/>
        </w:rPr>
        <w:t xml:space="preserve">en las solicitudes anuales de autorización </w:t>
      </w:r>
      <w:r w:rsidR="00AC4C57" w:rsidRPr="00AA16A6">
        <w:rPr>
          <w:szCs w:val="26"/>
        </w:rPr>
        <w:t xml:space="preserve">al Gobierno de Navarra para la concesión de </w:t>
      </w:r>
      <w:r w:rsidR="003B2AB7" w:rsidRPr="00AA16A6">
        <w:rPr>
          <w:szCs w:val="26"/>
        </w:rPr>
        <w:t>los préstamos</w:t>
      </w:r>
      <w:r w:rsidR="00AC4C57" w:rsidRPr="00AA16A6">
        <w:rPr>
          <w:szCs w:val="26"/>
        </w:rPr>
        <w:t>,</w:t>
      </w:r>
      <w:r w:rsidR="003B2AB7" w:rsidRPr="00AA16A6">
        <w:rPr>
          <w:szCs w:val="26"/>
        </w:rPr>
        <w:t xml:space="preserve"> </w:t>
      </w:r>
      <w:r w:rsidRPr="00AA16A6">
        <w:rPr>
          <w:szCs w:val="26"/>
        </w:rPr>
        <w:t xml:space="preserve">como fallidos. El </w:t>
      </w:r>
      <w:r>
        <w:rPr>
          <w:szCs w:val="26"/>
        </w:rPr>
        <w:t>deterioro anual se ha venido estimando y contabilizando en función de la evolución de las pérdidas anuales de Parquenasa</w:t>
      </w:r>
      <w:r w:rsidR="003B2AB7">
        <w:rPr>
          <w:szCs w:val="26"/>
        </w:rPr>
        <w:t>:</w:t>
      </w:r>
    </w:p>
    <w:tbl>
      <w:tblPr>
        <w:tblW w:w="11018" w:type="dxa"/>
        <w:jc w:val="center"/>
        <w:tblCellMar>
          <w:left w:w="70" w:type="dxa"/>
          <w:right w:w="70" w:type="dxa"/>
        </w:tblCellMar>
        <w:tblLook w:val="04A0" w:firstRow="1" w:lastRow="0" w:firstColumn="1" w:lastColumn="0" w:noHBand="0" w:noVBand="1"/>
      </w:tblPr>
      <w:tblGrid>
        <w:gridCol w:w="1179"/>
        <w:gridCol w:w="440"/>
        <w:gridCol w:w="434"/>
        <w:gridCol w:w="476"/>
        <w:gridCol w:w="522"/>
        <w:gridCol w:w="476"/>
        <w:gridCol w:w="476"/>
        <w:gridCol w:w="467"/>
        <w:gridCol w:w="467"/>
        <w:gridCol w:w="467"/>
        <w:gridCol w:w="428"/>
        <w:gridCol w:w="474"/>
        <w:gridCol w:w="482"/>
        <w:gridCol w:w="400"/>
        <w:gridCol w:w="467"/>
        <w:gridCol w:w="460"/>
        <w:gridCol w:w="440"/>
        <w:gridCol w:w="420"/>
        <w:gridCol w:w="375"/>
        <w:gridCol w:w="370"/>
        <w:gridCol w:w="400"/>
        <w:gridCol w:w="476"/>
        <w:gridCol w:w="422"/>
      </w:tblGrid>
      <w:tr w:rsidR="00F87E58" w:rsidRPr="00587163" w14:paraId="42579E29" w14:textId="77777777" w:rsidTr="00F87E58">
        <w:trPr>
          <w:trHeight w:val="255"/>
          <w:jc w:val="center"/>
        </w:trPr>
        <w:tc>
          <w:tcPr>
            <w:tcW w:w="1179" w:type="dxa"/>
            <w:tcBorders>
              <w:top w:val="single" w:sz="4" w:space="0" w:color="auto"/>
              <w:bottom w:val="single" w:sz="4" w:space="0" w:color="auto"/>
              <w:right w:val="nil"/>
            </w:tcBorders>
            <w:shd w:val="clear" w:color="auto" w:fill="9CC2E5"/>
            <w:noWrap/>
            <w:vAlign w:val="center"/>
          </w:tcPr>
          <w:p w14:paraId="28E845A2" w14:textId="77777777" w:rsidR="00F87E58" w:rsidRPr="00587163" w:rsidRDefault="00F87E58" w:rsidP="00F87E58">
            <w:pPr>
              <w:pStyle w:val="cuadroCabe"/>
              <w:ind w:left="-78"/>
              <w:rPr>
                <w:sz w:val="12"/>
                <w:szCs w:val="12"/>
              </w:rPr>
            </w:pPr>
          </w:p>
        </w:tc>
        <w:tc>
          <w:tcPr>
            <w:tcW w:w="440" w:type="dxa"/>
            <w:tcBorders>
              <w:top w:val="single" w:sz="4" w:space="0" w:color="auto"/>
              <w:left w:val="nil"/>
              <w:bottom w:val="single" w:sz="4" w:space="0" w:color="auto"/>
              <w:right w:val="nil"/>
            </w:tcBorders>
            <w:shd w:val="clear" w:color="auto" w:fill="9CC2E5"/>
            <w:noWrap/>
            <w:vAlign w:val="center"/>
          </w:tcPr>
          <w:p w14:paraId="71C4324A" w14:textId="77777777" w:rsidR="00F87E58" w:rsidRPr="00587163" w:rsidRDefault="00F87E58" w:rsidP="00F87E58">
            <w:pPr>
              <w:pStyle w:val="cuadroCabe"/>
              <w:jc w:val="right"/>
              <w:rPr>
                <w:sz w:val="12"/>
                <w:szCs w:val="12"/>
              </w:rPr>
            </w:pPr>
            <w:r w:rsidRPr="00587163">
              <w:rPr>
                <w:sz w:val="12"/>
                <w:szCs w:val="12"/>
              </w:rPr>
              <w:t>2001</w:t>
            </w:r>
          </w:p>
        </w:tc>
        <w:tc>
          <w:tcPr>
            <w:tcW w:w="434" w:type="dxa"/>
            <w:tcBorders>
              <w:top w:val="single" w:sz="4" w:space="0" w:color="auto"/>
              <w:left w:val="nil"/>
              <w:bottom w:val="single" w:sz="4" w:space="0" w:color="auto"/>
              <w:right w:val="nil"/>
            </w:tcBorders>
            <w:shd w:val="clear" w:color="auto" w:fill="9CC2E5"/>
            <w:noWrap/>
            <w:vAlign w:val="center"/>
          </w:tcPr>
          <w:p w14:paraId="0ECA23F1" w14:textId="77777777" w:rsidR="00F87E58" w:rsidRPr="00587163" w:rsidRDefault="00F87E58" w:rsidP="00F87E58">
            <w:pPr>
              <w:pStyle w:val="cuadroCabe"/>
              <w:ind w:left="-167"/>
              <w:jc w:val="right"/>
              <w:rPr>
                <w:sz w:val="12"/>
                <w:szCs w:val="12"/>
              </w:rPr>
            </w:pPr>
            <w:r w:rsidRPr="00587163">
              <w:rPr>
                <w:sz w:val="12"/>
                <w:szCs w:val="12"/>
              </w:rPr>
              <w:t>2002</w:t>
            </w:r>
          </w:p>
        </w:tc>
        <w:tc>
          <w:tcPr>
            <w:tcW w:w="476" w:type="dxa"/>
            <w:tcBorders>
              <w:top w:val="single" w:sz="4" w:space="0" w:color="auto"/>
              <w:left w:val="nil"/>
              <w:bottom w:val="single" w:sz="4" w:space="0" w:color="auto"/>
              <w:right w:val="nil"/>
            </w:tcBorders>
            <w:shd w:val="clear" w:color="auto" w:fill="9CC2E5"/>
            <w:noWrap/>
            <w:vAlign w:val="center"/>
          </w:tcPr>
          <w:p w14:paraId="7BD18D1E" w14:textId="77777777" w:rsidR="00F87E58" w:rsidRPr="00587163" w:rsidRDefault="00F87E58" w:rsidP="00F87E58">
            <w:pPr>
              <w:pStyle w:val="cuadroCabe"/>
              <w:jc w:val="right"/>
              <w:rPr>
                <w:sz w:val="12"/>
                <w:szCs w:val="12"/>
              </w:rPr>
            </w:pPr>
            <w:r w:rsidRPr="00587163">
              <w:rPr>
                <w:sz w:val="12"/>
                <w:szCs w:val="12"/>
              </w:rPr>
              <w:t>2003</w:t>
            </w:r>
          </w:p>
        </w:tc>
        <w:tc>
          <w:tcPr>
            <w:tcW w:w="522" w:type="dxa"/>
            <w:tcBorders>
              <w:top w:val="single" w:sz="4" w:space="0" w:color="auto"/>
              <w:left w:val="nil"/>
              <w:bottom w:val="single" w:sz="4" w:space="0" w:color="auto"/>
              <w:right w:val="nil"/>
            </w:tcBorders>
            <w:shd w:val="clear" w:color="auto" w:fill="9CC2E5"/>
            <w:noWrap/>
            <w:vAlign w:val="center"/>
          </w:tcPr>
          <w:p w14:paraId="311FBD6C" w14:textId="77777777" w:rsidR="00F87E58" w:rsidRPr="00587163" w:rsidRDefault="00F87E58" w:rsidP="00F87E58">
            <w:pPr>
              <w:pStyle w:val="cuadroCabe"/>
              <w:jc w:val="right"/>
              <w:rPr>
                <w:sz w:val="12"/>
                <w:szCs w:val="12"/>
              </w:rPr>
            </w:pPr>
            <w:r w:rsidRPr="00587163">
              <w:rPr>
                <w:sz w:val="12"/>
                <w:szCs w:val="12"/>
              </w:rPr>
              <w:t>2004</w:t>
            </w:r>
          </w:p>
        </w:tc>
        <w:tc>
          <w:tcPr>
            <w:tcW w:w="476" w:type="dxa"/>
            <w:tcBorders>
              <w:top w:val="single" w:sz="4" w:space="0" w:color="auto"/>
              <w:left w:val="nil"/>
              <w:bottom w:val="single" w:sz="4" w:space="0" w:color="auto"/>
              <w:right w:val="nil"/>
            </w:tcBorders>
            <w:shd w:val="clear" w:color="auto" w:fill="9CC2E5"/>
            <w:noWrap/>
            <w:vAlign w:val="center"/>
          </w:tcPr>
          <w:p w14:paraId="29B2A616" w14:textId="77777777" w:rsidR="00F87E58" w:rsidRPr="00587163" w:rsidRDefault="00F87E58" w:rsidP="00F87E58">
            <w:pPr>
              <w:pStyle w:val="cuadroCabe"/>
              <w:jc w:val="right"/>
              <w:rPr>
                <w:sz w:val="12"/>
                <w:szCs w:val="12"/>
              </w:rPr>
            </w:pPr>
            <w:r w:rsidRPr="00587163">
              <w:rPr>
                <w:sz w:val="12"/>
                <w:szCs w:val="12"/>
              </w:rPr>
              <w:t>2005</w:t>
            </w:r>
          </w:p>
        </w:tc>
        <w:tc>
          <w:tcPr>
            <w:tcW w:w="476" w:type="dxa"/>
            <w:tcBorders>
              <w:top w:val="single" w:sz="4" w:space="0" w:color="auto"/>
              <w:left w:val="nil"/>
              <w:bottom w:val="single" w:sz="4" w:space="0" w:color="auto"/>
              <w:right w:val="nil"/>
            </w:tcBorders>
            <w:shd w:val="clear" w:color="auto" w:fill="9CC2E5"/>
            <w:noWrap/>
            <w:vAlign w:val="center"/>
          </w:tcPr>
          <w:p w14:paraId="459A6944" w14:textId="77777777" w:rsidR="00F87E58" w:rsidRPr="00587163" w:rsidRDefault="00F87E58" w:rsidP="00F87E58">
            <w:pPr>
              <w:pStyle w:val="cuadroCabe"/>
              <w:jc w:val="right"/>
              <w:rPr>
                <w:sz w:val="12"/>
                <w:szCs w:val="12"/>
              </w:rPr>
            </w:pPr>
            <w:r w:rsidRPr="00587163">
              <w:rPr>
                <w:sz w:val="12"/>
                <w:szCs w:val="12"/>
              </w:rPr>
              <w:t>2006</w:t>
            </w:r>
          </w:p>
        </w:tc>
        <w:tc>
          <w:tcPr>
            <w:tcW w:w="467" w:type="dxa"/>
            <w:tcBorders>
              <w:top w:val="single" w:sz="4" w:space="0" w:color="auto"/>
              <w:left w:val="nil"/>
              <w:bottom w:val="single" w:sz="4" w:space="0" w:color="auto"/>
              <w:right w:val="nil"/>
            </w:tcBorders>
            <w:shd w:val="clear" w:color="auto" w:fill="9CC2E5"/>
            <w:noWrap/>
            <w:vAlign w:val="center"/>
          </w:tcPr>
          <w:p w14:paraId="4FC53649" w14:textId="77777777" w:rsidR="00F87E58" w:rsidRPr="00587163" w:rsidRDefault="00F87E58" w:rsidP="00F87E58">
            <w:pPr>
              <w:pStyle w:val="cuadroCabe"/>
              <w:ind w:left="-124" w:right="-20"/>
              <w:jc w:val="right"/>
              <w:rPr>
                <w:sz w:val="12"/>
                <w:szCs w:val="12"/>
              </w:rPr>
            </w:pPr>
            <w:r w:rsidRPr="00587163">
              <w:rPr>
                <w:sz w:val="12"/>
                <w:szCs w:val="12"/>
              </w:rPr>
              <w:t>2007</w:t>
            </w:r>
          </w:p>
        </w:tc>
        <w:tc>
          <w:tcPr>
            <w:tcW w:w="467" w:type="dxa"/>
            <w:tcBorders>
              <w:top w:val="single" w:sz="4" w:space="0" w:color="auto"/>
              <w:left w:val="nil"/>
              <w:bottom w:val="single" w:sz="4" w:space="0" w:color="auto"/>
              <w:right w:val="nil"/>
            </w:tcBorders>
            <w:shd w:val="clear" w:color="auto" w:fill="9CC2E5"/>
            <w:noWrap/>
            <w:vAlign w:val="center"/>
          </w:tcPr>
          <w:p w14:paraId="5BC06D87" w14:textId="77777777" w:rsidR="00F87E58" w:rsidRPr="00587163" w:rsidRDefault="00F87E58" w:rsidP="00F87E58">
            <w:pPr>
              <w:pStyle w:val="cuadroCabe"/>
              <w:ind w:left="-122" w:right="-36"/>
              <w:jc w:val="right"/>
              <w:rPr>
                <w:sz w:val="12"/>
                <w:szCs w:val="12"/>
              </w:rPr>
            </w:pPr>
            <w:r w:rsidRPr="00587163">
              <w:rPr>
                <w:sz w:val="12"/>
                <w:szCs w:val="12"/>
              </w:rPr>
              <w:t>2008</w:t>
            </w:r>
          </w:p>
        </w:tc>
        <w:tc>
          <w:tcPr>
            <w:tcW w:w="467" w:type="dxa"/>
            <w:tcBorders>
              <w:top w:val="single" w:sz="4" w:space="0" w:color="auto"/>
              <w:left w:val="nil"/>
              <w:bottom w:val="single" w:sz="4" w:space="0" w:color="auto"/>
              <w:right w:val="nil"/>
            </w:tcBorders>
            <w:shd w:val="clear" w:color="auto" w:fill="9CC2E5"/>
            <w:noWrap/>
            <w:vAlign w:val="center"/>
          </w:tcPr>
          <w:p w14:paraId="0036BA2D" w14:textId="77777777" w:rsidR="00F87E58" w:rsidRPr="00587163" w:rsidRDefault="00F87E58" w:rsidP="00F87E58">
            <w:pPr>
              <w:pStyle w:val="cuadroCabe"/>
              <w:ind w:left="-121" w:right="-38"/>
              <w:jc w:val="right"/>
              <w:rPr>
                <w:sz w:val="12"/>
                <w:szCs w:val="12"/>
              </w:rPr>
            </w:pPr>
            <w:r w:rsidRPr="00587163">
              <w:rPr>
                <w:sz w:val="12"/>
                <w:szCs w:val="12"/>
              </w:rPr>
              <w:t>2009</w:t>
            </w:r>
          </w:p>
        </w:tc>
        <w:tc>
          <w:tcPr>
            <w:tcW w:w="428" w:type="dxa"/>
            <w:tcBorders>
              <w:top w:val="single" w:sz="4" w:space="0" w:color="auto"/>
              <w:left w:val="nil"/>
              <w:bottom w:val="single" w:sz="4" w:space="0" w:color="auto"/>
              <w:right w:val="nil"/>
            </w:tcBorders>
            <w:shd w:val="clear" w:color="auto" w:fill="9CC2E5"/>
            <w:noWrap/>
            <w:vAlign w:val="center"/>
          </w:tcPr>
          <w:p w14:paraId="4E90F390" w14:textId="77777777" w:rsidR="00F87E58" w:rsidRPr="00587163" w:rsidRDefault="00F87E58" w:rsidP="00F87E58">
            <w:pPr>
              <w:pStyle w:val="cuadroCabe"/>
              <w:ind w:left="-118" w:right="-40"/>
              <w:jc w:val="right"/>
              <w:rPr>
                <w:sz w:val="12"/>
                <w:szCs w:val="12"/>
              </w:rPr>
            </w:pPr>
            <w:r w:rsidRPr="00587163">
              <w:rPr>
                <w:sz w:val="12"/>
                <w:szCs w:val="12"/>
              </w:rPr>
              <w:t>2010</w:t>
            </w:r>
          </w:p>
        </w:tc>
        <w:tc>
          <w:tcPr>
            <w:tcW w:w="474" w:type="dxa"/>
            <w:tcBorders>
              <w:top w:val="single" w:sz="4" w:space="0" w:color="auto"/>
              <w:left w:val="nil"/>
              <w:bottom w:val="single" w:sz="4" w:space="0" w:color="auto"/>
              <w:right w:val="nil"/>
            </w:tcBorders>
            <w:shd w:val="clear" w:color="auto" w:fill="9CC2E5"/>
            <w:noWrap/>
            <w:vAlign w:val="center"/>
          </w:tcPr>
          <w:p w14:paraId="29DCC364" w14:textId="77777777" w:rsidR="00F87E58" w:rsidRPr="00587163" w:rsidRDefault="00F87E58" w:rsidP="00F87E58">
            <w:pPr>
              <w:pStyle w:val="cuadroCabe"/>
              <w:ind w:left="-72"/>
              <w:jc w:val="right"/>
              <w:rPr>
                <w:sz w:val="12"/>
                <w:szCs w:val="12"/>
              </w:rPr>
            </w:pPr>
            <w:r w:rsidRPr="00587163">
              <w:rPr>
                <w:sz w:val="12"/>
                <w:szCs w:val="12"/>
              </w:rPr>
              <w:t>2011</w:t>
            </w:r>
          </w:p>
        </w:tc>
        <w:tc>
          <w:tcPr>
            <w:tcW w:w="482" w:type="dxa"/>
            <w:tcBorders>
              <w:top w:val="single" w:sz="4" w:space="0" w:color="auto"/>
              <w:left w:val="nil"/>
              <w:bottom w:val="single" w:sz="4" w:space="0" w:color="auto"/>
              <w:right w:val="nil"/>
            </w:tcBorders>
            <w:shd w:val="clear" w:color="auto" w:fill="9CC2E5"/>
            <w:noWrap/>
            <w:vAlign w:val="center"/>
          </w:tcPr>
          <w:p w14:paraId="1540A0A8" w14:textId="77777777" w:rsidR="00F87E58" w:rsidRPr="00587163" w:rsidRDefault="00F87E58" w:rsidP="00F87E58">
            <w:pPr>
              <w:pStyle w:val="cuadroCabe"/>
              <w:ind w:left="-64"/>
              <w:jc w:val="right"/>
              <w:rPr>
                <w:sz w:val="12"/>
                <w:szCs w:val="12"/>
              </w:rPr>
            </w:pPr>
            <w:r w:rsidRPr="00587163">
              <w:rPr>
                <w:sz w:val="12"/>
                <w:szCs w:val="12"/>
              </w:rPr>
              <w:t>2012</w:t>
            </w:r>
          </w:p>
        </w:tc>
        <w:tc>
          <w:tcPr>
            <w:tcW w:w="400" w:type="dxa"/>
            <w:tcBorders>
              <w:top w:val="single" w:sz="4" w:space="0" w:color="auto"/>
              <w:left w:val="nil"/>
              <w:bottom w:val="single" w:sz="4" w:space="0" w:color="auto"/>
              <w:right w:val="nil"/>
            </w:tcBorders>
            <w:shd w:val="clear" w:color="auto" w:fill="9CC2E5"/>
            <w:noWrap/>
            <w:vAlign w:val="center"/>
          </w:tcPr>
          <w:p w14:paraId="6B6011E3" w14:textId="77777777" w:rsidR="00F87E58" w:rsidRPr="00587163" w:rsidRDefault="00F87E58" w:rsidP="00F87E58">
            <w:pPr>
              <w:pStyle w:val="cuadroCabe"/>
              <w:ind w:left="-146"/>
              <w:jc w:val="right"/>
              <w:rPr>
                <w:sz w:val="12"/>
                <w:szCs w:val="12"/>
              </w:rPr>
            </w:pPr>
            <w:r w:rsidRPr="00587163">
              <w:rPr>
                <w:sz w:val="12"/>
                <w:szCs w:val="12"/>
              </w:rPr>
              <w:t>2013</w:t>
            </w:r>
          </w:p>
        </w:tc>
        <w:tc>
          <w:tcPr>
            <w:tcW w:w="467" w:type="dxa"/>
            <w:tcBorders>
              <w:top w:val="single" w:sz="4" w:space="0" w:color="auto"/>
              <w:left w:val="nil"/>
              <w:bottom w:val="single" w:sz="4" w:space="0" w:color="auto"/>
              <w:right w:val="nil"/>
            </w:tcBorders>
            <w:shd w:val="clear" w:color="auto" w:fill="9CC2E5"/>
            <w:noWrap/>
            <w:vAlign w:val="center"/>
          </w:tcPr>
          <w:p w14:paraId="5F9B2EE5" w14:textId="77777777" w:rsidR="00F87E58" w:rsidRPr="00587163" w:rsidRDefault="00F87E58" w:rsidP="00F87E58">
            <w:pPr>
              <w:pStyle w:val="cuadroCabe"/>
              <w:ind w:left="-81" w:hanging="70"/>
              <w:jc w:val="right"/>
              <w:rPr>
                <w:sz w:val="12"/>
                <w:szCs w:val="12"/>
              </w:rPr>
            </w:pPr>
            <w:r w:rsidRPr="00587163">
              <w:rPr>
                <w:sz w:val="12"/>
                <w:szCs w:val="12"/>
              </w:rPr>
              <w:t>2014</w:t>
            </w:r>
          </w:p>
        </w:tc>
        <w:tc>
          <w:tcPr>
            <w:tcW w:w="460" w:type="dxa"/>
            <w:tcBorders>
              <w:top w:val="single" w:sz="4" w:space="0" w:color="auto"/>
              <w:left w:val="nil"/>
              <w:bottom w:val="single" w:sz="4" w:space="0" w:color="auto"/>
              <w:right w:val="nil"/>
            </w:tcBorders>
            <w:shd w:val="clear" w:color="auto" w:fill="9CC2E5"/>
            <w:noWrap/>
            <w:vAlign w:val="center"/>
          </w:tcPr>
          <w:p w14:paraId="5F62E3BA" w14:textId="77777777" w:rsidR="00F87E58" w:rsidRPr="00587163" w:rsidRDefault="00F87E58" w:rsidP="00F87E58">
            <w:pPr>
              <w:pStyle w:val="cuadroCabe"/>
              <w:ind w:left="-86"/>
              <w:jc w:val="right"/>
              <w:rPr>
                <w:sz w:val="12"/>
                <w:szCs w:val="12"/>
              </w:rPr>
            </w:pPr>
            <w:r w:rsidRPr="00587163">
              <w:rPr>
                <w:sz w:val="12"/>
                <w:szCs w:val="12"/>
              </w:rPr>
              <w:t>2015</w:t>
            </w:r>
          </w:p>
        </w:tc>
        <w:tc>
          <w:tcPr>
            <w:tcW w:w="440" w:type="dxa"/>
            <w:tcBorders>
              <w:top w:val="single" w:sz="4" w:space="0" w:color="auto"/>
              <w:left w:val="nil"/>
              <w:bottom w:val="single" w:sz="4" w:space="0" w:color="auto"/>
              <w:right w:val="nil"/>
            </w:tcBorders>
            <w:shd w:val="clear" w:color="auto" w:fill="9CC2E5"/>
            <w:noWrap/>
            <w:vAlign w:val="center"/>
          </w:tcPr>
          <w:p w14:paraId="6FC73CEB" w14:textId="77777777" w:rsidR="00F87E58" w:rsidRPr="00587163" w:rsidRDefault="00F87E58" w:rsidP="00F87E58">
            <w:pPr>
              <w:pStyle w:val="cuadroCabe"/>
              <w:ind w:left="-106"/>
              <w:jc w:val="right"/>
              <w:rPr>
                <w:sz w:val="12"/>
                <w:szCs w:val="12"/>
              </w:rPr>
            </w:pPr>
            <w:r w:rsidRPr="00587163">
              <w:rPr>
                <w:sz w:val="12"/>
                <w:szCs w:val="12"/>
              </w:rPr>
              <w:t>2016</w:t>
            </w:r>
          </w:p>
        </w:tc>
        <w:tc>
          <w:tcPr>
            <w:tcW w:w="420" w:type="dxa"/>
            <w:tcBorders>
              <w:top w:val="single" w:sz="4" w:space="0" w:color="auto"/>
              <w:left w:val="nil"/>
              <w:bottom w:val="single" w:sz="4" w:space="0" w:color="auto"/>
              <w:right w:val="nil"/>
            </w:tcBorders>
            <w:shd w:val="clear" w:color="auto" w:fill="9CC2E5"/>
            <w:noWrap/>
            <w:vAlign w:val="center"/>
          </w:tcPr>
          <w:p w14:paraId="49790838" w14:textId="77777777" w:rsidR="00F87E58" w:rsidRPr="00587163" w:rsidRDefault="00F87E58" w:rsidP="00F87E58">
            <w:pPr>
              <w:pStyle w:val="cuadroCabe"/>
              <w:ind w:left="-126"/>
              <w:jc w:val="right"/>
              <w:rPr>
                <w:sz w:val="12"/>
                <w:szCs w:val="12"/>
              </w:rPr>
            </w:pPr>
            <w:r w:rsidRPr="00587163">
              <w:rPr>
                <w:sz w:val="12"/>
                <w:szCs w:val="12"/>
              </w:rPr>
              <w:t>2017</w:t>
            </w:r>
          </w:p>
        </w:tc>
        <w:tc>
          <w:tcPr>
            <w:tcW w:w="375" w:type="dxa"/>
            <w:tcBorders>
              <w:top w:val="single" w:sz="4" w:space="0" w:color="auto"/>
              <w:left w:val="nil"/>
              <w:bottom w:val="single" w:sz="4" w:space="0" w:color="auto"/>
              <w:right w:val="nil"/>
            </w:tcBorders>
            <w:shd w:val="clear" w:color="auto" w:fill="9CC2E5"/>
            <w:noWrap/>
            <w:vAlign w:val="center"/>
          </w:tcPr>
          <w:p w14:paraId="433D2822" w14:textId="77777777" w:rsidR="00F87E58" w:rsidRPr="00587163" w:rsidRDefault="00F87E58" w:rsidP="00F87E58">
            <w:pPr>
              <w:pStyle w:val="cuadroCabe"/>
              <w:ind w:left="-171"/>
              <w:jc w:val="right"/>
              <w:rPr>
                <w:sz w:val="12"/>
                <w:szCs w:val="12"/>
              </w:rPr>
            </w:pPr>
            <w:r w:rsidRPr="00587163">
              <w:rPr>
                <w:sz w:val="12"/>
                <w:szCs w:val="12"/>
              </w:rPr>
              <w:t>2018</w:t>
            </w:r>
          </w:p>
        </w:tc>
        <w:tc>
          <w:tcPr>
            <w:tcW w:w="370" w:type="dxa"/>
            <w:tcBorders>
              <w:top w:val="single" w:sz="4" w:space="0" w:color="auto"/>
              <w:left w:val="nil"/>
              <w:bottom w:val="single" w:sz="4" w:space="0" w:color="auto"/>
              <w:right w:val="nil"/>
            </w:tcBorders>
            <w:shd w:val="clear" w:color="auto" w:fill="9CC2E5"/>
            <w:noWrap/>
            <w:vAlign w:val="center"/>
          </w:tcPr>
          <w:p w14:paraId="1C396763" w14:textId="77777777" w:rsidR="00F87E58" w:rsidRPr="00587163" w:rsidRDefault="00F87E58" w:rsidP="00F87E58">
            <w:pPr>
              <w:pStyle w:val="cuadroCabe"/>
              <w:ind w:left="-176"/>
              <w:jc w:val="right"/>
              <w:rPr>
                <w:sz w:val="12"/>
                <w:szCs w:val="12"/>
              </w:rPr>
            </w:pPr>
            <w:r w:rsidRPr="00587163">
              <w:rPr>
                <w:sz w:val="12"/>
                <w:szCs w:val="12"/>
              </w:rPr>
              <w:t>2019</w:t>
            </w:r>
          </w:p>
        </w:tc>
        <w:tc>
          <w:tcPr>
            <w:tcW w:w="400" w:type="dxa"/>
            <w:tcBorders>
              <w:top w:val="single" w:sz="4" w:space="0" w:color="auto"/>
              <w:left w:val="nil"/>
              <w:bottom w:val="single" w:sz="4" w:space="0" w:color="auto"/>
              <w:right w:val="nil"/>
            </w:tcBorders>
            <w:shd w:val="clear" w:color="auto" w:fill="9CC2E5"/>
            <w:noWrap/>
            <w:vAlign w:val="center"/>
          </w:tcPr>
          <w:p w14:paraId="613FFBEF" w14:textId="77777777" w:rsidR="00F87E58" w:rsidRPr="00587163" w:rsidRDefault="00F87E58" w:rsidP="00F87E58">
            <w:pPr>
              <w:pStyle w:val="cuadroCabe"/>
              <w:ind w:left="-146"/>
              <w:jc w:val="right"/>
              <w:rPr>
                <w:sz w:val="12"/>
                <w:szCs w:val="12"/>
              </w:rPr>
            </w:pPr>
            <w:r w:rsidRPr="00587163">
              <w:rPr>
                <w:sz w:val="12"/>
                <w:szCs w:val="12"/>
              </w:rPr>
              <w:t>2020</w:t>
            </w:r>
          </w:p>
        </w:tc>
        <w:tc>
          <w:tcPr>
            <w:tcW w:w="476" w:type="dxa"/>
            <w:tcBorders>
              <w:top w:val="single" w:sz="4" w:space="0" w:color="auto"/>
              <w:left w:val="nil"/>
              <w:bottom w:val="single" w:sz="4" w:space="0" w:color="auto"/>
              <w:right w:val="nil"/>
            </w:tcBorders>
            <w:shd w:val="clear" w:color="auto" w:fill="9CC2E5"/>
            <w:noWrap/>
            <w:vAlign w:val="center"/>
          </w:tcPr>
          <w:p w14:paraId="6EB0D7CA" w14:textId="77777777" w:rsidR="00F87E58" w:rsidRPr="00587163" w:rsidRDefault="00F87E58" w:rsidP="00F87E58">
            <w:pPr>
              <w:pStyle w:val="cuadroCabe"/>
              <w:ind w:left="-70"/>
              <w:jc w:val="right"/>
              <w:rPr>
                <w:sz w:val="12"/>
                <w:szCs w:val="12"/>
              </w:rPr>
            </w:pPr>
            <w:r w:rsidRPr="00587163">
              <w:rPr>
                <w:sz w:val="12"/>
                <w:szCs w:val="12"/>
              </w:rPr>
              <w:t>2021</w:t>
            </w:r>
          </w:p>
        </w:tc>
        <w:tc>
          <w:tcPr>
            <w:tcW w:w="422" w:type="dxa"/>
            <w:tcBorders>
              <w:top w:val="single" w:sz="4" w:space="0" w:color="auto"/>
              <w:left w:val="nil"/>
              <w:bottom w:val="single" w:sz="4" w:space="0" w:color="auto"/>
              <w:right w:val="nil"/>
            </w:tcBorders>
            <w:shd w:val="clear" w:color="auto" w:fill="9CC2E5"/>
            <w:noWrap/>
            <w:vAlign w:val="center"/>
          </w:tcPr>
          <w:p w14:paraId="115343AA" w14:textId="77777777" w:rsidR="00F87E58" w:rsidRPr="00587163" w:rsidRDefault="00F87E58" w:rsidP="00F87E58">
            <w:pPr>
              <w:pStyle w:val="cuadroCabe"/>
              <w:ind w:left="-124"/>
              <w:jc w:val="right"/>
              <w:rPr>
                <w:sz w:val="12"/>
                <w:szCs w:val="12"/>
              </w:rPr>
            </w:pPr>
            <w:r w:rsidRPr="00587163">
              <w:rPr>
                <w:sz w:val="12"/>
                <w:szCs w:val="12"/>
              </w:rPr>
              <w:t>2022</w:t>
            </w:r>
          </w:p>
        </w:tc>
      </w:tr>
      <w:tr w:rsidR="00F87E58" w:rsidRPr="00CC0F93" w14:paraId="35BA397B" w14:textId="77777777" w:rsidTr="00F87E58">
        <w:trPr>
          <w:trHeight w:val="198"/>
          <w:jc w:val="center"/>
        </w:trPr>
        <w:tc>
          <w:tcPr>
            <w:tcW w:w="1179" w:type="dxa"/>
            <w:tcBorders>
              <w:top w:val="single" w:sz="4" w:space="0" w:color="auto"/>
              <w:bottom w:val="single" w:sz="2" w:space="0" w:color="auto"/>
              <w:right w:val="nil"/>
            </w:tcBorders>
            <w:shd w:val="clear" w:color="auto" w:fill="auto"/>
            <w:noWrap/>
            <w:vAlign w:val="center"/>
          </w:tcPr>
          <w:p w14:paraId="365B56B9" w14:textId="77777777" w:rsidR="00F87E58" w:rsidRPr="00143FB3" w:rsidRDefault="00F87E58" w:rsidP="00321B53">
            <w:pPr>
              <w:pStyle w:val="cuatexto"/>
              <w:spacing w:line="240" w:lineRule="auto"/>
              <w:rPr>
                <w:sz w:val="12"/>
                <w:szCs w:val="12"/>
              </w:rPr>
            </w:pPr>
            <w:r w:rsidRPr="00143FB3">
              <w:rPr>
                <w:sz w:val="12"/>
                <w:szCs w:val="12"/>
              </w:rPr>
              <w:t>Resultado ejercicio</w:t>
            </w:r>
          </w:p>
        </w:tc>
        <w:tc>
          <w:tcPr>
            <w:tcW w:w="440" w:type="dxa"/>
            <w:tcBorders>
              <w:top w:val="single" w:sz="4" w:space="0" w:color="auto"/>
              <w:left w:val="nil"/>
              <w:bottom w:val="single" w:sz="2" w:space="0" w:color="auto"/>
              <w:right w:val="nil"/>
            </w:tcBorders>
            <w:shd w:val="clear" w:color="auto" w:fill="auto"/>
            <w:noWrap/>
            <w:vAlign w:val="center"/>
          </w:tcPr>
          <w:p w14:paraId="691ACA27" w14:textId="77777777" w:rsidR="00F87E58" w:rsidRPr="00CC0F93" w:rsidRDefault="00F87E58" w:rsidP="00321B53">
            <w:pPr>
              <w:pStyle w:val="cuatexto"/>
              <w:spacing w:line="240" w:lineRule="auto"/>
              <w:jc w:val="right"/>
              <w:rPr>
                <w:sz w:val="14"/>
                <w:szCs w:val="14"/>
              </w:rPr>
            </w:pPr>
            <w:r w:rsidRPr="00CC0F93">
              <w:rPr>
                <w:sz w:val="14"/>
                <w:szCs w:val="14"/>
              </w:rPr>
              <w:t>0,00</w:t>
            </w:r>
          </w:p>
        </w:tc>
        <w:tc>
          <w:tcPr>
            <w:tcW w:w="434" w:type="dxa"/>
            <w:tcBorders>
              <w:top w:val="single" w:sz="4" w:space="0" w:color="auto"/>
              <w:left w:val="nil"/>
              <w:bottom w:val="single" w:sz="2" w:space="0" w:color="auto"/>
              <w:right w:val="nil"/>
            </w:tcBorders>
            <w:shd w:val="clear" w:color="auto" w:fill="auto"/>
            <w:noWrap/>
            <w:vAlign w:val="center"/>
          </w:tcPr>
          <w:p w14:paraId="43CA16EE" w14:textId="77777777" w:rsidR="00F87E58" w:rsidRPr="00CC0F93" w:rsidRDefault="00F87E58" w:rsidP="00321B53">
            <w:pPr>
              <w:pStyle w:val="cuatexto"/>
              <w:spacing w:line="240" w:lineRule="auto"/>
              <w:ind w:left="-167"/>
              <w:jc w:val="right"/>
              <w:rPr>
                <w:sz w:val="14"/>
                <w:szCs w:val="14"/>
              </w:rPr>
            </w:pPr>
            <w:r w:rsidRPr="00CC0F93">
              <w:rPr>
                <w:sz w:val="14"/>
                <w:szCs w:val="14"/>
              </w:rPr>
              <w:t>(0,04)</w:t>
            </w:r>
          </w:p>
        </w:tc>
        <w:tc>
          <w:tcPr>
            <w:tcW w:w="476" w:type="dxa"/>
            <w:tcBorders>
              <w:top w:val="single" w:sz="4" w:space="0" w:color="auto"/>
              <w:left w:val="nil"/>
              <w:bottom w:val="single" w:sz="2" w:space="0" w:color="auto"/>
              <w:right w:val="nil"/>
            </w:tcBorders>
            <w:shd w:val="clear" w:color="auto" w:fill="auto"/>
            <w:noWrap/>
            <w:vAlign w:val="center"/>
          </w:tcPr>
          <w:p w14:paraId="3ADE7D5B" w14:textId="77777777" w:rsidR="00F87E58" w:rsidRPr="00CC0F93" w:rsidRDefault="00F87E58" w:rsidP="00321B53">
            <w:pPr>
              <w:pStyle w:val="cuatexto"/>
              <w:spacing w:line="240" w:lineRule="auto"/>
              <w:jc w:val="right"/>
              <w:rPr>
                <w:sz w:val="14"/>
                <w:szCs w:val="14"/>
              </w:rPr>
            </w:pPr>
            <w:r w:rsidRPr="00CC0F93">
              <w:rPr>
                <w:sz w:val="14"/>
                <w:szCs w:val="14"/>
              </w:rPr>
              <w:t>(0,44)</w:t>
            </w:r>
          </w:p>
        </w:tc>
        <w:tc>
          <w:tcPr>
            <w:tcW w:w="522" w:type="dxa"/>
            <w:tcBorders>
              <w:top w:val="single" w:sz="4" w:space="0" w:color="auto"/>
              <w:left w:val="nil"/>
              <w:bottom w:val="single" w:sz="2" w:space="0" w:color="auto"/>
              <w:right w:val="nil"/>
            </w:tcBorders>
            <w:shd w:val="clear" w:color="auto" w:fill="auto"/>
            <w:noWrap/>
            <w:vAlign w:val="center"/>
          </w:tcPr>
          <w:p w14:paraId="047BDE2F" w14:textId="77777777" w:rsidR="00F87E58" w:rsidRPr="00CC0F93" w:rsidRDefault="00F87E58" w:rsidP="00321B53">
            <w:pPr>
              <w:pStyle w:val="cuatexto"/>
              <w:spacing w:line="240" w:lineRule="auto"/>
              <w:jc w:val="right"/>
              <w:rPr>
                <w:sz w:val="14"/>
                <w:szCs w:val="14"/>
              </w:rPr>
            </w:pPr>
            <w:r w:rsidRPr="00CC0F93">
              <w:rPr>
                <w:sz w:val="14"/>
                <w:szCs w:val="14"/>
              </w:rPr>
              <w:t>(2,58)</w:t>
            </w:r>
          </w:p>
        </w:tc>
        <w:tc>
          <w:tcPr>
            <w:tcW w:w="476" w:type="dxa"/>
            <w:tcBorders>
              <w:top w:val="single" w:sz="4" w:space="0" w:color="auto"/>
              <w:left w:val="nil"/>
              <w:bottom w:val="single" w:sz="2" w:space="0" w:color="auto"/>
              <w:right w:val="nil"/>
            </w:tcBorders>
            <w:shd w:val="clear" w:color="auto" w:fill="auto"/>
            <w:noWrap/>
            <w:vAlign w:val="center"/>
          </w:tcPr>
          <w:p w14:paraId="1F07678D" w14:textId="77777777" w:rsidR="00F87E58" w:rsidRPr="00CC0F93" w:rsidRDefault="00F87E58" w:rsidP="00321B53">
            <w:pPr>
              <w:pStyle w:val="cuatexto"/>
              <w:spacing w:line="240" w:lineRule="auto"/>
              <w:jc w:val="right"/>
              <w:rPr>
                <w:sz w:val="14"/>
                <w:szCs w:val="14"/>
              </w:rPr>
            </w:pPr>
            <w:r w:rsidRPr="00CC0F93">
              <w:rPr>
                <w:sz w:val="14"/>
                <w:szCs w:val="14"/>
              </w:rPr>
              <w:t>(4,00)</w:t>
            </w:r>
          </w:p>
        </w:tc>
        <w:tc>
          <w:tcPr>
            <w:tcW w:w="476" w:type="dxa"/>
            <w:tcBorders>
              <w:top w:val="single" w:sz="4" w:space="0" w:color="auto"/>
              <w:left w:val="nil"/>
              <w:bottom w:val="single" w:sz="2" w:space="0" w:color="auto"/>
              <w:right w:val="nil"/>
            </w:tcBorders>
            <w:shd w:val="clear" w:color="auto" w:fill="auto"/>
            <w:noWrap/>
            <w:vAlign w:val="center"/>
          </w:tcPr>
          <w:p w14:paraId="7A1C41B8" w14:textId="77777777" w:rsidR="00F87E58" w:rsidRPr="00CC0F93" w:rsidRDefault="00F87E58" w:rsidP="00321B53">
            <w:pPr>
              <w:pStyle w:val="cuatexto"/>
              <w:spacing w:line="240" w:lineRule="auto"/>
              <w:jc w:val="right"/>
              <w:rPr>
                <w:sz w:val="14"/>
                <w:szCs w:val="14"/>
              </w:rPr>
            </w:pPr>
            <w:r w:rsidRPr="00CC0F93">
              <w:rPr>
                <w:sz w:val="14"/>
                <w:szCs w:val="14"/>
              </w:rPr>
              <w:t>(4,46)</w:t>
            </w:r>
          </w:p>
        </w:tc>
        <w:tc>
          <w:tcPr>
            <w:tcW w:w="467" w:type="dxa"/>
            <w:tcBorders>
              <w:top w:val="single" w:sz="4" w:space="0" w:color="auto"/>
              <w:left w:val="nil"/>
              <w:bottom w:val="single" w:sz="2" w:space="0" w:color="auto"/>
              <w:right w:val="nil"/>
            </w:tcBorders>
            <w:shd w:val="clear" w:color="auto" w:fill="auto"/>
            <w:noWrap/>
            <w:vAlign w:val="center"/>
          </w:tcPr>
          <w:p w14:paraId="29122436" w14:textId="77777777" w:rsidR="00F87E58" w:rsidRPr="00CC0F93" w:rsidRDefault="00F87E58" w:rsidP="00321B53">
            <w:pPr>
              <w:pStyle w:val="cuatexto"/>
              <w:spacing w:line="240" w:lineRule="auto"/>
              <w:ind w:left="-124" w:right="-20"/>
              <w:jc w:val="right"/>
              <w:rPr>
                <w:sz w:val="14"/>
                <w:szCs w:val="14"/>
              </w:rPr>
            </w:pPr>
            <w:r w:rsidRPr="00CC0F93">
              <w:rPr>
                <w:sz w:val="14"/>
                <w:szCs w:val="14"/>
              </w:rPr>
              <w:t>(4,38)</w:t>
            </w:r>
          </w:p>
        </w:tc>
        <w:tc>
          <w:tcPr>
            <w:tcW w:w="467" w:type="dxa"/>
            <w:tcBorders>
              <w:top w:val="single" w:sz="4" w:space="0" w:color="auto"/>
              <w:left w:val="nil"/>
              <w:bottom w:val="single" w:sz="2" w:space="0" w:color="auto"/>
              <w:right w:val="nil"/>
            </w:tcBorders>
            <w:shd w:val="clear" w:color="auto" w:fill="auto"/>
            <w:noWrap/>
            <w:vAlign w:val="center"/>
          </w:tcPr>
          <w:p w14:paraId="3803E28A" w14:textId="77777777" w:rsidR="00F87E58" w:rsidRPr="00CC0F93" w:rsidRDefault="00F87E58" w:rsidP="00321B53">
            <w:pPr>
              <w:pStyle w:val="cuatexto"/>
              <w:spacing w:line="240" w:lineRule="auto"/>
              <w:ind w:left="-122" w:right="-36"/>
              <w:jc w:val="right"/>
              <w:rPr>
                <w:sz w:val="14"/>
                <w:szCs w:val="14"/>
              </w:rPr>
            </w:pPr>
            <w:r w:rsidRPr="00CC0F93">
              <w:rPr>
                <w:sz w:val="14"/>
                <w:szCs w:val="14"/>
              </w:rPr>
              <w:t>(4,17)</w:t>
            </w:r>
          </w:p>
        </w:tc>
        <w:tc>
          <w:tcPr>
            <w:tcW w:w="467" w:type="dxa"/>
            <w:tcBorders>
              <w:top w:val="single" w:sz="4" w:space="0" w:color="auto"/>
              <w:left w:val="nil"/>
              <w:bottom w:val="single" w:sz="2" w:space="0" w:color="auto"/>
              <w:right w:val="nil"/>
            </w:tcBorders>
            <w:shd w:val="clear" w:color="auto" w:fill="auto"/>
            <w:noWrap/>
            <w:vAlign w:val="center"/>
          </w:tcPr>
          <w:p w14:paraId="0816A772" w14:textId="77777777" w:rsidR="00F87E58" w:rsidRPr="00CC0F93" w:rsidRDefault="00F87E58" w:rsidP="00321B53">
            <w:pPr>
              <w:pStyle w:val="cuatexto"/>
              <w:spacing w:line="240" w:lineRule="auto"/>
              <w:ind w:left="-121" w:right="-38"/>
              <w:jc w:val="right"/>
              <w:rPr>
                <w:sz w:val="14"/>
                <w:szCs w:val="14"/>
              </w:rPr>
            </w:pPr>
            <w:r w:rsidRPr="00CC0F93">
              <w:rPr>
                <w:sz w:val="14"/>
                <w:szCs w:val="14"/>
              </w:rPr>
              <w:t>(4,14)</w:t>
            </w:r>
          </w:p>
        </w:tc>
        <w:tc>
          <w:tcPr>
            <w:tcW w:w="428" w:type="dxa"/>
            <w:tcBorders>
              <w:top w:val="single" w:sz="4" w:space="0" w:color="auto"/>
              <w:left w:val="nil"/>
              <w:bottom w:val="single" w:sz="2" w:space="0" w:color="auto"/>
              <w:right w:val="nil"/>
            </w:tcBorders>
            <w:shd w:val="clear" w:color="auto" w:fill="auto"/>
            <w:noWrap/>
            <w:vAlign w:val="center"/>
          </w:tcPr>
          <w:p w14:paraId="682275B0" w14:textId="77777777" w:rsidR="00F87E58" w:rsidRPr="00CC0F93" w:rsidRDefault="00F87E58" w:rsidP="00321B53">
            <w:pPr>
              <w:pStyle w:val="cuatexto"/>
              <w:spacing w:line="240" w:lineRule="auto"/>
              <w:ind w:left="-118" w:right="-40"/>
              <w:jc w:val="right"/>
              <w:rPr>
                <w:sz w:val="14"/>
                <w:szCs w:val="14"/>
              </w:rPr>
            </w:pPr>
            <w:r w:rsidRPr="00CC0F93">
              <w:rPr>
                <w:sz w:val="14"/>
                <w:szCs w:val="14"/>
              </w:rPr>
              <w:t>(4,30)</w:t>
            </w:r>
          </w:p>
        </w:tc>
        <w:tc>
          <w:tcPr>
            <w:tcW w:w="474" w:type="dxa"/>
            <w:tcBorders>
              <w:top w:val="single" w:sz="4" w:space="0" w:color="auto"/>
              <w:left w:val="nil"/>
              <w:bottom w:val="single" w:sz="2" w:space="0" w:color="auto"/>
              <w:right w:val="nil"/>
            </w:tcBorders>
            <w:shd w:val="clear" w:color="auto" w:fill="auto"/>
            <w:noWrap/>
            <w:vAlign w:val="center"/>
          </w:tcPr>
          <w:p w14:paraId="0D09C066" w14:textId="77777777" w:rsidR="00F87E58" w:rsidRPr="00CC0F93" w:rsidRDefault="00F87E58" w:rsidP="00321B53">
            <w:pPr>
              <w:pStyle w:val="cuatexto"/>
              <w:spacing w:line="240" w:lineRule="auto"/>
              <w:ind w:left="-72"/>
              <w:jc w:val="right"/>
              <w:rPr>
                <w:sz w:val="14"/>
                <w:szCs w:val="14"/>
              </w:rPr>
            </w:pPr>
            <w:r w:rsidRPr="00CC0F93">
              <w:rPr>
                <w:sz w:val="14"/>
                <w:szCs w:val="14"/>
              </w:rPr>
              <w:t>(4,04)</w:t>
            </w:r>
          </w:p>
        </w:tc>
        <w:tc>
          <w:tcPr>
            <w:tcW w:w="482" w:type="dxa"/>
            <w:tcBorders>
              <w:top w:val="single" w:sz="4" w:space="0" w:color="auto"/>
              <w:left w:val="nil"/>
              <w:bottom w:val="single" w:sz="2" w:space="0" w:color="auto"/>
              <w:right w:val="nil"/>
            </w:tcBorders>
            <w:shd w:val="clear" w:color="auto" w:fill="auto"/>
            <w:noWrap/>
            <w:vAlign w:val="center"/>
          </w:tcPr>
          <w:p w14:paraId="4A26CC44" w14:textId="77777777" w:rsidR="00F87E58" w:rsidRPr="00CC0F93" w:rsidRDefault="00F87E58" w:rsidP="00321B53">
            <w:pPr>
              <w:pStyle w:val="cuatexto"/>
              <w:spacing w:line="240" w:lineRule="auto"/>
              <w:ind w:left="-64"/>
              <w:jc w:val="right"/>
              <w:rPr>
                <w:sz w:val="14"/>
                <w:szCs w:val="14"/>
              </w:rPr>
            </w:pPr>
            <w:r w:rsidRPr="00CC0F93">
              <w:rPr>
                <w:sz w:val="14"/>
                <w:szCs w:val="14"/>
              </w:rPr>
              <w:t>(4,05)</w:t>
            </w:r>
          </w:p>
        </w:tc>
        <w:tc>
          <w:tcPr>
            <w:tcW w:w="400" w:type="dxa"/>
            <w:tcBorders>
              <w:top w:val="single" w:sz="4" w:space="0" w:color="auto"/>
              <w:left w:val="nil"/>
              <w:bottom w:val="single" w:sz="2" w:space="0" w:color="auto"/>
              <w:right w:val="nil"/>
            </w:tcBorders>
            <w:shd w:val="clear" w:color="auto" w:fill="auto"/>
            <w:noWrap/>
            <w:vAlign w:val="center"/>
          </w:tcPr>
          <w:p w14:paraId="4D7723EB" w14:textId="77777777" w:rsidR="00F87E58" w:rsidRPr="00CC0F93" w:rsidRDefault="00F87E58" w:rsidP="00321B53">
            <w:pPr>
              <w:pStyle w:val="cuatexto"/>
              <w:spacing w:line="240" w:lineRule="auto"/>
              <w:ind w:left="-146"/>
              <w:jc w:val="right"/>
              <w:rPr>
                <w:sz w:val="14"/>
                <w:szCs w:val="14"/>
              </w:rPr>
            </w:pPr>
            <w:r w:rsidRPr="00CC0F93">
              <w:rPr>
                <w:sz w:val="14"/>
                <w:szCs w:val="14"/>
              </w:rPr>
              <w:t>(3,80)</w:t>
            </w:r>
          </w:p>
        </w:tc>
        <w:tc>
          <w:tcPr>
            <w:tcW w:w="467" w:type="dxa"/>
            <w:tcBorders>
              <w:top w:val="single" w:sz="4" w:space="0" w:color="auto"/>
              <w:left w:val="nil"/>
              <w:bottom w:val="single" w:sz="2" w:space="0" w:color="auto"/>
              <w:right w:val="nil"/>
            </w:tcBorders>
            <w:shd w:val="clear" w:color="auto" w:fill="auto"/>
            <w:noWrap/>
            <w:vAlign w:val="center"/>
          </w:tcPr>
          <w:p w14:paraId="6EA9D8B1" w14:textId="77777777" w:rsidR="00F87E58" w:rsidRPr="00CC0F93" w:rsidRDefault="00F87E58" w:rsidP="00321B53">
            <w:pPr>
              <w:pStyle w:val="cuatexto"/>
              <w:spacing w:line="240" w:lineRule="auto"/>
              <w:ind w:left="-81" w:hanging="70"/>
              <w:jc w:val="right"/>
              <w:rPr>
                <w:sz w:val="14"/>
                <w:szCs w:val="14"/>
              </w:rPr>
            </w:pPr>
            <w:r w:rsidRPr="00CC0F93">
              <w:rPr>
                <w:sz w:val="14"/>
                <w:szCs w:val="14"/>
              </w:rPr>
              <w:t>(2,86)</w:t>
            </w:r>
          </w:p>
        </w:tc>
        <w:tc>
          <w:tcPr>
            <w:tcW w:w="460" w:type="dxa"/>
            <w:tcBorders>
              <w:top w:val="single" w:sz="4" w:space="0" w:color="auto"/>
              <w:left w:val="nil"/>
              <w:bottom w:val="single" w:sz="2" w:space="0" w:color="auto"/>
              <w:right w:val="nil"/>
            </w:tcBorders>
            <w:shd w:val="clear" w:color="auto" w:fill="auto"/>
            <w:noWrap/>
            <w:vAlign w:val="center"/>
          </w:tcPr>
          <w:p w14:paraId="04EAF4D7" w14:textId="77777777" w:rsidR="00F87E58" w:rsidRPr="00CC0F93" w:rsidRDefault="00F87E58" w:rsidP="00321B53">
            <w:pPr>
              <w:pStyle w:val="cuatexto"/>
              <w:spacing w:line="240" w:lineRule="auto"/>
              <w:ind w:left="-86"/>
              <w:jc w:val="right"/>
              <w:rPr>
                <w:sz w:val="14"/>
                <w:szCs w:val="14"/>
              </w:rPr>
            </w:pPr>
            <w:r w:rsidRPr="00CC0F93">
              <w:rPr>
                <w:sz w:val="14"/>
                <w:szCs w:val="14"/>
              </w:rPr>
              <w:t>(2,93)</w:t>
            </w:r>
          </w:p>
        </w:tc>
        <w:tc>
          <w:tcPr>
            <w:tcW w:w="440" w:type="dxa"/>
            <w:tcBorders>
              <w:top w:val="single" w:sz="4" w:space="0" w:color="auto"/>
              <w:left w:val="nil"/>
              <w:bottom w:val="single" w:sz="2" w:space="0" w:color="auto"/>
              <w:right w:val="nil"/>
            </w:tcBorders>
            <w:shd w:val="clear" w:color="auto" w:fill="auto"/>
            <w:noWrap/>
            <w:vAlign w:val="center"/>
          </w:tcPr>
          <w:p w14:paraId="44BF9D5E" w14:textId="77777777" w:rsidR="00F87E58" w:rsidRPr="00CC0F93" w:rsidRDefault="00F87E58" w:rsidP="00321B53">
            <w:pPr>
              <w:pStyle w:val="cuatexto"/>
              <w:spacing w:line="240" w:lineRule="auto"/>
              <w:ind w:left="-106"/>
              <w:jc w:val="right"/>
              <w:rPr>
                <w:sz w:val="14"/>
                <w:szCs w:val="14"/>
              </w:rPr>
            </w:pPr>
            <w:r w:rsidRPr="00CC0F93">
              <w:rPr>
                <w:sz w:val="14"/>
                <w:szCs w:val="14"/>
              </w:rPr>
              <w:t>(2,50)</w:t>
            </w:r>
          </w:p>
        </w:tc>
        <w:tc>
          <w:tcPr>
            <w:tcW w:w="420" w:type="dxa"/>
            <w:tcBorders>
              <w:top w:val="single" w:sz="4" w:space="0" w:color="auto"/>
              <w:left w:val="nil"/>
              <w:bottom w:val="single" w:sz="2" w:space="0" w:color="auto"/>
              <w:right w:val="nil"/>
            </w:tcBorders>
            <w:shd w:val="clear" w:color="auto" w:fill="auto"/>
            <w:noWrap/>
            <w:vAlign w:val="center"/>
          </w:tcPr>
          <w:p w14:paraId="06050102" w14:textId="77777777" w:rsidR="00F87E58" w:rsidRPr="00CC0F93" w:rsidRDefault="00F87E58" w:rsidP="00321B53">
            <w:pPr>
              <w:pStyle w:val="cuatexto"/>
              <w:spacing w:line="240" w:lineRule="auto"/>
              <w:ind w:left="-126"/>
              <w:jc w:val="right"/>
              <w:rPr>
                <w:sz w:val="14"/>
                <w:szCs w:val="14"/>
              </w:rPr>
            </w:pPr>
            <w:r w:rsidRPr="00CC0F93">
              <w:rPr>
                <w:sz w:val="14"/>
                <w:szCs w:val="14"/>
              </w:rPr>
              <w:t>(2,54)</w:t>
            </w:r>
          </w:p>
        </w:tc>
        <w:tc>
          <w:tcPr>
            <w:tcW w:w="375" w:type="dxa"/>
            <w:tcBorders>
              <w:top w:val="single" w:sz="4" w:space="0" w:color="auto"/>
              <w:left w:val="nil"/>
              <w:bottom w:val="single" w:sz="2" w:space="0" w:color="auto"/>
              <w:right w:val="nil"/>
            </w:tcBorders>
            <w:shd w:val="clear" w:color="auto" w:fill="auto"/>
            <w:noWrap/>
            <w:vAlign w:val="center"/>
          </w:tcPr>
          <w:p w14:paraId="090465BF" w14:textId="77777777" w:rsidR="00F87E58" w:rsidRPr="00CC0F93" w:rsidRDefault="00F87E58" w:rsidP="00321B53">
            <w:pPr>
              <w:pStyle w:val="cuatexto"/>
              <w:spacing w:line="240" w:lineRule="auto"/>
              <w:ind w:left="-171"/>
              <w:jc w:val="right"/>
              <w:rPr>
                <w:sz w:val="14"/>
                <w:szCs w:val="14"/>
              </w:rPr>
            </w:pPr>
            <w:r w:rsidRPr="00CC0F93">
              <w:rPr>
                <w:sz w:val="14"/>
                <w:szCs w:val="14"/>
              </w:rPr>
              <w:t>(2,44)</w:t>
            </w:r>
          </w:p>
        </w:tc>
        <w:tc>
          <w:tcPr>
            <w:tcW w:w="370" w:type="dxa"/>
            <w:tcBorders>
              <w:top w:val="single" w:sz="4" w:space="0" w:color="auto"/>
              <w:left w:val="nil"/>
              <w:bottom w:val="single" w:sz="2" w:space="0" w:color="auto"/>
              <w:right w:val="nil"/>
            </w:tcBorders>
            <w:shd w:val="clear" w:color="auto" w:fill="auto"/>
            <w:noWrap/>
            <w:vAlign w:val="center"/>
          </w:tcPr>
          <w:p w14:paraId="08C016D3" w14:textId="77777777" w:rsidR="00F87E58" w:rsidRPr="00CC0F93" w:rsidRDefault="00F87E58" w:rsidP="00321B53">
            <w:pPr>
              <w:pStyle w:val="cuatexto"/>
              <w:spacing w:line="240" w:lineRule="auto"/>
              <w:ind w:left="-176"/>
              <w:jc w:val="right"/>
              <w:rPr>
                <w:sz w:val="14"/>
                <w:szCs w:val="14"/>
              </w:rPr>
            </w:pPr>
            <w:r w:rsidRPr="00CC0F93">
              <w:rPr>
                <w:sz w:val="14"/>
                <w:szCs w:val="14"/>
              </w:rPr>
              <w:t>(2,69)</w:t>
            </w:r>
          </w:p>
        </w:tc>
        <w:tc>
          <w:tcPr>
            <w:tcW w:w="400" w:type="dxa"/>
            <w:tcBorders>
              <w:top w:val="single" w:sz="4" w:space="0" w:color="auto"/>
              <w:left w:val="nil"/>
              <w:bottom w:val="single" w:sz="2" w:space="0" w:color="auto"/>
              <w:right w:val="nil"/>
            </w:tcBorders>
            <w:shd w:val="clear" w:color="auto" w:fill="auto"/>
            <w:noWrap/>
            <w:vAlign w:val="center"/>
          </w:tcPr>
          <w:p w14:paraId="4C38463D" w14:textId="77777777" w:rsidR="00F87E58" w:rsidRPr="00CC0F93" w:rsidRDefault="00F87E58" w:rsidP="00321B53">
            <w:pPr>
              <w:pStyle w:val="cuatexto"/>
              <w:spacing w:line="240" w:lineRule="auto"/>
              <w:ind w:left="-146"/>
              <w:jc w:val="right"/>
              <w:rPr>
                <w:sz w:val="14"/>
                <w:szCs w:val="14"/>
              </w:rPr>
            </w:pPr>
            <w:r w:rsidRPr="00CC0F93">
              <w:rPr>
                <w:sz w:val="14"/>
                <w:szCs w:val="14"/>
              </w:rPr>
              <w:t>(3,34)</w:t>
            </w:r>
          </w:p>
        </w:tc>
        <w:tc>
          <w:tcPr>
            <w:tcW w:w="476" w:type="dxa"/>
            <w:tcBorders>
              <w:top w:val="single" w:sz="4" w:space="0" w:color="auto"/>
              <w:left w:val="nil"/>
              <w:bottom w:val="single" w:sz="2" w:space="0" w:color="auto"/>
              <w:right w:val="nil"/>
            </w:tcBorders>
            <w:shd w:val="clear" w:color="auto" w:fill="auto"/>
            <w:noWrap/>
            <w:vAlign w:val="center"/>
          </w:tcPr>
          <w:p w14:paraId="25EB64BC" w14:textId="77777777" w:rsidR="00F87E58" w:rsidRPr="00CC0F93" w:rsidRDefault="00F87E58" w:rsidP="00321B53">
            <w:pPr>
              <w:pStyle w:val="cuatexto"/>
              <w:spacing w:line="240" w:lineRule="auto"/>
              <w:ind w:left="-70"/>
              <w:jc w:val="right"/>
              <w:rPr>
                <w:sz w:val="14"/>
                <w:szCs w:val="14"/>
              </w:rPr>
            </w:pPr>
            <w:r w:rsidRPr="00CC0F93">
              <w:rPr>
                <w:sz w:val="14"/>
                <w:szCs w:val="14"/>
              </w:rPr>
              <w:t>(2,00)</w:t>
            </w:r>
          </w:p>
        </w:tc>
        <w:tc>
          <w:tcPr>
            <w:tcW w:w="422" w:type="dxa"/>
            <w:tcBorders>
              <w:top w:val="single" w:sz="4" w:space="0" w:color="auto"/>
              <w:left w:val="nil"/>
              <w:bottom w:val="single" w:sz="2" w:space="0" w:color="auto"/>
              <w:right w:val="nil"/>
            </w:tcBorders>
            <w:shd w:val="clear" w:color="auto" w:fill="auto"/>
            <w:noWrap/>
            <w:vAlign w:val="center"/>
          </w:tcPr>
          <w:p w14:paraId="52843A37" w14:textId="77777777" w:rsidR="00F87E58" w:rsidRPr="00CC0F93" w:rsidRDefault="00F87E58" w:rsidP="00321B53">
            <w:pPr>
              <w:pStyle w:val="cuatexto"/>
              <w:spacing w:line="240" w:lineRule="auto"/>
              <w:ind w:left="-124"/>
              <w:jc w:val="right"/>
              <w:rPr>
                <w:sz w:val="14"/>
                <w:szCs w:val="14"/>
              </w:rPr>
            </w:pPr>
            <w:r w:rsidRPr="00CC0F93">
              <w:rPr>
                <w:sz w:val="14"/>
                <w:szCs w:val="14"/>
              </w:rPr>
              <w:t>(2,21)</w:t>
            </w:r>
          </w:p>
        </w:tc>
      </w:tr>
      <w:tr w:rsidR="00F87E58" w:rsidRPr="00CC0F93" w14:paraId="4BF39FC1" w14:textId="77777777" w:rsidTr="00321B53">
        <w:trPr>
          <w:trHeight w:val="198"/>
          <w:jc w:val="center"/>
        </w:trPr>
        <w:tc>
          <w:tcPr>
            <w:tcW w:w="1179" w:type="dxa"/>
            <w:tcBorders>
              <w:top w:val="single" w:sz="2" w:space="0" w:color="auto"/>
              <w:bottom w:val="single" w:sz="4" w:space="0" w:color="auto"/>
              <w:right w:val="nil"/>
            </w:tcBorders>
            <w:shd w:val="clear" w:color="auto" w:fill="auto"/>
            <w:noWrap/>
            <w:vAlign w:val="center"/>
          </w:tcPr>
          <w:p w14:paraId="443BF3EF" w14:textId="77777777" w:rsidR="00F87E58" w:rsidRPr="00143FB3" w:rsidRDefault="00F87E58" w:rsidP="00321B53">
            <w:pPr>
              <w:pStyle w:val="cuatexto"/>
              <w:spacing w:line="240" w:lineRule="auto"/>
              <w:rPr>
                <w:sz w:val="12"/>
                <w:szCs w:val="12"/>
              </w:rPr>
            </w:pPr>
            <w:r w:rsidRPr="00143FB3">
              <w:rPr>
                <w:sz w:val="12"/>
                <w:szCs w:val="12"/>
              </w:rPr>
              <w:t xml:space="preserve">Deterioro Anual </w:t>
            </w:r>
          </w:p>
          <w:p w14:paraId="4B09DFE8" w14:textId="77777777" w:rsidR="00F87E58" w:rsidRPr="00143FB3" w:rsidRDefault="00F87E58" w:rsidP="00321B53">
            <w:pPr>
              <w:pStyle w:val="cuatexto"/>
              <w:spacing w:line="240" w:lineRule="auto"/>
              <w:rPr>
                <w:sz w:val="12"/>
                <w:szCs w:val="12"/>
              </w:rPr>
            </w:pPr>
            <w:r w:rsidRPr="00143FB3">
              <w:rPr>
                <w:sz w:val="12"/>
                <w:szCs w:val="12"/>
              </w:rPr>
              <w:t>Préstamos</w:t>
            </w:r>
          </w:p>
        </w:tc>
        <w:tc>
          <w:tcPr>
            <w:tcW w:w="440" w:type="dxa"/>
            <w:tcBorders>
              <w:top w:val="single" w:sz="2" w:space="0" w:color="auto"/>
              <w:left w:val="nil"/>
              <w:bottom w:val="single" w:sz="4" w:space="0" w:color="auto"/>
              <w:right w:val="nil"/>
            </w:tcBorders>
            <w:shd w:val="clear" w:color="auto" w:fill="auto"/>
            <w:noWrap/>
            <w:vAlign w:val="center"/>
          </w:tcPr>
          <w:p w14:paraId="54DF9714" w14:textId="77777777" w:rsidR="00F87E58" w:rsidRPr="00CC0F93" w:rsidRDefault="00F87E58" w:rsidP="00F87E58">
            <w:pPr>
              <w:pStyle w:val="cuatexto"/>
              <w:jc w:val="right"/>
              <w:rPr>
                <w:sz w:val="14"/>
                <w:szCs w:val="14"/>
              </w:rPr>
            </w:pPr>
            <w:r w:rsidRPr="00CC0F93">
              <w:rPr>
                <w:sz w:val="14"/>
                <w:szCs w:val="14"/>
              </w:rPr>
              <w:t>0,00</w:t>
            </w:r>
          </w:p>
        </w:tc>
        <w:tc>
          <w:tcPr>
            <w:tcW w:w="434" w:type="dxa"/>
            <w:tcBorders>
              <w:top w:val="single" w:sz="2" w:space="0" w:color="auto"/>
              <w:left w:val="nil"/>
              <w:bottom w:val="single" w:sz="4" w:space="0" w:color="auto"/>
              <w:right w:val="nil"/>
            </w:tcBorders>
            <w:shd w:val="clear" w:color="auto" w:fill="auto"/>
            <w:noWrap/>
            <w:vAlign w:val="center"/>
          </w:tcPr>
          <w:p w14:paraId="20B3C544" w14:textId="77777777" w:rsidR="00F87E58" w:rsidRPr="00CC0F93" w:rsidRDefault="00F87E58" w:rsidP="00F87E58">
            <w:pPr>
              <w:pStyle w:val="cuatexto"/>
              <w:ind w:left="-167"/>
              <w:jc w:val="right"/>
              <w:rPr>
                <w:sz w:val="14"/>
                <w:szCs w:val="14"/>
              </w:rPr>
            </w:pPr>
            <w:r w:rsidRPr="00CC0F93">
              <w:rPr>
                <w:sz w:val="14"/>
                <w:szCs w:val="14"/>
              </w:rPr>
              <w:t>0,00</w:t>
            </w:r>
          </w:p>
        </w:tc>
        <w:tc>
          <w:tcPr>
            <w:tcW w:w="476" w:type="dxa"/>
            <w:tcBorders>
              <w:top w:val="single" w:sz="2" w:space="0" w:color="auto"/>
              <w:left w:val="nil"/>
              <w:bottom w:val="single" w:sz="4" w:space="0" w:color="auto"/>
              <w:right w:val="nil"/>
            </w:tcBorders>
            <w:shd w:val="clear" w:color="auto" w:fill="auto"/>
            <w:noWrap/>
            <w:vAlign w:val="center"/>
          </w:tcPr>
          <w:p w14:paraId="2BA383DE" w14:textId="77777777" w:rsidR="00F87E58" w:rsidRPr="00CC0F93" w:rsidRDefault="00F87E58" w:rsidP="00F87E58">
            <w:pPr>
              <w:pStyle w:val="cuatexto"/>
              <w:jc w:val="right"/>
              <w:rPr>
                <w:sz w:val="14"/>
                <w:szCs w:val="14"/>
              </w:rPr>
            </w:pPr>
            <w:r w:rsidRPr="00CC0F93">
              <w:rPr>
                <w:sz w:val="14"/>
                <w:szCs w:val="14"/>
              </w:rPr>
              <w:t>0,00</w:t>
            </w:r>
          </w:p>
        </w:tc>
        <w:tc>
          <w:tcPr>
            <w:tcW w:w="522" w:type="dxa"/>
            <w:tcBorders>
              <w:top w:val="single" w:sz="2" w:space="0" w:color="auto"/>
              <w:left w:val="nil"/>
              <w:bottom w:val="single" w:sz="4" w:space="0" w:color="auto"/>
              <w:right w:val="nil"/>
            </w:tcBorders>
            <w:shd w:val="clear" w:color="auto" w:fill="auto"/>
            <w:noWrap/>
            <w:vAlign w:val="center"/>
          </w:tcPr>
          <w:p w14:paraId="3B069E09" w14:textId="77777777" w:rsidR="00F87E58" w:rsidRPr="00CC0F93" w:rsidRDefault="00F87E58" w:rsidP="00F87E58">
            <w:pPr>
              <w:pStyle w:val="cuatexto"/>
              <w:jc w:val="right"/>
              <w:rPr>
                <w:sz w:val="14"/>
                <w:szCs w:val="14"/>
              </w:rPr>
            </w:pPr>
            <w:r w:rsidRPr="00CC0F93">
              <w:rPr>
                <w:sz w:val="14"/>
                <w:szCs w:val="14"/>
              </w:rPr>
              <w:t>0,00</w:t>
            </w:r>
          </w:p>
        </w:tc>
        <w:tc>
          <w:tcPr>
            <w:tcW w:w="476" w:type="dxa"/>
            <w:tcBorders>
              <w:top w:val="single" w:sz="2" w:space="0" w:color="auto"/>
              <w:left w:val="nil"/>
              <w:bottom w:val="single" w:sz="4" w:space="0" w:color="auto"/>
              <w:right w:val="nil"/>
            </w:tcBorders>
            <w:shd w:val="clear" w:color="auto" w:fill="auto"/>
            <w:noWrap/>
            <w:vAlign w:val="center"/>
          </w:tcPr>
          <w:p w14:paraId="07E99691" w14:textId="77777777" w:rsidR="00F87E58" w:rsidRPr="00CC0F93" w:rsidRDefault="00F87E58" w:rsidP="00F87E58">
            <w:pPr>
              <w:pStyle w:val="cuatexto"/>
              <w:jc w:val="right"/>
              <w:rPr>
                <w:sz w:val="14"/>
                <w:szCs w:val="14"/>
              </w:rPr>
            </w:pPr>
            <w:r w:rsidRPr="00CC0F93">
              <w:rPr>
                <w:sz w:val="14"/>
                <w:szCs w:val="14"/>
              </w:rPr>
              <w:t>(4,04)</w:t>
            </w:r>
          </w:p>
        </w:tc>
        <w:tc>
          <w:tcPr>
            <w:tcW w:w="476" w:type="dxa"/>
            <w:tcBorders>
              <w:top w:val="single" w:sz="2" w:space="0" w:color="auto"/>
              <w:left w:val="nil"/>
              <w:bottom w:val="single" w:sz="4" w:space="0" w:color="auto"/>
              <w:right w:val="nil"/>
            </w:tcBorders>
            <w:shd w:val="clear" w:color="auto" w:fill="auto"/>
            <w:noWrap/>
            <w:vAlign w:val="center"/>
          </w:tcPr>
          <w:p w14:paraId="2741DD3E" w14:textId="77777777" w:rsidR="00F87E58" w:rsidRPr="00CC0F93" w:rsidRDefault="00F87E58" w:rsidP="00F87E58">
            <w:pPr>
              <w:pStyle w:val="cuatexto"/>
              <w:jc w:val="right"/>
              <w:rPr>
                <w:sz w:val="14"/>
                <w:szCs w:val="14"/>
              </w:rPr>
            </w:pPr>
            <w:r w:rsidRPr="00CC0F93">
              <w:rPr>
                <w:sz w:val="14"/>
                <w:szCs w:val="14"/>
              </w:rPr>
              <w:t>(2,38)</w:t>
            </w:r>
          </w:p>
        </w:tc>
        <w:tc>
          <w:tcPr>
            <w:tcW w:w="467" w:type="dxa"/>
            <w:tcBorders>
              <w:top w:val="single" w:sz="2" w:space="0" w:color="auto"/>
              <w:left w:val="nil"/>
              <w:bottom w:val="single" w:sz="4" w:space="0" w:color="auto"/>
              <w:right w:val="nil"/>
            </w:tcBorders>
            <w:shd w:val="clear" w:color="auto" w:fill="auto"/>
            <w:noWrap/>
            <w:vAlign w:val="center"/>
          </w:tcPr>
          <w:p w14:paraId="24D15F94" w14:textId="77777777" w:rsidR="00F87E58" w:rsidRPr="00CC0F93" w:rsidRDefault="00F87E58" w:rsidP="00F87E58">
            <w:pPr>
              <w:pStyle w:val="cuatexto"/>
              <w:ind w:left="-124" w:right="-20"/>
              <w:jc w:val="right"/>
              <w:rPr>
                <w:sz w:val="14"/>
                <w:szCs w:val="14"/>
              </w:rPr>
            </w:pPr>
            <w:r w:rsidRPr="00CC0F93">
              <w:rPr>
                <w:sz w:val="14"/>
                <w:szCs w:val="14"/>
              </w:rPr>
              <w:t>(4,01)</w:t>
            </w:r>
          </w:p>
        </w:tc>
        <w:tc>
          <w:tcPr>
            <w:tcW w:w="467" w:type="dxa"/>
            <w:tcBorders>
              <w:top w:val="single" w:sz="2" w:space="0" w:color="auto"/>
              <w:left w:val="nil"/>
              <w:bottom w:val="single" w:sz="4" w:space="0" w:color="auto"/>
              <w:right w:val="nil"/>
            </w:tcBorders>
            <w:shd w:val="clear" w:color="auto" w:fill="auto"/>
            <w:noWrap/>
            <w:vAlign w:val="center"/>
          </w:tcPr>
          <w:p w14:paraId="0F4C7242" w14:textId="77777777" w:rsidR="00F87E58" w:rsidRPr="00CC0F93" w:rsidRDefault="00F87E58" w:rsidP="00F87E58">
            <w:pPr>
              <w:pStyle w:val="cuatexto"/>
              <w:ind w:left="-122" w:right="-36"/>
              <w:jc w:val="right"/>
              <w:rPr>
                <w:sz w:val="14"/>
                <w:szCs w:val="14"/>
              </w:rPr>
            </w:pPr>
            <w:r w:rsidRPr="00CC0F93">
              <w:rPr>
                <w:sz w:val="14"/>
                <w:szCs w:val="14"/>
              </w:rPr>
              <w:t>(3,83)</w:t>
            </w:r>
          </w:p>
        </w:tc>
        <w:tc>
          <w:tcPr>
            <w:tcW w:w="467" w:type="dxa"/>
            <w:tcBorders>
              <w:top w:val="single" w:sz="2" w:space="0" w:color="auto"/>
              <w:left w:val="nil"/>
              <w:bottom w:val="single" w:sz="4" w:space="0" w:color="auto"/>
              <w:right w:val="nil"/>
            </w:tcBorders>
            <w:shd w:val="clear" w:color="auto" w:fill="auto"/>
            <w:noWrap/>
            <w:vAlign w:val="center"/>
          </w:tcPr>
          <w:p w14:paraId="02C7F804" w14:textId="77777777" w:rsidR="00F87E58" w:rsidRPr="00CC0F93" w:rsidRDefault="00F87E58" w:rsidP="00F87E58">
            <w:pPr>
              <w:pStyle w:val="cuatexto"/>
              <w:ind w:left="-121" w:right="-38"/>
              <w:jc w:val="right"/>
              <w:rPr>
                <w:sz w:val="14"/>
                <w:szCs w:val="14"/>
              </w:rPr>
            </w:pPr>
            <w:r w:rsidRPr="00CC0F93">
              <w:rPr>
                <w:sz w:val="14"/>
                <w:szCs w:val="14"/>
              </w:rPr>
              <w:t>(2,75)</w:t>
            </w:r>
          </w:p>
        </w:tc>
        <w:tc>
          <w:tcPr>
            <w:tcW w:w="428" w:type="dxa"/>
            <w:tcBorders>
              <w:top w:val="single" w:sz="2" w:space="0" w:color="auto"/>
              <w:left w:val="nil"/>
              <w:bottom w:val="single" w:sz="4" w:space="0" w:color="auto"/>
              <w:right w:val="nil"/>
            </w:tcBorders>
            <w:shd w:val="clear" w:color="auto" w:fill="auto"/>
            <w:noWrap/>
            <w:vAlign w:val="center"/>
          </w:tcPr>
          <w:p w14:paraId="4C82611B" w14:textId="77777777" w:rsidR="00F87E58" w:rsidRPr="00CC0F93" w:rsidRDefault="00F87E58" w:rsidP="00F87E58">
            <w:pPr>
              <w:pStyle w:val="cuatexto"/>
              <w:ind w:left="-118" w:right="-40"/>
              <w:jc w:val="right"/>
              <w:rPr>
                <w:sz w:val="14"/>
                <w:szCs w:val="14"/>
              </w:rPr>
            </w:pPr>
            <w:r w:rsidRPr="00CC0F93">
              <w:rPr>
                <w:sz w:val="14"/>
                <w:szCs w:val="14"/>
              </w:rPr>
              <w:t>(2,82)</w:t>
            </w:r>
          </w:p>
        </w:tc>
        <w:tc>
          <w:tcPr>
            <w:tcW w:w="474" w:type="dxa"/>
            <w:tcBorders>
              <w:top w:val="single" w:sz="2" w:space="0" w:color="auto"/>
              <w:left w:val="nil"/>
              <w:bottom w:val="single" w:sz="4" w:space="0" w:color="auto"/>
              <w:right w:val="nil"/>
            </w:tcBorders>
            <w:shd w:val="clear" w:color="auto" w:fill="auto"/>
            <w:noWrap/>
            <w:vAlign w:val="center"/>
          </w:tcPr>
          <w:p w14:paraId="40D436BB" w14:textId="77777777" w:rsidR="00F87E58" w:rsidRPr="00CC0F93" w:rsidRDefault="00F87E58" w:rsidP="00F87E58">
            <w:pPr>
              <w:pStyle w:val="cuatexto"/>
              <w:ind w:left="-72"/>
              <w:jc w:val="right"/>
              <w:rPr>
                <w:sz w:val="14"/>
                <w:szCs w:val="14"/>
              </w:rPr>
            </w:pPr>
            <w:r w:rsidRPr="00CC0F93">
              <w:rPr>
                <w:sz w:val="14"/>
                <w:szCs w:val="14"/>
              </w:rPr>
              <w:t>(4,35)</w:t>
            </w:r>
          </w:p>
        </w:tc>
        <w:tc>
          <w:tcPr>
            <w:tcW w:w="482" w:type="dxa"/>
            <w:tcBorders>
              <w:top w:val="single" w:sz="2" w:space="0" w:color="auto"/>
              <w:left w:val="nil"/>
              <w:bottom w:val="single" w:sz="4" w:space="0" w:color="auto"/>
              <w:right w:val="nil"/>
            </w:tcBorders>
            <w:shd w:val="clear" w:color="auto" w:fill="auto"/>
            <w:noWrap/>
            <w:vAlign w:val="center"/>
          </w:tcPr>
          <w:p w14:paraId="28448052" w14:textId="77777777" w:rsidR="00F87E58" w:rsidRPr="00CC0F93" w:rsidRDefault="00F87E58" w:rsidP="00F87E58">
            <w:pPr>
              <w:pStyle w:val="cuatexto"/>
              <w:ind w:left="-64"/>
              <w:jc w:val="right"/>
              <w:rPr>
                <w:sz w:val="14"/>
                <w:szCs w:val="14"/>
              </w:rPr>
            </w:pPr>
            <w:r w:rsidRPr="00CC0F93">
              <w:rPr>
                <w:sz w:val="14"/>
                <w:szCs w:val="14"/>
              </w:rPr>
              <w:t>(4,03)</w:t>
            </w:r>
          </w:p>
        </w:tc>
        <w:tc>
          <w:tcPr>
            <w:tcW w:w="400" w:type="dxa"/>
            <w:tcBorders>
              <w:top w:val="single" w:sz="2" w:space="0" w:color="auto"/>
              <w:left w:val="nil"/>
              <w:bottom w:val="single" w:sz="4" w:space="0" w:color="auto"/>
              <w:right w:val="nil"/>
            </w:tcBorders>
            <w:shd w:val="clear" w:color="auto" w:fill="auto"/>
            <w:noWrap/>
            <w:vAlign w:val="center"/>
          </w:tcPr>
          <w:p w14:paraId="66FBA234" w14:textId="77777777" w:rsidR="00F87E58" w:rsidRPr="00CC0F93" w:rsidRDefault="00F87E58" w:rsidP="00F87E58">
            <w:pPr>
              <w:pStyle w:val="cuatexto"/>
              <w:ind w:left="-146"/>
              <w:jc w:val="right"/>
              <w:rPr>
                <w:sz w:val="14"/>
                <w:szCs w:val="14"/>
              </w:rPr>
            </w:pPr>
            <w:r w:rsidRPr="00CC0F93">
              <w:rPr>
                <w:sz w:val="14"/>
                <w:szCs w:val="14"/>
              </w:rPr>
              <w:t>(4,00)</w:t>
            </w:r>
          </w:p>
        </w:tc>
        <w:tc>
          <w:tcPr>
            <w:tcW w:w="467" w:type="dxa"/>
            <w:tcBorders>
              <w:top w:val="single" w:sz="2" w:space="0" w:color="auto"/>
              <w:left w:val="nil"/>
              <w:bottom w:val="single" w:sz="4" w:space="0" w:color="auto"/>
              <w:right w:val="nil"/>
            </w:tcBorders>
            <w:shd w:val="clear" w:color="auto" w:fill="auto"/>
            <w:noWrap/>
            <w:vAlign w:val="center"/>
          </w:tcPr>
          <w:p w14:paraId="5E8A8B9E" w14:textId="77777777" w:rsidR="00F87E58" w:rsidRPr="00CC0F93" w:rsidRDefault="00F87E58" w:rsidP="00F87E58">
            <w:pPr>
              <w:pStyle w:val="cuatexto"/>
              <w:ind w:left="-81" w:hanging="70"/>
              <w:jc w:val="right"/>
              <w:rPr>
                <w:sz w:val="14"/>
                <w:szCs w:val="14"/>
              </w:rPr>
            </w:pPr>
            <w:r w:rsidRPr="00CC0F93">
              <w:rPr>
                <w:sz w:val="14"/>
                <w:szCs w:val="14"/>
              </w:rPr>
              <w:t>(2,68)</w:t>
            </w:r>
          </w:p>
        </w:tc>
        <w:tc>
          <w:tcPr>
            <w:tcW w:w="460" w:type="dxa"/>
            <w:tcBorders>
              <w:top w:val="single" w:sz="2" w:space="0" w:color="auto"/>
              <w:left w:val="nil"/>
              <w:bottom w:val="single" w:sz="4" w:space="0" w:color="auto"/>
              <w:right w:val="nil"/>
            </w:tcBorders>
            <w:shd w:val="clear" w:color="auto" w:fill="auto"/>
            <w:noWrap/>
            <w:vAlign w:val="center"/>
          </w:tcPr>
          <w:p w14:paraId="041B075E" w14:textId="77777777" w:rsidR="00F87E58" w:rsidRPr="00CC0F93" w:rsidRDefault="00F87E58" w:rsidP="00F87E58">
            <w:pPr>
              <w:pStyle w:val="cuatexto"/>
              <w:ind w:left="-86"/>
              <w:jc w:val="right"/>
              <w:rPr>
                <w:sz w:val="14"/>
                <w:szCs w:val="14"/>
              </w:rPr>
            </w:pPr>
            <w:r w:rsidRPr="00CC0F93">
              <w:rPr>
                <w:sz w:val="14"/>
                <w:szCs w:val="14"/>
              </w:rPr>
              <w:t>(2,91)</w:t>
            </w:r>
          </w:p>
        </w:tc>
        <w:tc>
          <w:tcPr>
            <w:tcW w:w="440" w:type="dxa"/>
            <w:tcBorders>
              <w:top w:val="single" w:sz="2" w:space="0" w:color="auto"/>
              <w:left w:val="nil"/>
              <w:bottom w:val="single" w:sz="4" w:space="0" w:color="auto"/>
              <w:right w:val="nil"/>
            </w:tcBorders>
            <w:shd w:val="clear" w:color="auto" w:fill="auto"/>
            <w:noWrap/>
            <w:vAlign w:val="center"/>
          </w:tcPr>
          <w:p w14:paraId="1BF641E5" w14:textId="77777777" w:rsidR="00F87E58" w:rsidRPr="00CC0F93" w:rsidRDefault="00F87E58" w:rsidP="00F87E58">
            <w:pPr>
              <w:pStyle w:val="cuatexto"/>
              <w:ind w:left="-106"/>
              <w:jc w:val="right"/>
              <w:rPr>
                <w:sz w:val="14"/>
                <w:szCs w:val="14"/>
              </w:rPr>
            </w:pPr>
            <w:r w:rsidRPr="00CC0F93">
              <w:rPr>
                <w:sz w:val="14"/>
                <w:szCs w:val="14"/>
              </w:rPr>
              <w:t>(2,71)</w:t>
            </w:r>
          </w:p>
        </w:tc>
        <w:tc>
          <w:tcPr>
            <w:tcW w:w="420" w:type="dxa"/>
            <w:tcBorders>
              <w:top w:val="single" w:sz="2" w:space="0" w:color="auto"/>
              <w:left w:val="nil"/>
              <w:bottom w:val="single" w:sz="4" w:space="0" w:color="auto"/>
              <w:right w:val="nil"/>
            </w:tcBorders>
            <w:shd w:val="clear" w:color="auto" w:fill="auto"/>
            <w:noWrap/>
            <w:vAlign w:val="center"/>
          </w:tcPr>
          <w:p w14:paraId="514AB021" w14:textId="77777777" w:rsidR="00F87E58" w:rsidRPr="00CC0F93" w:rsidRDefault="00F87E58" w:rsidP="00F87E58">
            <w:pPr>
              <w:pStyle w:val="cuatexto"/>
              <w:ind w:left="-126"/>
              <w:jc w:val="right"/>
              <w:rPr>
                <w:sz w:val="14"/>
                <w:szCs w:val="14"/>
              </w:rPr>
            </w:pPr>
            <w:r w:rsidRPr="00CC0F93">
              <w:rPr>
                <w:sz w:val="14"/>
                <w:szCs w:val="14"/>
              </w:rPr>
              <w:t>(2,49)</w:t>
            </w:r>
          </w:p>
        </w:tc>
        <w:tc>
          <w:tcPr>
            <w:tcW w:w="375" w:type="dxa"/>
            <w:tcBorders>
              <w:top w:val="single" w:sz="2" w:space="0" w:color="auto"/>
              <w:left w:val="nil"/>
              <w:bottom w:val="single" w:sz="4" w:space="0" w:color="auto"/>
              <w:right w:val="nil"/>
            </w:tcBorders>
            <w:shd w:val="clear" w:color="auto" w:fill="auto"/>
            <w:noWrap/>
            <w:vAlign w:val="center"/>
          </w:tcPr>
          <w:p w14:paraId="3953B5D5" w14:textId="77777777" w:rsidR="00F87E58" w:rsidRPr="00CC0F93" w:rsidRDefault="00F87E58" w:rsidP="00F87E58">
            <w:pPr>
              <w:pStyle w:val="cuatexto"/>
              <w:ind w:left="-171"/>
              <w:jc w:val="right"/>
              <w:rPr>
                <w:sz w:val="14"/>
                <w:szCs w:val="14"/>
              </w:rPr>
            </w:pPr>
            <w:r w:rsidRPr="00CC0F93">
              <w:rPr>
                <w:sz w:val="14"/>
                <w:szCs w:val="14"/>
              </w:rPr>
              <w:t>(2,36)</w:t>
            </w:r>
          </w:p>
        </w:tc>
        <w:tc>
          <w:tcPr>
            <w:tcW w:w="370" w:type="dxa"/>
            <w:tcBorders>
              <w:top w:val="single" w:sz="2" w:space="0" w:color="auto"/>
              <w:left w:val="nil"/>
              <w:bottom w:val="single" w:sz="4" w:space="0" w:color="auto"/>
              <w:right w:val="nil"/>
            </w:tcBorders>
            <w:shd w:val="clear" w:color="auto" w:fill="auto"/>
            <w:noWrap/>
            <w:vAlign w:val="center"/>
          </w:tcPr>
          <w:p w14:paraId="5B739008" w14:textId="77777777" w:rsidR="00F87E58" w:rsidRPr="00CC0F93" w:rsidRDefault="00F87E58" w:rsidP="00F87E58">
            <w:pPr>
              <w:pStyle w:val="cuatexto"/>
              <w:ind w:left="-176"/>
              <w:jc w:val="right"/>
              <w:rPr>
                <w:sz w:val="14"/>
                <w:szCs w:val="14"/>
              </w:rPr>
            </w:pPr>
            <w:r w:rsidRPr="00CC0F93">
              <w:rPr>
                <w:sz w:val="14"/>
                <w:szCs w:val="14"/>
              </w:rPr>
              <w:t>(2,85)</w:t>
            </w:r>
          </w:p>
        </w:tc>
        <w:tc>
          <w:tcPr>
            <w:tcW w:w="400" w:type="dxa"/>
            <w:tcBorders>
              <w:top w:val="single" w:sz="2" w:space="0" w:color="auto"/>
              <w:left w:val="nil"/>
              <w:bottom w:val="single" w:sz="4" w:space="0" w:color="auto"/>
              <w:right w:val="nil"/>
            </w:tcBorders>
            <w:shd w:val="clear" w:color="auto" w:fill="auto"/>
            <w:noWrap/>
            <w:vAlign w:val="center"/>
          </w:tcPr>
          <w:p w14:paraId="7B697312" w14:textId="77777777" w:rsidR="00F87E58" w:rsidRPr="00CC0F93" w:rsidRDefault="00F87E58" w:rsidP="00F87E58">
            <w:pPr>
              <w:pStyle w:val="cuatexto"/>
              <w:ind w:left="-146"/>
              <w:jc w:val="right"/>
              <w:rPr>
                <w:sz w:val="14"/>
                <w:szCs w:val="14"/>
              </w:rPr>
            </w:pPr>
            <w:r w:rsidRPr="00CC0F93">
              <w:rPr>
                <w:sz w:val="14"/>
                <w:szCs w:val="14"/>
              </w:rPr>
              <w:t>(3,35)</w:t>
            </w:r>
          </w:p>
        </w:tc>
        <w:tc>
          <w:tcPr>
            <w:tcW w:w="476" w:type="dxa"/>
            <w:tcBorders>
              <w:top w:val="single" w:sz="2" w:space="0" w:color="auto"/>
              <w:left w:val="nil"/>
              <w:bottom w:val="single" w:sz="4" w:space="0" w:color="auto"/>
              <w:right w:val="nil"/>
            </w:tcBorders>
            <w:shd w:val="clear" w:color="auto" w:fill="auto"/>
            <w:noWrap/>
            <w:vAlign w:val="center"/>
          </w:tcPr>
          <w:p w14:paraId="17707686" w14:textId="77777777" w:rsidR="00F87E58" w:rsidRPr="00CC0F93" w:rsidRDefault="00F87E58" w:rsidP="00F87E58">
            <w:pPr>
              <w:pStyle w:val="cuatexto"/>
              <w:ind w:left="-70"/>
              <w:jc w:val="right"/>
              <w:rPr>
                <w:sz w:val="14"/>
                <w:szCs w:val="14"/>
              </w:rPr>
            </w:pPr>
            <w:r w:rsidRPr="00CC0F93">
              <w:rPr>
                <w:sz w:val="14"/>
                <w:szCs w:val="14"/>
              </w:rPr>
              <w:t>(1,99)</w:t>
            </w:r>
          </w:p>
        </w:tc>
        <w:tc>
          <w:tcPr>
            <w:tcW w:w="422" w:type="dxa"/>
            <w:tcBorders>
              <w:top w:val="single" w:sz="2" w:space="0" w:color="auto"/>
              <w:left w:val="nil"/>
              <w:bottom w:val="single" w:sz="4" w:space="0" w:color="auto"/>
              <w:right w:val="nil"/>
            </w:tcBorders>
            <w:shd w:val="clear" w:color="auto" w:fill="auto"/>
            <w:noWrap/>
            <w:vAlign w:val="center"/>
          </w:tcPr>
          <w:p w14:paraId="507FA541" w14:textId="77777777" w:rsidR="00F87E58" w:rsidRPr="00CC0F93" w:rsidRDefault="00F87E58" w:rsidP="00F87E58">
            <w:pPr>
              <w:pStyle w:val="cuatexto"/>
              <w:ind w:left="-124"/>
              <w:jc w:val="right"/>
              <w:rPr>
                <w:sz w:val="14"/>
                <w:szCs w:val="14"/>
              </w:rPr>
            </w:pPr>
            <w:r w:rsidRPr="00CC0F93">
              <w:rPr>
                <w:sz w:val="14"/>
                <w:szCs w:val="14"/>
              </w:rPr>
              <w:t>(2,22)</w:t>
            </w:r>
          </w:p>
        </w:tc>
      </w:tr>
      <w:tr w:rsidR="00F87E58" w:rsidRPr="00CC0F93" w14:paraId="21E9C1DD" w14:textId="77777777" w:rsidTr="00321B53">
        <w:trPr>
          <w:trHeight w:val="198"/>
          <w:jc w:val="center"/>
        </w:trPr>
        <w:tc>
          <w:tcPr>
            <w:tcW w:w="1179" w:type="dxa"/>
            <w:tcBorders>
              <w:top w:val="single" w:sz="4" w:space="0" w:color="auto"/>
              <w:bottom w:val="single" w:sz="4" w:space="0" w:color="auto"/>
              <w:right w:val="nil"/>
            </w:tcBorders>
            <w:shd w:val="clear" w:color="auto" w:fill="auto"/>
            <w:noWrap/>
            <w:vAlign w:val="center"/>
          </w:tcPr>
          <w:p w14:paraId="5C449397" w14:textId="77777777" w:rsidR="00F87E58" w:rsidRPr="00143FB3" w:rsidRDefault="00F87E58" w:rsidP="00321B53">
            <w:pPr>
              <w:pStyle w:val="cuatexto"/>
              <w:spacing w:line="240" w:lineRule="auto"/>
              <w:rPr>
                <w:sz w:val="12"/>
                <w:szCs w:val="12"/>
              </w:rPr>
            </w:pPr>
            <w:r w:rsidRPr="00143FB3">
              <w:rPr>
                <w:sz w:val="12"/>
                <w:szCs w:val="12"/>
              </w:rPr>
              <w:t xml:space="preserve">Deterioro acumulado Préstamos </w:t>
            </w:r>
          </w:p>
        </w:tc>
        <w:tc>
          <w:tcPr>
            <w:tcW w:w="440" w:type="dxa"/>
            <w:tcBorders>
              <w:top w:val="single" w:sz="4" w:space="0" w:color="auto"/>
              <w:left w:val="nil"/>
              <w:bottom w:val="single" w:sz="4" w:space="0" w:color="auto"/>
              <w:right w:val="nil"/>
            </w:tcBorders>
            <w:shd w:val="clear" w:color="auto" w:fill="auto"/>
            <w:noWrap/>
            <w:vAlign w:val="center"/>
          </w:tcPr>
          <w:p w14:paraId="4DDEF7F3" w14:textId="77777777" w:rsidR="00F87E58" w:rsidRPr="00CC0F93" w:rsidRDefault="00F87E58" w:rsidP="00F87E58">
            <w:pPr>
              <w:pStyle w:val="cuatexto"/>
              <w:jc w:val="right"/>
              <w:rPr>
                <w:sz w:val="14"/>
                <w:szCs w:val="14"/>
              </w:rPr>
            </w:pPr>
            <w:r w:rsidRPr="00CC0F93">
              <w:rPr>
                <w:sz w:val="14"/>
                <w:szCs w:val="14"/>
              </w:rPr>
              <w:t>0,00</w:t>
            </w:r>
          </w:p>
        </w:tc>
        <w:tc>
          <w:tcPr>
            <w:tcW w:w="434" w:type="dxa"/>
            <w:tcBorders>
              <w:top w:val="single" w:sz="4" w:space="0" w:color="auto"/>
              <w:left w:val="nil"/>
              <w:bottom w:val="single" w:sz="4" w:space="0" w:color="auto"/>
              <w:right w:val="nil"/>
            </w:tcBorders>
            <w:shd w:val="clear" w:color="auto" w:fill="auto"/>
            <w:noWrap/>
            <w:vAlign w:val="center"/>
          </w:tcPr>
          <w:p w14:paraId="7DDAF4EC" w14:textId="77777777" w:rsidR="00F87E58" w:rsidRPr="00CC0F93" w:rsidRDefault="00F87E58" w:rsidP="00F87E58">
            <w:pPr>
              <w:pStyle w:val="cuatexto"/>
              <w:ind w:left="-167"/>
              <w:jc w:val="right"/>
              <w:rPr>
                <w:sz w:val="14"/>
                <w:szCs w:val="14"/>
              </w:rPr>
            </w:pPr>
            <w:r w:rsidRPr="00CC0F93">
              <w:rPr>
                <w:sz w:val="14"/>
                <w:szCs w:val="14"/>
              </w:rPr>
              <w:t>0,00</w:t>
            </w:r>
          </w:p>
        </w:tc>
        <w:tc>
          <w:tcPr>
            <w:tcW w:w="476" w:type="dxa"/>
            <w:tcBorders>
              <w:top w:val="single" w:sz="4" w:space="0" w:color="auto"/>
              <w:left w:val="nil"/>
              <w:bottom w:val="single" w:sz="4" w:space="0" w:color="auto"/>
              <w:right w:val="nil"/>
            </w:tcBorders>
            <w:shd w:val="clear" w:color="auto" w:fill="auto"/>
            <w:noWrap/>
            <w:vAlign w:val="center"/>
          </w:tcPr>
          <w:p w14:paraId="53F30528" w14:textId="77777777" w:rsidR="00F87E58" w:rsidRPr="00CC0F93" w:rsidRDefault="00F87E58" w:rsidP="00F87E58">
            <w:pPr>
              <w:pStyle w:val="cuatexto"/>
              <w:jc w:val="right"/>
              <w:rPr>
                <w:sz w:val="14"/>
                <w:szCs w:val="14"/>
              </w:rPr>
            </w:pPr>
            <w:r w:rsidRPr="00CC0F93">
              <w:rPr>
                <w:sz w:val="14"/>
                <w:szCs w:val="14"/>
              </w:rPr>
              <w:t>0,00</w:t>
            </w:r>
          </w:p>
        </w:tc>
        <w:tc>
          <w:tcPr>
            <w:tcW w:w="522" w:type="dxa"/>
            <w:tcBorders>
              <w:top w:val="single" w:sz="4" w:space="0" w:color="auto"/>
              <w:left w:val="nil"/>
              <w:bottom w:val="single" w:sz="4" w:space="0" w:color="auto"/>
              <w:right w:val="nil"/>
            </w:tcBorders>
            <w:shd w:val="clear" w:color="auto" w:fill="auto"/>
            <w:noWrap/>
            <w:vAlign w:val="center"/>
          </w:tcPr>
          <w:p w14:paraId="2D19C073" w14:textId="77777777" w:rsidR="00F87E58" w:rsidRPr="00CC0F93" w:rsidRDefault="00F87E58" w:rsidP="00F87E58">
            <w:pPr>
              <w:pStyle w:val="cuatexto"/>
              <w:jc w:val="right"/>
              <w:rPr>
                <w:sz w:val="14"/>
                <w:szCs w:val="14"/>
              </w:rPr>
            </w:pPr>
            <w:r w:rsidRPr="00CC0F93">
              <w:rPr>
                <w:sz w:val="14"/>
                <w:szCs w:val="14"/>
              </w:rPr>
              <w:t>0,00</w:t>
            </w:r>
          </w:p>
        </w:tc>
        <w:tc>
          <w:tcPr>
            <w:tcW w:w="476" w:type="dxa"/>
            <w:tcBorders>
              <w:top w:val="single" w:sz="4" w:space="0" w:color="auto"/>
              <w:left w:val="nil"/>
              <w:bottom w:val="single" w:sz="4" w:space="0" w:color="auto"/>
              <w:right w:val="nil"/>
            </w:tcBorders>
            <w:shd w:val="clear" w:color="auto" w:fill="auto"/>
            <w:noWrap/>
            <w:vAlign w:val="center"/>
          </w:tcPr>
          <w:p w14:paraId="4FF8CB5A" w14:textId="77777777" w:rsidR="00F87E58" w:rsidRPr="00CC0F93" w:rsidRDefault="00F87E58" w:rsidP="00F87E58">
            <w:pPr>
              <w:pStyle w:val="cuatexto"/>
              <w:jc w:val="right"/>
              <w:rPr>
                <w:sz w:val="14"/>
                <w:szCs w:val="14"/>
              </w:rPr>
            </w:pPr>
            <w:r w:rsidRPr="00CC0F93">
              <w:rPr>
                <w:sz w:val="14"/>
                <w:szCs w:val="14"/>
              </w:rPr>
              <w:t>(4,04)</w:t>
            </w:r>
          </w:p>
        </w:tc>
        <w:tc>
          <w:tcPr>
            <w:tcW w:w="476" w:type="dxa"/>
            <w:tcBorders>
              <w:top w:val="single" w:sz="4" w:space="0" w:color="auto"/>
              <w:left w:val="nil"/>
              <w:bottom w:val="single" w:sz="4" w:space="0" w:color="auto"/>
              <w:right w:val="nil"/>
            </w:tcBorders>
            <w:shd w:val="clear" w:color="auto" w:fill="auto"/>
            <w:noWrap/>
            <w:vAlign w:val="center"/>
          </w:tcPr>
          <w:p w14:paraId="169E11CA" w14:textId="77777777" w:rsidR="00F87E58" w:rsidRPr="00CC0F93" w:rsidRDefault="00F87E58" w:rsidP="00F87E58">
            <w:pPr>
              <w:pStyle w:val="cuatexto"/>
              <w:jc w:val="right"/>
              <w:rPr>
                <w:sz w:val="14"/>
                <w:szCs w:val="14"/>
              </w:rPr>
            </w:pPr>
            <w:r w:rsidRPr="00CC0F93">
              <w:rPr>
                <w:sz w:val="14"/>
                <w:szCs w:val="14"/>
              </w:rPr>
              <w:t>(6,42)</w:t>
            </w:r>
          </w:p>
        </w:tc>
        <w:tc>
          <w:tcPr>
            <w:tcW w:w="467" w:type="dxa"/>
            <w:tcBorders>
              <w:top w:val="single" w:sz="4" w:space="0" w:color="auto"/>
              <w:left w:val="nil"/>
              <w:bottom w:val="single" w:sz="4" w:space="0" w:color="auto"/>
              <w:right w:val="nil"/>
            </w:tcBorders>
            <w:shd w:val="clear" w:color="auto" w:fill="auto"/>
            <w:noWrap/>
            <w:vAlign w:val="center"/>
          </w:tcPr>
          <w:p w14:paraId="491D40E8" w14:textId="77777777" w:rsidR="00F87E58" w:rsidRPr="00CC0F93" w:rsidRDefault="00F87E58" w:rsidP="00F87E58">
            <w:pPr>
              <w:pStyle w:val="cuatexto"/>
              <w:ind w:left="-124" w:right="-20"/>
              <w:jc w:val="right"/>
              <w:rPr>
                <w:sz w:val="14"/>
                <w:szCs w:val="14"/>
              </w:rPr>
            </w:pPr>
            <w:r w:rsidRPr="00CC0F93">
              <w:rPr>
                <w:sz w:val="14"/>
                <w:szCs w:val="14"/>
              </w:rPr>
              <w:t>(10,43)</w:t>
            </w:r>
          </w:p>
        </w:tc>
        <w:tc>
          <w:tcPr>
            <w:tcW w:w="467" w:type="dxa"/>
            <w:tcBorders>
              <w:top w:val="single" w:sz="4" w:space="0" w:color="auto"/>
              <w:left w:val="nil"/>
              <w:bottom w:val="single" w:sz="4" w:space="0" w:color="auto"/>
              <w:right w:val="nil"/>
            </w:tcBorders>
            <w:shd w:val="clear" w:color="auto" w:fill="auto"/>
            <w:noWrap/>
            <w:vAlign w:val="center"/>
          </w:tcPr>
          <w:p w14:paraId="024FEBE9" w14:textId="77777777" w:rsidR="00F87E58" w:rsidRPr="00CC0F93" w:rsidRDefault="00F87E58" w:rsidP="00F87E58">
            <w:pPr>
              <w:pStyle w:val="cuatexto"/>
              <w:ind w:left="-122" w:right="-36"/>
              <w:jc w:val="right"/>
              <w:rPr>
                <w:sz w:val="14"/>
                <w:szCs w:val="14"/>
              </w:rPr>
            </w:pPr>
            <w:r w:rsidRPr="00CC0F93">
              <w:rPr>
                <w:sz w:val="14"/>
                <w:szCs w:val="14"/>
              </w:rPr>
              <w:t>(14,26)</w:t>
            </w:r>
          </w:p>
        </w:tc>
        <w:tc>
          <w:tcPr>
            <w:tcW w:w="467" w:type="dxa"/>
            <w:tcBorders>
              <w:top w:val="single" w:sz="4" w:space="0" w:color="auto"/>
              <w:left w:val="nil"/>
              <w:bottom w:val="single" w:sz="4" w:space="0" w:color="auto"/>
              <w:right w:val="nil"/>
            </w:tcBorders>
            <w:shd w:val="clear" w:color="auto" w:fill="auto"/>
            <w:noWrap/>
            <w:vAlign w:val="center"/>
          </w:tcPr>
          <w:p w14:paraId="4F1A0523" w14:textId="77777777" w:rsidR="00F87E58" w:rsidRPr="00CC0F93" w:rsidRDefault="00F87E58" w:rsidP="00F87E58">
            <w:pPr>
              <w:pStyle w:val="cuatexto"/>
              <w:ind w:left="-121" w:right="-38"/>
              <w:jc w:val="right"/>
              <w:rPr>
                <w:sz w:val="14"/>
                <w:szCs w:val="14"/>
              </w:rPr>
            </w:pPr>
            <w:r w:rsidRPr="00CC0F93">
              <w:rPr>
                <w:sz w:val="14"/>
                <w:szCs w:val="14"/>
              </w:rPr>
              <w:t>(17,01)</w:t>
            </w:r>
          </w:p>
        </w:tc>
        <w:tc>
          <w:tcPr>
            <w:tcW w:w="428" w:type="dxa"/>
            <w:tcBorders>
              <w:top w:val="single" w:sz="4" w:space="0" w:color="auto"/>
              <w:left w:val="nil"/>
              <w:bottom w:val="single" w:sz="4" w:space="0" w:color="auto"/>
              <w:right w:val="nil"/>
            </w:tcBorders>
            <w:shd w:val="clear" w:color="auto" w:fill="auto"/>
            <w:noWrap/>
            <w:vAlign w:val="center"/>
          </w:tcPr>
          <w:p w14:paraId="3443F219" w14:textId="77777777" w:rsidR="00F87E58" w:rsidRPr="00CC0F93" w:rsidRDefault="00F87E58" w:rsidP="00F87E58">
            <w:pPr>
              <w:pStyle w:val="cuatexto"/>
              <w:ind w:left="-118" w:right="-40"/>
              <w:jc w:val="right"/>
              <w:rPr>
                <w:sz w:val="14"/>
                <w:szCs w:val="14"/>
              </w:rPr>
            </w:pPr>
            <w:r w:rsidRPr="00CC0F93">
              <w:rPr>
                <w:sz w:val="14"/>
                <w:szCs w:val="14"/>
              </w:rPr>
              <w:t>(19,83)</w:t>
            </w:r>
          </w:p>
        </w:tc>
        <w:tc>
          <w:tcPr>
            <w:tcW w:w="474" w:type="dxa"/>
            <w:tcBorders>
              <w:top w:val="single" w:sz="4" w:space="0" w:color="auto"/>
              <w:left w:val="nil"/>
              <w:bottom w:val="single" w:sz="4" w:space="0" w:color="auto"/>
              <w:right w:val="nil"/>
            </w:tcBorders>
            <w:shd w:val="clear" w:color="auto" w:fill="auto"/>
            <w:noWrap/>
            <w:vAlign w:val="center"/>
          </w:tcPr>
          <w:p w14:paraId="2DAB8685" w14:textId="77777777" w:rsidR="00F87E58" w:rsidRPr="00CC0F93" w:rsidRDefault="00F87E58" w:rsidP="00F87E58">
            <w:pPr>
              <w:pStyle w:val="cuatexto"/>
              <w:ind w:left="-72"/>
              <w:jc w:val="right"/>
              <w:rPr>
                <w:sz w:val="14"/>
                <w:szCs w:val="14"/>
              </w:rPr>
            </w:pPr>
            <w:r w:rsidRPr="00CC0F93">
              <w:rPr>
                <w:sz w:val="14"/>
                <w:szCs w:val="14"/>
              </w:rPr>
              <w:t>(24,18)</w:t>
            </w:r>
          </w:p>
        </w:tc>
        <w:tc>
          <w:tcPr>
            <w:tcW w:w="482" w:type="dxa"/>
            <w:tcBorders>
              <w:top w:val="single" w:sz="4" w:space="0" w:color="auto"/>
              <w:left w:val="nil"/>
              <w:bottom w:val="single" w:sz="4" w:space="0" w:color="auto"/>
              <w:right w:val="nil"/>
            </w:tcBorders>
            <w:shd w:val="clear" w:color="auto" w:fill="auto"/>
            <w:noWrap/>
            <w:vAlign w:val="center"/>
          </w:tcPr>
          <w:p w14:paraId="28546333" w14:textId="77777777" w:rsidR="00F87E58" w:rsidRPr="00CC0F93" w:rsidRDefault="00F87E58" w:rsidP="00F87E58">
            <w:pPr>
              <w:pStyle w:val="cuatexto"/>
              <w:ind w:left="-64"/>
              <w:jc w:val="right"/>
              <w:rPr>
                <w:sz w:val="14"/>
                <w:szCs w:val="14"/>
              </w:rPr>
            </w:pPr>
            <w:r w:rsidRPr="00CC0F93">
              <w:rPr>
                <w:sz w:val="14"/>
                <w:szCs w:val="14"/>
              </w:rPr>
              <w:t>(28,21)</w:t>
            </w:r>
          </w:p>
        </w:tc>
        <w:tc>
          <w:tcPr>
            <w:tcW w:w="400" w:type="dxa"/>
            <w:tcBorders>
              <w:top w:val="single" w:sz="4" w:space="0" w:color="auto"/>
              <w:left w:val="nil"/>
              <w:bottom w:val="single" w:sz="4" w:space="0" w:color="auto"/>
              <w:right w:val="nil"/>
            </w:tcBorders>
            <w:shd w:val="clear" w:color="auto" w:fill="auto"/>
            <w:noWrap/>
            <w:vAlign w:val="center"/>
          </w:tcPr>
          <w:p w14:paraId="486E6EEC" w14:textId="77777777" w:rsidR="00F87E58" w:rsidRPr="00CC0F93" w:rsidRDefault="00F87E58" w:rsidP="00F87E58">
            <w:pPr>
              <w:pStyle w:val="cuatexto"/>
              <w:ind w:left="-146"/>
              <w:jc w:val="right"/>
              <w:rPr>
                <w:sz w:val="14"/>
                <w:szCs w:val="14"/>
              </w:rPr>
            </w:pPr>
            <w:r w:rsidRPr="00CC0F93">
              <w:rPr>
                <w:sz w:val="14"/>
                <w:szCs w:val="14"/>
              </w:rPr>
              <w:t>(32,21)</w:t>
            </w:r>
          </w:p>
        </w:tc>
        <w:tc>
          <w:tcPr>
            <w:tcW w:w="467" w:type="dxa"/>
            <w:tcBorders>
              <w:top w:val="single" w:sz="4" w:space="0" w:color="auto"/>
              <w:left w:val="nil"/>
              <w:bottom w:val="single" w:sz="4" w:space="0" w:color="auto"/>
              <w:right w:val="nil"/>
            </w:tcBorders>
            <w:shd w:val="clear" w:color="auto" w:fill="auto"/>
            <w:noWrap/>
            <w:vAlign w:val="center"/>
          </w:tcPr>
          <w:p w14:paraId="4FA233F1" w14:textId="77777777" w:rsidR="00F87E58" w:rsidRPr="00CC0F93" w:rsidRDefault="00F87E58" w:rsidP="00F87E58">
            <w:pPr>
              <w:pStyle w:val="cuatexto"/>
              <w:ind w:left="-81" w:hanging="70"/>
              <w:jc w:val="right"/>
              <w:rPr>
                <w:sz w:val="14"/>
                <w:szCs w:val="14"/>
              </w:rPr>
            </w:pPr>
            <w:r w:rsidRPr="00CC0F93">
              <w:rPr>
                <w:sz w:val="14"/>
                <w:szCs w:val="14"/>
              </w:rPr>
              <w:t>(34,90)</w:t>
            </w:r>
          </w:p>
        </w:tc>
        <w:tc>
          <w:tcPr>
            <w:tcW w:w="460" w:type="dxa"/>
            <w:tcBorders>
              <w:top w:val="single" w:sz="4" w:space="0" w:color="auto"/>
              <w:left w:val="nil"/>
              <w:bottom w:val="single" w:sz="4" w:space="0" w:color="auto"/>
              <w:right w:val="nil"/>
            </w:tcBorders>
            <w:shd w:val="clear" w:color="auto" w:fill="auto"/>
            <w:noWrap/>
            <w:vAlign w:val="center"/>
          </w:tcPr>
          <w:p w14:paraId="1CAF8715" w14:textId="77777777" w:rsidR="00F87E58" w:rsidRPr="00CC0F93" w:rsidRDefault="00F87E58" w:rsidP="00F87E58">
            <w:pPr>
              <w:pStyle w:val="cuatexto"/>
              <w:ind w:left="-86"/>
              <w:jc w:val="right"/>
              <w:rPr>
                <w:sz w:val="14"/>
                <w:szCs w:val="14"/>
              </w:rPr>
            </w:pPr>
            <w:r w:rsidRPr="00CC0F93">
              <w:rPr>
                <w:sz w:val="14"/>
                <w:szCs w:val="14"/>
              </w:rPr>
              <w:t>(37,81)</w:t>
            </w:r>
          </w:p>
        </w:tc>
        <w:tc>
          <w:tcPr>
            <w:tcW w:w="440" w:type="dxa"/>
            <w:tcBorders>
              <w:top w:val="single" w:sz="4" w:space="0" w:color="auto"/>
              <w:left w:val="nil"/>
              <w:bottom w:val="single" w:sz="4" w:space="0" w:color="auto"/>
              <w:right w:val="nil"/>
            </w:tcBorders>
            <w:shd w:val="clear" w:color="auto" w:fill="auto"/>
            <w:noWrap/>
            <w:vAlign w:val="center"/>
          </w:tcPr>
          <w:p w14:paraId="14DE0500" w14:textId="77777777" w:rsidR="00F87E58" w:rsidRPr="00CC0F93" w:rsidRDefault="00F87E58" w:rsidP="00F87E58">
            <w:pPr>
              <w:pStyle w:val="cuatexto"/>
              <w:ind w:left="-106"/>
              <w:jc w:val="right"/>
              <w:rPr>
                <w:sz w:val="14"/>
                <w:szCs w:val="14"/>
              </w:rPr>
            </w:pPr>
            <w:r w:rsidRPr="00CC0F93">
              <w:rPr>
                <w:sz w:val="14"/>
                <w:szCs w:val="14"/>
              </w:rPr>
              <w:t>(40,52)</w:t>
            </w:r>
          </w:p>
        </w:tc>
        <w:tc>
          <w:tcPr>
            <w:tcW w:w="420" w:type="dxa"/>
            <w:tcBorders>
              <w:top w:val="single" w:sz="4" w:space="0" w:color="auto"/>
              <w:left w:val="nil"/>
              <w:bottom w:val="single" w:sz="4" w:space="0" w:color="auto"/>
              <w:right w:val="nil"/>
            </w:tcBorders>
            <w:shd w:val="clear" w:color="auto" w:fill="auto"/>
            <w:noWrap/>
            <w:vAlign w:val="center"/>
          </w:tcPr>
          <w:p w14:paraId="247298B5" w14:textId="77777777" w:rsidR="00F87E58" w:rsidRPr="00CC0F93" w:rsidRDefault="00F87E58" w:rsidP="00F87E58">
            <w:pPr>
              <w:pStyle w:val="cuatexto"/>
              <w:ind w:left="-126"/>
              <w:jc w:val="right"/>
              <w:rPr>
                <w:sz w:val="14"/>
                <w:szCs w:val="14"/>
              </w:rPr>
            </w:pPr>
            <w:r w:rsidRPr="00CC0F93">
              <w:rPr>
                <w:sz w:val="14"/>
                <w:szCs w:val="14"/>
              </w:rPr>
              <w:t>(43,01)</w:t>
            </w:r>
          </w:p>
        </w:tc>
        <w:tc>
          <w:tcPr>
            <w:tcW w:w="375" w:type="dxa"/>
            <w:tcBorders>
              <w:top w:val="single" w:sz="4" w:space="0" w:color="auto"/>
              <w:left w:val="nil"/>
              <w:bottom w:val="single" w:sz="4" w:space="0" w:color="auto"/>
              <w:right w:val="nil"/>
            </w:tcBorders>
            <w:shd w:val="clear" w:color="auto" w:fill="auto"/>
            <w:noWrap/>
            <w:vAlign w:val="center"/>
          </w:tcPr>
          <w:p w14:paraId="5B592B13" w14:textId="77777777" w:rsidR="00F87E58" w:rsidRPr="00CC0F93" w:rsidRDefault="00F87E58" w:rsidP="00F87E58">
            <w:pPr>
              <w:pStyle w:val="cuatexto"/>
              <w:ind w:left="-171"/>
              <w:jc w:val="right"/>
              <w:rPr>
                <w:sz w:val="14"/>
                <w:szCs w:val="14"/>
              </w:rPr>
            </w:pPr>
            <w:r w:rsidRPr="00CC0F93">
              <w:rPr>
                <w:sz w:val="14"/>
                <w:szCs w:val="14"/>
              </w:rPr>
              <w:t>(45,37)</w:t>
            </w:r>
          </w:p>
        </w:tc>
        <w:tc>
          <w:tcPr>
            <w:tcW w:w="370" w:type="dxa"/>
            <w:tcBorders>
              <w:top w:val="single" w:sz="4" w:space="0" w:color="auto"/>
              <w:left w:val="nil"/>
              <w:bottom w:val="single" w:sz="4" w:space="0" w:color="auto"/>
              <w:right w:val="nil"/>
            </w:tcBorders>
            <w:shd w:val="clear" w:color="auto" w:fill="auto"/>
            <w:noWrap/>
            <w:vAlign w:val="center"/>
          </w:tcPr>
          <w:p w14:paraId="06D65125" w14:textId="77777777" w:rsidR="00F87E58" w:rsidRPr="00CC0F93" w:rsidRDefault="00F87E58" w:rsidP="00F87E58">
            <w:pPr>
              <w:pStyle w:val="cuatexto"/>
              <w:ind w:left="-176"/>
              <w:jc w:val="right"/>
              <w:rPr>
                <w:sz w:val="14"/>
                <w:szCs w:val="14"/>
              </w:rPr>
            </w:pPr>
            <w:r w:rsidRPr="00CC0F93">
              <w:rPr>
                <w:sz w:val="14"/>
                <w:szCs w:val="14"/>
              </w:rPr>
              <w:t>(48,22)</w:t>
            </w:r>
          </w:p>
        </w:tc>
        <w:tc>
          <w:tcPr>
            <w:tcW w:w="400" w:type="dxa"/>
            <w:tcBorders>
              <w:top w:val="single" w:sz="4" w:space="0" w:color="auto"/>
              <w:left w:val="nil"/>
              <w:bottom w:val="single" w:sz="4" w:space="0" w:color="auto"/>
              <w:right w:val="nil"/>
            </w:tcBorders>
            <w:shd w:val="clear" w:color="auto" w:fill="auto"/>
            <w:noWrap/>
            <w:vAlign w:val="center"/>
          </w:tcPr>
          <w:p w14:paraId="66F3B8BA" w14:textId="77777777" w:rsidR="00F87E58" w:rsidRPr="00CC0F93" w:rsidRDefault="00F87E58" w:rsidP="00F87E58">
            <w:pPr>
              <w:pStyle w:val="cuatexto"/>
              <w:ind w:left="-146"/>
              <w:jc w:val="right"/>
              <w:rPr>
                <w:sz w:val="14"/>
                <w:szCs w:val="14"/>
              </w:rPr>
            </w:pPr>
            <w:r w:rsidRPr="00CC0F93">
              <w:rPr>
                <w:sz w:val="14"/>
                <w:szCs w:val="14"/>
              </w:rPr>
              <w:t>(51,57)</w:t>
            </w:r>
          </w:p>
        </w:tc>
        <w:tc>
          <w:tcPr>
            <w:tcW w:w="476" w:type="dxa"/>
            <w:tcBorders>
              <w:top w:val="single" w:sz="4" w:space="0" w:color="auto"/>
              <w:left w:val="nil"/>
              <w:bottom w:val="single" w:sz="4" w:space="0" w:color="auto"/>
              <w:right w:val="nil"/>
            </w:tcBorders>
            <w:shd w:val="clear" w:color="auto" w:fill="auto"/>
            <w:noWrap/>
            <w:vAlign w:val="center"/>
          </w:tcPr>
          <w:p w14:paraId="2F02B1EE" w14:textId="77777777" w:rsidR="00F87E58" w:rsidRPr="00CC0F93" w:rsidRDefault="00F87E58" w:rsidP="00F87E58">
            <w:pPr>
              <w:pStyle w:val="cuatexto"/>
              <w:ind w:left="-70"/>
              <w:jc w:val="right"/>
              <w:rPr>
                <w:sz w:val="14"/>
                <w:szCs w:val="14"/>
              </w:rPr>
            </w:pPr>
            <w:r w:rsidRPr="00CC0F93">
              <w:rPr>
                <w:sz w:val="14"/>
                <w:szCs w:val="14"/>
              </w:rPr>
              <w:t>(53,56)</w:t>
            </w:r>
          </w:p>
        </w:tc>
        <w:tc>
          <w:tcPr>
            <w:tcW w:w="422" w:type="dxa"/>
            <w:tcBorders>
              <w:top w:val="single" w:sz="4" w:space="0" w:color="auto"/>
              <w:left w:val="nil"/>
              <w:bottom w:val="single" w:sz="4" w:space="0" w:color="auto"/>
              <w:right w:val="nil"/>
            </w:tcBorders>
            <w:shd w:val="clear" w:color="auto" w:fill="auto"/>
            <w:noWrap/>
            <w:vAlign w:val="center"/>
          </w:tcPr>
          <w:p w14:paraId="1570C2B1" w14:textId="77777777" w:rsidR="00F87E58" w:rsidRPr="00CC0F93" w:rsidRDefault="00F87E58" w:rsidP="00F87E58">
            <w:pPr>
              <w:pStyle w:val="cuatexto"/>
              <w:ind w:left="-124"/>
              <w:jc w:val="right"/>
              <w:rPr>
                <w:sz w:val="14"/>
                <w:szCs w:val="14"/>
              </w:rPr>
            </w:pPr>
            <w:r w:rsidRPr="00CC0F93">
              <w:rPr>
                <w:sz w:val="14"/>
                <w:szCs w:val="14"/>
              </w:rPr>
              <w:t>(55,78)</w:t>
            </w:r>
          </w:p>
        </w:tc>
      </w:tr>
    </w:tbl>
    <w:p w14:paraId="1FBF12A7" w14:textId="77777777" w:rsidR="00886F83" w:rsidRDefault="00886F83" w:rsidP="00F87E58">
      <w:pPr>
        <w:pStyle w:val="texto"/>
        <w:spacing w:before="240" w:after="240"/>
      </w:pPr>
    </w:p>
    <w:p w14:paraId="003B6292" w14:textId="77777777" w:rsidR="00886F83" w:rsidRDefault="00886F83">
      <w:pPr>
        <w:spacing w:after="0"/>
        <w:ind w:firstLine="0"/>
        <w:jc w:val="left"/>
        <w:rPr>
          <w:spacing w:val="6"/>
          <w:sz w:val="26"/>
          <w:szCs w:val="24"/>
        </w:rPr>
      </w:pPr>
      <w:r>
        <w:br w:type="page"/>
      </w:r>
    </w:p>
    <w:p w14:paraId="01411C9C" w14:textId="77777777" w:rsidR="00F87E58" w:rsidRDefault="00F87E58" w:rsidP="00F87E58">
      <w:pPr>
        <w:pStyle w:val="texto"/>
        <w:spacing w:before="240" w:after="240"/>
      </w:pPr>
      <w:r>
        <w:lastRenderedPageBreak/>
        <w:t xml:space="preserve">La evolución y relación de las </w:t>
      </w:r>
      <w:r w:rsidRPr="00723961">
        <w:t>magnitudes</w:t>
      </w:r>
      <w:r>
        <w:t xml:space="preserve"> citadas, se refleja en el siguiente gráfico:</w:t>
      </w:r>
    </w:p>
    <w:p w14:paraId="39F34E89" w14:textId="77777777" w:rsidR="00F87E58" w:rsidRDefault="00F87E58" w:rsidP="00F87E58">
      <w:pPr>
        <w:pStyle w:val="texto"/>
        <w:tabs>
          <w:tab w:val="clear" w:pos="2835"/>
          <w:tab w:val="clear" w:pos="3969"/>
          <w:tab w:val="clear" w:pos="5103"/>
          <w:tab w:val="clear" w:pos="6237"/>
          <w:tab w:val="clear" w:pos="7371"/>
          <w:tab w:val="left" w:pos="480"/>
          <w:tab w:val="num" w:pos="786"/>
          <w:tab w:val="num" w:pos="1320"/>
          <w:tab w:val="num" w:pos="2062"/>
          <w:tab w:val="num" w:pos="4472"/>
        </w:tabs>
        <w:rPr>
          <w:szCs w:val="26"/>
        </w:rPr>
      </w:pPr>
      <w:r w:rsidRPr="0012731A">
        <w:rPr>
          <w:noProof/>
          <w:lang w:val="es-ES" w:eastAsia="es-ES"/>
        </w:rPr>
        <w:drawing>
          <wp:inline distT="0" distB="0" distL="0" distR="0" wp14:anchorId="4D3AD803" wp14:editId="657DDB2E">
            <wp:extent cx="4905375" cy="1638794"/>
            <wp:effectExtent l="0" t="0" r="9525" b="0"/>
            <wp:docPr id="6"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18B905" w14:textId="77777777" w:rsidR="00F87E58" w:rsidRDefault="00F87E58" w:rsidP="00F87E58">
      <w:pPr>
        <w:pStyle w:val="texto"/>
        <w:numPr>
          <w:ilvl w:val="0"/>
          <w:numId w:val="28"/>
        </w:numPr>
        <w:tabs>
          <w:tab w:val="clear" w:pos="2835"/>
          <w:tab w:val="clear" w:pos="3969"/>
          <w:tab w:val="clear" w:pos="5103"/>
          <w:tab w:val="clear" w:pos="6237"/>
          <w:tab w:val="clear" w:pos="7371"/>
          <w:tab w:val="num" w:pos="284"/>
          <w:tab w:val="left" w:pos="480"/>
          <w:tab w:val="num" w:pos="567"/>
          <w:tab w:val="num" w:pos="2062"/>
          <w:tab w:val="num" w:pos="4472"/>
        </w:tabs>
        <w:spacing w:before="240" w:after="240"/>
        <w:ind w:left="0" w:firstLine="284"/>
        <w:rPr>
          <w:szCs w:val="26"/>
        </w:rPr>
      </w:pPr>
      <w:r>
        <w:rPr>
          <w:szCs w:val="26"/>
        </w:rPr>
        <w:t>Préstamos participativos</w:t>
      </w:r>
    </w:p>
    <w:p w14:paraId="3D7ECC68" w14:textId="77777777" w:rsidR="00F87E58" w:rsidRPr="00AA16A6" w:rsidRDefault="00F87E58" w:rsidP="003B2AB7">
      <w:pPr>
        <w:pStyle w:val="texto"/>
        <w:spacing w:after="240"/>
      </w:pPr>
      <w:r w:rsidRPr="00AA16A6">
        <w:t>Tal y como se ha comentado en el apartado 2.3.2 de este apéndice, Parquenasa ha tenido desde su creación resultados</w:t>
      </w:r>
      <w:r w:rsidR="003B2AB7" w:rsidRPr="00AA16A6">
        <w:t xml:space="preserve"> negativos, y desde </w:t>
      </w:r>
      <w:r w:rsidR="00667669" w:rsidRPr="00AA16A6">
        <w:t xml:space="preserve">su tercer ejercicio de actividad </w:t>
      </w:r>
      <w:r w:rsidRPr="00AA16A6">
        <w:t>fondos propios negativos, lo que hubiera supuesto su disolución como sociedad mercantil. La naturaleza de los préstamos participativos (al computar como</w:t>
      </w:r>
      <w:r w:rsidR="003B2AB7" w:rsidRPr="00AA16A6">
        <w:t xml:space="preserve"> neto patrimonial) ha permitido un saneamiento únicamente </w:t>
      </w:r>
      <w:r w:rsidR="00667669" w:rsidRPr="00AA16A6">
        <w:t xml:space="preserve">a efectos </w:t>
      </w:r>
      <w:r w:rsidR="003B2AB7" w:rsidRPr="00AA16A6">
        <w:t>contable</w:t>
      </w:r>
      <w:r w:rsidR="00667669" w:rsidRPr="00AA16A6">
        <w:t xml:space="preserve">s, </w:t>
      </w:r>
      <w:r w:rsidR="003B2AB7" w:rsidRPr="00AA16A6">
        <w:t>de la situación financiera de Parquenasa, q</w:t>
      </w:r>
      <w:r w:rsidR="00667669" w:rsidRPr="00AA16A6">
        <w:t xml:space="preserve">ue lo convierte en instrumento </w:t>
      </w:r>
      <w:r w:rsidR="003B2AB7" w:rsidRPr="00AA16A6">
        <w:t>para evitar o retrasar la disolución de la sociedad por pérdidas</w:t>
      </w:r>
      <w:r w:rsidR="00085A19">
        <w:t xml:space="preserve">. Por ello, </w:t>
      </w:r>
      <w:r w:rsidRPr="00AA16A6">
        <w:t>anualmente una parte de los préstamos concedidos se convierten en participativos. La evolución de dichos préstamos participativos en el periodo analizado, se refleja en el siguiente cuadro:</w:t>
      </w:r>
    </w:p>
    <w:tbl>
      <w:tblPr>
        <w:tblW w:w="10759" w:type="dxa"/>
        <w:jc w:val="center"/>
        <w:tblCellMar>
          <w:left w:w="70" w:type="dxa"/>
          <w:right w:w="70" w:type="dxa"/>
        </w:tblCellMar>
        <w:tblLook w:val="04A0" w:firstRow="1" w:lastRow="0" w:firstColumn="1" w:lastColumn="0" w:noHBand="0" w:noVBand="1"/>
      </w:tblPr>
      <w:tblGrid>
        <w:gridCol w:w="1134"/>
        <w:gridCol w:w="397"/>
        <w:gridCol w:w="397"/>
        <w:gridCol w:w="397"/>
        <w:gridCol w:w="397"/>
        <w:gridCol w:w="397"/>
        <w:gridCol w:w="468"/>
        <w:gridCol w:w="413"/>
        <w:gridCol w:w="477"/>
        <w:gridCol w:w="476"/>
        <w:gridCol w:w="476"/>
        <w:gridCol w:w="476"/>
        <w:gridCol w:w="476"/>
        <w:gridCol w:w="476"/>
        <w:gridCol w:w="476"/>
        <w:gridCol w:w="476"/>
        <w:gridCol w:w="476"/>
        <w:gridCol w:w="476"/>
        <w:gridCol w:w="476"/>
        <w:gridCol w:w="476"/>
        <w:gridCol w:w="476"/>
        <w:gridCol w:w="476"/>
        <w:gridCol w:w="476"/>
      </w:tblGrid>
      <w:tr w:rsidR="00F87E58" w:rsidRPr="00A81836" w14:paraId="46FF0D32" w14:textId="77777777" w:rsidTr="00F87E58">
        <w:trPr>
          <w:trHeight w:val="255"/>
          <w:jc w:val="center"/>
        </w:trPr>
        <w:tc>
          <w:tcPr>
            <w:tcW w:w="1134" w:type="dxa"/>
            <w:tcBorders>
              <w:top w:val="single" w:sz="4" w:space="0" w:color="auto"/>
              <w:bottom w:val="single" w:sz="4" w:space="0" w:color="auto"/>
              <w:right w:val="nil"/>
            </w:tcBorders>
            <w:shd w:val="clear" w:color="auto" w:fill="9CC2E5"/>
            <w:noWrap/>
            <w:vAlign w:val="bottom"/>
          </w:tcPr>
          <w:p w14:paraId="44749895" w14:textId="77777777" w:rsidR="00F87E58" w:rsidRPr="00A81836" w:rsidRDefault="00F87E58" w:rsidP="00F87E58">
            <w:pPr>
              <w:pStyle w:val="cuadroCabe"/>
              <w:jc w:val="right"/>
              <w:rPr>
                <w:sz w:val="12"/>
                <w:szCs w:val="12"/>
              </w:rPr>
            </w:pPr>
          </w:p>
        </w:tc>
        <w:tc>
          <w:tcPr>
            <w:tcW w:w="397" w:type="dxa"/>
            <w:tcBorders>
              <w:top w:val="single" w:sz="4" w:space="0" w:color="auto"/>
              <w:left w:val="nil"/>
              <w:bottom w:val="single" w:sz="4" w:space="0" w:color="auto"/>
              <w:right w:val="nil"/>
            </w:tcBorders>
            <w:shd w:val="clear" w:color="auto" w:fill="9CC2E5"/>
            <w:noWrap/>
            <w:vAlign w:val="bottom"/>
          </w:tcPr>
          <w:p w14:paraId="480E6E0F" w14:textId="77777777" w:rsidR="00F87E58" w:rsidRPr="00A81836" w:rsidRDefault="00F87E58" w:rsidP="00F87E58">
            <w:pPr>
              <w:pStyle w:val="cuadroCabe"/>
              <w:ind w:left="-67"/>
              <w:jc w:val="right"/>
              <w:rPr>
                <w:sz w:val="12"/>
                <w:szCs w:val="12"/>
              </w:rPr>
            </w:pPr>
            <w:r w:rsidRPr="00A81836">
              <w:rPr>
                <w:sz w:val="12"/>
                <w:szCs w:val="12"/>
              </w:rPr>
              <w:t>2001</w:t>
            </w:r>
          </w:p>
        </w:tc>
        <w:tc>
          <w:tcPr>
            <w:tcW w:w="397" w:type="dxa"/>
            <w:tcBorders>
              <w:top w:val="single" w:sz="4" w:space="0" w:color="auto"/>
              <w:left w:val="nil"/>
              <w:bottom w:val="single" w:sz="4" w:space="0" w:color="auto"/>
              <w:right w:val="nil"/>
            </w:tcBorders>
            <w:shd w:val="clear" w:color="auto" w:fill="9CC2E5"/>
            <w:noWrap/>
            <w:vAlign w:val="bottom"/>
          </w:tcPr>
          <w:p w14:paraId="6CA11ECC" w14:textId="77777777" w:rsidR="00F87E58" w:rsidRPr="00A81836" w:rsidRDefault="00F87E58" w:rsidP="00F87E58">
            <w:pPr>
              <w:pStyle w:val="cuadroCabe"/>
              <w:ind w:left="-66"/>
              <w:jc w:val="right"/>
              <w:rPr>
                <w:sz w:val="12"/>
                <w:szCs w:val="12"/>
              </w:rPr>
            </w:pPr>
            <w:r w:rsidRPr="00A81836">
              <w:rPr>
                <w:sz w:val="12"/>
                <w:szCs w:val="12"/>
              </w:rPr>
              <w:t>2002</w:t>
            </w:r>
          </w:p>
        </w:tc>
        <w:tc>
          <w:tcPr>
            <w:tcW w:w="397" w:type="dxa"/>
            <w:tcBorders>
              <w:top w:val="single" w:sz="4" w:space="0" w:color="auto"/>
              <w:left w:val="nil"/>
              <w:bottom w:val="single" w:sz="4" w:space="0" w:color="auto"/>
              <w:right w:val="nil"/>
            </w:tcBorders>
            <w:shd w:val="clear" w:color="auto" w:fill="9CC2E5"/>
            <w:noWrap/>
            <w:vAlign w:val="bottom"/>
          </w:tcPr>
          <w:p w14:paraId="7C2760C8" w14:textId="77777777" w:rsidR="00F87E58" w:rsidRPr="00A81836" w:rsidRDefault="00F87E58" w:rsidP="00F87E58">
            <w:pPr>
              <w:pStyle w:val="cuadroCabe"/>
              <w:ind w:left="-70"/>
              <w:jc w:val="right"/>
              <w:rPr>
                <w:sz w:val="12"/>
                <w:szCs w:val="12"/>
              </w:rPr>
            </w:pPr>
            <w:r w:rsidRPr="00A81836">
              <w:rPr>
                <w:sz w:val="12"/>
                <w:szCs w:val="12"/>
              </w:rPr>
              <w:t>2003</w:t>
            </w:r>
          </w:p>
        </w:tc>
        <w:tc>
          <w:tcPr>
            <w:tcW w:w="397" w:type="dxa"/>
            <w:tcBorders>
              <w:top w:val="single" w:sz="4" w:space="0" w:color="auto"/>
              <w:left w:val="nil"/>
              <w:bottom w:val="single" w:sz="4" w:space="0" w:color="auto"/>
              <w:right w:val="nil"/>
            </w:tcBorders>
            <w:shd w:val="clear" w:color="auto" w:fill="9CC2E5"/>
            <w:noWrap/>
            <w:vAlign w:val="bottom"/>
          </w:tcPr>
          <w:p w14:paraId="0DB8CF6C" w14:textId="77777777" w:rsidR="00F87E58" w:rsidRPr="00A81836" w:rsidRDefault="00F87E58" w:rsidP="00F87E58">
            <w:pPr>
              <w:pStyle w:val="cuadroCabe"/>
              <w:ind w:left="-69" w:right="-47"/>
              <w:jc w:val="right"/>
              <w:rPr>
                <w:sz w:val="12"/>
                <w:szCs w:val="12"/>
              </w:rPr>
            </w:pPr>
            <w:r w:rsidRPr="00A81836">
              <w:rPr>
                <w:sz w:val="12"/>
                <w:szCs w:val="12"/>
              </w:rPr>
              <w:t>2004</w:t>
            </w:r>
          </w:p>
        </w:tc>
        <w:tc>
          <w:tcPr>
            <w:tcW w:w="397" w:type="dxa"/>
            <w:tcBorders>
              <w:top w:val="single" w:sz="4" w:space="0" w:color="auto"/>
              <w:left w:val="nil"/>
              <w:bottom w:val="single" w:sz="4" w:space="0" w:color="auto"/>
              <w:right w:val="nil"/>
            </w:tcBorders>
            <w:shd w:val="clear" w:color="auto" w:fill="9CC2E5"/>
            <w:noWrap/>
            <w:vAlign w:val="bottom"/>
          </w:tcPr>
          <w:p w14:paraId="05FA11F8" w14:textId="77777777" w:rsidR="00F87E58" w:rsidRPr="00A81836" w:rsidRDefault="00F87E58" w:rsidP="00F87E58">
            <w:pPr>
              <w:pStyle w:val="cuadroCabe"/>
              <w:ind w:left="-66"/>
              <w:jc w:val="right"/>
              <w:rPr>
                <w:sz w:val="12"/>
                <w:szCs w:val="12"/>
              </w:rPr>
            </w:pPr>
            <w:r w:rsidRPr="00A81836">
              <w:rPr>
                <w:sz w:val="12"/>
                <w:szCs w:val="12"/>
              </w:rPr>
              <w:t>2005</w:t>
            </w:r>
          </w:p>
        </w:tc>
        <w:tc>
          <w:tcPr>
            <w:tcW w:w="468" w:type="dxa"/>
            <w:tcBorders>
              <w:top w:val="single" w:sz="4" w:space="0" w:color="auto"/>
              <w:left w:val="nil"/>
              <w:bottom w:val="single" w:sz="4" w:space="0" w:color="auto"/>
              <w:right w:val="nil"/>
            </w:tcBorders>
            <w:shd w:val="clear" w:color="auto" w:fill="9CC2E5"/>
            <w:noWrap/>
            <w:vAlign w:val="bottom"/>
          </w:tcPr>
          <w:p w14:paraId="658FFF41" w14:textId="77777777" w:rsidR="00F87E58" w:rsidRPr="00A81836" w:rsidRDefault="00F87E58" w:rsidP="00F87E58">
            <w:pPr>
              <w:pStyle w:val="cuadroCabe"/>
              <w:ind w:left="-65"/>
              <w:jc w:val="right"/>
              <w:rPr>
                <w:sz w:val="12"/>
                <w:szCs w:val="12"/>
              </w:rPr>
            </w:pPr>
            <w:r w:rsidRPr="00A81836">
              <w:rPr>
                <w:sz w:val="12"/>
                <w:szCs w:val="12"/>
              </w:rPr>
              <w:t>2006</w:t>
            </w:r>
          </w:p>
        </w:tc>
        <w:tc>
          <w:tcPr>
            <w:tcW w:w="397" w:type="dxa"/>
            <w:tcBorders>
              <w:top w:val="single" w:sz="4" w:space="0" w:color="auto"/>
              <w:left w:val="nil"/>
              <w:bottom w:val="single" w:sz="4" w:space="0" w:color="auto"/>
              <w:right w:val="nil"/>
            </w:tcBorders>
            <w:shd w:val="clear" w:color="auto" w:fill="9CC2E5"/>
            <w:noWrap/>
            <w:vAlign w:val="bottom"/>
          </w:tcPr>
          <w:p w14:paraId="6040483D" w14:textId="77777777" w:rsidR="00F87E58" w:rsidRPr="00A81836" w:rsidRDefault="00F87E58" w:rsidP="00F87E58">
            <w:pPr>
              <w:pStyle w:val="cuadroCabe"/>
              <w:ind w:left="-63"/>
              <w:jc w:val="right"/>
              <w:rPr>
                <w:sz w:val="12"/>
                <w:szCs w:val="12"/>
              </w:rPr>
            </w:pPr>
            <w:r w:rsidRPr="00A81836">
              <w:rPr>
                <w:sz w:val="12"/>
                <w:szCs w:val="12"/>
              </w:rPr>
              <w:t>2007</w:t>
            </w:r>
          </w:p>
        </w:tc>
        <w:tc>
          <w:tcPr>
            <w:tcW w:w="477" w:type="dxa"/>
            <w:tcBorders>
              <w:top w:val="single" w:sz="4" w:space="0" w:color="auto"/>
              <w:left w:val="nil"/>
              <w:bottom w:val="single" w:sz="4" w:space="0" w:color="auto"/>
              <w:right w:val="nil"/>
            </w:tcBorders>
            <w:shd w:val="clear" w:color="auto" w:fill="9CC2E5"/>
            <w:noWrap/>
            <w:vAlign w:val="bottom"/>
          </w:tcPr>
          <w:p w14:paraId="1D202E05" w14:textId="77777777" w:rsidR="00F87E58" w:rsidRPr="00A81836" w:rsidRDefault="00F87E58" w:rsidP="00F87E58">
            <w:pPr>
              <w:pStyle w:val="cuadroCabe"/>
              <w:ind w:left="-69"/>
              <w:jc w:val="right"/>
              <w:rPr>
                <w:sz w:val="12"/>
                <w:szCs w:val="12"/>
              </w:rPr>
            </w:pPr>
            <w:r w:rsidRPr="00A81836">
              <w:rPr>
                <w:sz w:val="12"/>
                <w:szCs w:val="12"/>
              </w:rPr>
              <w:t>2008</w:t>
            </w:r>
          </w:p>
        </w:tc>
        <w:tc>
          <w:tcPr>
            <w:tcW w:w="476" w:type="dxa"/>
            <w:tcBorders>
              <w:top w:val="single" w:sz="4" w:space="0" w:color="auto"/>
              <w:left w:val="nil"/>
              <w:bottom w:val="single" w:sz="4" w:space="0" w:color="auto"/>
              <w:right w:val="nil"/>
            </w:tcBorders>
            <w:shd w:val="clear" w:color="auto" w:fill="9CC2E5"/>
            <w:noWrap/>
            <w:vAlign w:val="bottom"/>
          </w:tcPr>
          <w:p w14:paraId="769231D5" w14:textId="77777777" w:rsidR="00F87E58" w:rsidRPr="00A81836" w:rsidRDefault="00F87E58" w:rsidP="00F87E58">
            <w:pPr>
              <w:pStyle w:val="cuadroCabe"/>
              <w:ind w:left="-116"/>
              <w:jc w:val="right"/>
              <w:rPr>
                <w:sz w:val="12"/>
                <w:szCs w:val="12"/>
              </w:rPr>
            </w:pPr>
            <w:r w:rsidRPr="00A81836">
              <w:rPr>
                <w:sz w:val="12"/>
                <w:szCs w:val="12"/>
              </w:rPr>
              <w:t>2009</w:t>
            </w:r>
          </w:p>
        </w:tc>
        <w:tc>
          <w:tcPr>
            <w:tcW w:w="476" w:type="dxa"/>
            <w:tcBorders>
              <w:top w:val="single" w:sz="4" w:space="0" w:color="auto"/>
              <w:left w:val="nil"/>
              <w:bottom w:val="single" w:sz="4" w:space="0" w:color="auto"/>
              <w:right w:val="nil"/>
            </w:tcBorders>
            <w:shd w:val="clear" w:color="auto" w:fill="9CC2E5"/>
            <w:noWrap/>
            <w:vAlign w:val="bottom"/>
          </w:tcPr>
          <w:p w14:paraId="618EA52C" w14:textId="77777777" w:rsidR="00F87E58" w:rsidRPr="00A81836" w:rsidRDefault="00F87E58" w:rsidP="00F87E58">
            <w:pPr>
              <w:pStyle w:val="cuadroCabe"/>
              <w:ind w:left="-116"/>
              <w:jc w:val="right"/>
              <w:rPr>
                <w:sz w:val="12"/>
                <w:szCs w:val="12"/>
              </w:rPr>
            </w:pPr>
            <w:r w:rsidRPr="00A81836">
              <w:rPr>
                <w:sz w:val="12"/>
                <w:szCs w:val="12"/>
              </w:rPr>
              <w:t>2010</w:t>
            </w:r>
          </w:p>
        </w:tc>
        <w:tc>
          <w:tcPr>
            <w:tcW w:w="476" w:type="dxa"/>
            <w:tcBorders>
              <w:top w:val="single" w:sz="4" w:space="0" w:color="auto"/>
              <w:left w:val="nil"/>
              <w:bottom w:val="single" w:sz="4" w:space="0" w:color="auto"/>
              <w:right w:val="nil"/>
            </w:tcBorders>
            <w:shd w:val="clear" w:color="auto" w:fill="9CC2E5"/>
            <w:noWrap/>
            <w:vAlign w:val="bottom"/>
          </w:tcPr>
          <w:p w14:paraId="38637F4C" w14:textId="77777777" w:rsidR="00F87E58" w:rsidRPr="00A81836" w:rsidRDefault="00F87E58" w:rsidP="00F87E58">
            <w:pPr>
              <w:pStyle w:val="cuadroCabe"/>
              <w:ind w:left="-116"/>
              <w:jc w:val="right"/>
              <w:rPr>
                <w:sz w:val="12"/>
                <w:szCs w:val="12"/>
              </w:rPr>
            </w:pPr>
            <w:r w:rsidRPr="00A81836">
              <w:rPr>
                <w:sz w:val="12"/>
                <w:szCs w:val="12"/>
              </w:rPr>
              <w:t>2011</w:t>
            </w:r>
          </w:p>
        </w:tc>
        <w:tc>
          <w:tcPr>
            <w:tcW w:w="476" w:type="dxa"/>
            <w:tcBorders>
              <w:top w:val="single" w:sz="4" w:space="0" w:color="auto"/>
              <w:left w:val="nil"/>
              <w:bottom w:val="single" w:sz="4" w:space="0" w:color="auto"/>
              <w:right w:val="nil"/>
            </w:tcBorders>
            <w:shd w:val="clear" w:color="auto" w:fill="9CC2E5"/>
            <w:noWrap/>
            <w:vAlign w:val="bottom"/>
          </w:tcPr>
          <w:p w14:paraId="5C17592E" w14:textId="77777777" w:rsidR="00F87E58" w:rsidRPr="00A81836" w:rsidRDefault="00F87E58" w:rsidP="00F87E58">
            <w:pPr>
              <w:pStyle w:val="cuadroCabe"/>
              <w:ind w:left="-116"/>
              <w:jc w:val="right"/>
              <w:rPr>
                <w:sz w:val="12"/>
                <w:szCs w:val="12"/>
              </w:rPr>
            </w:pPr>
            <w:r w:rsidRPr="00A81836">
              <w:rPr>
                <w:sz w:val="12"/>
                <w:szCs w:val="12"/>
              </w:rPr>
              <w:t>2012</w:t>
            </w:r>
          </w:p>
        </w:tc>
        <w:tc>
          <w:tcPr>
            <w:tcW w:w="476" w:type="dxa"/>
            <w:tcBorders>
              <w:top w:val="single" w:sz="4" w:space="0" w:color="auto"/>
              <w:left w:val="nil"/>
              <w:bottom w:val="single" w:sz="4" w:space="0" w:color="auto"/>
              <w:right w:val="nil"/>
            </w:tcBorders>
            <w:shd w:val="clear" w:color="auto" w:fill="9CC2E5"/>
            <w:noWrap/>
            <w:vAlign w:val="bottom"/>
          </w:tcPr>
          <w:p w14:paraId="06C519FF" w14:textId="77777777" w:rsidR="00F87E58" w:rsidRPr="00A81836" w:rsidRDefault="00F87E58" w:rsidP="00F87E58">
            <w:pPr>
              <w:pStyle w:val="cuadroCabe"/>
              <w:ind w:left="-116"/>
              <w:jc w:val="right"/>
              <w:rPr>
                <w:sz w:val="12"/>
                <w:szCs w:val="12"/>
              </w:rPr>
            </w:pPr>
            <w:r w:rsidRPr="00A81836">
              <w:rPr>
                <w:sz w:val="12"/>
                <w:szCs w:val="12"/>
              </w:rPr>
              <w:t>2013</w:t>
            </w:r>
          </w:p>
        </w:tc>
        <w:tc>
          <w:tcPr>
            <w:tcW w:w="476" w:type="dxa"/>
            <w:tcBorders>
              <w:top w:val="single" w:sz="4" w:space="0" w:color="auto"/>
              <w:left w:val="nil"/>
              <w:bottom w:val="single" w:sz="4" w:space="0" w:color="auto"/>
              <w:right w:val="nil"/>
            </w:tcBorders>
            <w:shd w:val="clear" w:color="auto" w:fill="9CC2E5"/>
            <w:noWrap/>
            <w:vAlign w:val="bottom"/>
          </w:tcPr>
          <w:p w14:paraId="52830EC6" w14:textId="77777777" w:rsidR="00F87E58" w:rsidRPr="00A81836" w:rsidRDefault="00F87E58" w:rsidP="00F87E58">
            <w:pPr>
              <w:pStyle w:val="cuadroCabe"/>
              <w:ind w:left="-116"/>
              <w:jc w:val="right"/>
              <w:rPr>
                <w:sz w:val="12"/>
                <w:szCs w:val="12"/>
              </w:rPr>
            </w:pPr>
            <w:r w:rsidRPr="00A81836">
              <w:rPr>
                <w:sz w:val="12"/>
                <w:szCs w:val="12"/>
              </w:rPr>
              <w:t>2014</w:t>
            </w:r>
          </w:p>
        </w:tc>
        <w:tc>
          <w:tcPr>
            <w:tcW w:w="476" w:type="dxa"/>
            <w:tcBorders>
              <w:top w:val="single" w:sz="4" w:space="0" w:color="auto"/>
              <w:left w:val="nil"/>
              <w:bottom w:val="single" w:sz="4" w:space="0" w:color="auto"/>
              <w:right w:val="nil"/>
            </w:tcBorders>
            <w:shd w:val="clear" w:color="auto" w:fill="9CC2E5"/>
            <w:noWrap/>
            <w:vAlign w:val="bottom"/>
          </w:tcPr>
          <w:p w14:paraId="08DA922E" w14:textId="77777777" w:rsidR="00F87E58" w:rsidRPr="00A81836" w:rsidRDefault="00F87E58" w:rsidP="00F87E58">
            <w:pPr>
              <w:pStyle w:val="cuadroCabe"/>
              <w:ind w:left="-116"/>
              <w:jc w:val="right"/>
              <w:rPr>
                <w:sz w:val="12"/>
                <w:szCs w:val="12"/>
              </w:rPr>
            </w:pPr>
            <w:r w:rsidRPr="00A81836">
              <w:rPr>
                <w:sz w:val="12"/>
                <w:szCs w:val="12"/>
              </w:rPr>
              <w:t>2015</w:t>
            </w:r>
          </w:p>
        </w:tc>
        <w:tc>
          <w:tcPr>
            <w:tcW w:w="476" w:type="dxa"/>
            <w:tcBorders>
              <w:top w:val="single" w:sz="4" w:space="0" w:color="auto"/>
              <w:left w:val="nil"/>
              <w:bottom w:val="single" w:sz="4" w:space="0" w:color="auto"/>
              <w:right w:val="nil"/>
            </w:tcBorders>
            <w:shd w:val="clear" w:color="auto" w:fill="9CC2E5"/>
            <w:noWrap/>
            <w:vAlign w:val="bottom"/>
          </w:tcPr>
          <w:p w14:paraId="4426B6CB" w14:textId="77777777" w:rsidR="00F87E58" w:rsidRPr="00A81836" w:rsidRDefault="00F87E58" w:rsidP="00F87E58">
            <w:pPr>
              <w:pStyle w:val="cuadroCabe"/>
              <w:ind w:left="-116"/>
              <w:jc w:val="right"/>
              <w:rPr>
                <w:sz w:val="12"/>
                <w:szCs w:val="12"/>
              </w:rPr>
            </w:pPr>
            <w:r w:rsidRPr="00A81836">
              <w:rPr>
                <w:sz w:val="12"/>
                <w:szCs w:val="12"/>
              </w:rPr>
              <w:t>2016</w:t>
            </w:r>
          </w:p>
        </w:tc>
        <w:tc>
          <w:tcPr>
            <w:tcW w:w="476" w:type="dxa"/>
            <w:tcBorders>
              <w:top w:val="single" w:sz="4" w:space="0" w:color="auto"/>
              <w:left w:val="nil"/>
              <w:bottom w:val="single" w:sz="4" w:space="0" w:color="auto"/>
              <w:right w:val="nil"/>
            </w:tcBorders>
            <w:shd w:val="clear" w:color="auto" w:fill="9CC2E5"/>
            <w:noWrap/>
            <w:vAlign w:val="bottom"/>
          </w:tcPr>
          <w:p w14:paraId="1C3F598C" w14:textId="77777777" w:rsidR="00F87E58" w:rsidRPr="00A81836" w:rsidRDefault="00F87E58" w:rsidP="00F87E58">
            <w:pPr>
              <w:pStyle w:val="cuadroCabe"/>
              <w:ind w:left="-116"/>
              <w:jc w:val="right"/>
              <w:rPr>
                <w:sz w:val="12"/>
                <w:szCs w:val="12"/>
              </w:rPr>
            </w:pPr>
            <w:r w:rsidRPr="00A81836">
              <w:rPr>
                <w:sz w:val="12"/>
                <w:szCs w:val="12"/>
              </w:rPr>
              <w:t>2017</w:t>
            </w:r>
          </w:p>
        </w:tc>
        <w:tc>
          <w:tcPr>
            <w:tcW w:w="476" w:type="dxa"/>
            <w:tcBorders>
              <w:top w:val="single" w:sz="4" w:space="0" w:color="auto"/>
              <w:left w:val="nil"/>
              <w:bottom w:val="single" w:sz="4" w:space="0" w:color="auto"/>
              <w:right w:val="nil"/>
            </w:tcBorders>
            <w:shd w:val="clear" w:color="auto" w:fill="9CC2E5"/>
            <w:noWrap/>
            <w:vAlign w:val="bottom"/>
          </w:tcPr>
          <w:p w14:paraId="455B147E" w14:textId="77777777" w:rsidR="00F87E58" w:rsidRPr="00A81836" w:rsidRDefault="00F87E58" w:rsidP="00F87E58">
            <w:pPr>
              <w:pStyle w:val="cuadroCabe"/>
              <w:ind w:left="-116"/>
              <w:jc w:val="right"/>
              <w:rPr>
                <w:sz w:val="12"/>
                <w:szCs w:val="12"/>
              </w:rPr>
            </w:pPr>
            <w:r w:rsidRPr="00A81836">
              <w:rPr>
                <w:sz w:val="12"/>
                <w:szCs w:val="12"/>
              </w:rPr>
              <w:t>2018</w:t>
            </w:r>
          </w:p>
        </w:tc>
        <w:tc>
          <w:tcPr>
            <w:tcW w:w="476" w:type="dxa"/>
            <w:tcBorders>
              <w:top w:val="single" w:sz="4" w:space="0" w:color="auto"/>
              <w:left w:val="nil"/>
              <w:bottom w:val="single" w:sz="4" w:space="0" w:color="auto"/>
              <w:right w:val="nil"/>
            </w:tcBorders>
            <w:shd w:val="clear" w:color="auto" w:fill="9CC2E5"/>
            <w:noWrap/>
            <w:vAlign w:val="bottom"/>
          </w:tcPr>
          <w:p w14:paraId="522E0E4C" w14:textId="77777777" w:rsidR="00F87E58" w:rsidRPr="00A81836" w:rsidRDefault="00F87E58" w:rsidP="00F87E58">
            <w:pPr>
              <w:pStyle w:val="cuadroCabe"/>
              <w:ind w:left="-116"/>
              <w:jc w:val="right"/>
              <w:rPr>
                <w:sz w:val="12"/>
                <w:szCs w:val="12"/>
              </w:rPr>
            </w:pPr>
            <w:r w:rsidRPr="00A81836">
              <w:rPr>
                <w:sz w:val="12"/>
                <w:szCs w:val="12"/>
              </w:rPr>
              <w:t>2019</w:t>
            </w:r>
          </w:p>
        </w:tc>
        <w:tc>
          <w:tcPr>
            <w:tcW w:w="476" w:type="dxa"/>
            <w:tcBorders>
              <w:top w:val="single" w:sz="4" w:space="0" w:color="auto"/>
              <w:left w:val="nil"/>
              <w:bottom w:val="single" w:sz="4" w:space="0" w:color="auto"/>
              <w:right w:val="nil"/>
            </w:tcBorders>
            <w:shd w:val="clear" w:color="auto" w:fill="9CC2E5"/>
            <w:noWrap/>
            <w:vAlign w:val="bottom"/>
          </w:tcPr>
          <w:p w14:paraId="4BE7625C" w14:textId="77777777" w:rsidR="00F87E58" w:rsidRPr="00A81836" w:rsidRDefault="00F87E58" w:rsidP="00F87E58">
            <w:pPr>
              <w:pStyle w:val="cuadroCabe"/>
              <w:ind w:left="-116"/>
              <w:jc w:val="right"/>
              <w:rPr>
                <w:sz w:val="12"/>
                <w:szCs w:val="12"/>
              </w:rPr>
            </w:pPr>
            <w:r w:rsidRPr="00A81836">
              <w:rPr>
                <w:sz w:val="12"/>
                <w:szCs w:val="12"/>
              </w:rPr>
              <w:t>2020</w:t>
            </w:r>
          </w:p>
        </w:tc>
        <w:tc>
          <w:tcPr>
            <w:tcW w:w="476" w:type="dxa"/>
            <w:tcBorders>
              <w:top w:val="single" w:sz="4" w:space="0" w:color="auto"/>
              <w:left w:val="nil"/>
              <w:bottom w:val="single" w:sz="4" w:space="0" w:color="auto"/>
              <w:right w:val="nil"/>
            </w:tcBorders>
            <w:shd w:val="clear" w:color="auto" w:fill="9CC2E5"/>
            <w:noWrap/>
            <w:vAlign w:val="bottom"/>
          </w:tcPr>
          <w:p w14:paraId="06B53AB8" w14:textId="77777777" w:rsidR="00F87E58" w:rsidRPr="00A81836" w:rsidRDefault="00F87E58" w:rsidP="00F87E58">
            <w:pPr>
              <w:pStyle w:val="cuadroCabe"/>
              <w:ind w:left="-116"/>
              <w:jc w:val="right"/>
              <w:rPr>
                <w:sz w:val="12"/>
                <w:szCs w:val="12"/>
              </w:rPr>
            </w:pPr>
            <w:r w:rsidRPr="00A81836">
              <w:rPr>
                <w:sz w:val="12"/>
                <w:szCs w:val="12"/>
              </w:rPr>
              <w:t>2021</w:t>
            </w:r>
          </w:p>
        </w:tc>
        <w:tc>
          <w:tcPr>
            <w:tcW w:w="476" w:type="dxa"/>
            <w:tcBorders>
              <w:top w:val="single" w:sz="4" w:space="0" w:color="auto"/>
              <w:left w:val="nil"/>
              <w:bottom w:val="single" w:sz="4" w:space="0" w:color="auto"/>
              <w:right w:val="nil"/>
            </w:tcBorders>
            <w:shd w:val="clear" w:color="auto" w:fill="9CC2E5"/>
            <w:noWrap/>
            <w:vAlign w:val="bottom"/>
          </w:tcPr>
          <w:p w14:paraId="719A4968" w14:textId="77777777" w:rsidR="00F87E58" w:rsidRPr="00A81836" w:rsidRDefault="00F87E58" w:rsidP="00F87E58">
            <w:pPr>
              <w:pStyle w:val="cuadroCabe"/>
              <w:ind w:left="-116"/>
              <w:jc w:val="right"/>
              <w:rPr>
                <w:sz w:val="12"/>
                <w:szCs w:val="12"/>
              </w:rPr>
            </w:pPr>
            <w:r w:rsidRPr="00A81836">
              <w:rPr>
                <w:sz w:val="12"/>
                <w:szCs w:val="12"/>
              </w:rPr>
              <w:t>2022</w:t>
            </w:r>
          </w:p>
        </w:tc>
      </w:tr>
      <w:tr w:rsidR="00F87E58" w:rsidRPr="00A81836" w14:paraId="0BB2A163" w14:textId="77777777" w:rsidTr="00321B53">
        <w:trPr>
          <w:trHeight w:val="198"/>
          <w:jc w:val="center"/>
        </w:trPr>
        <w:tc>
          <w:tcPr>
            <w:tcW w:w="1134" w:type="dxa"/>
            <w:tcBorders>
              <w:top w:val="single" w:sz="4" w:space="0" w:color="auto"/>
              <w:bottom w:val="single" w:sz="2" w:space="0" w:color="auto"/>
              <w:right w:val="nil"/>
            </w:tcBorders>
            <w:shd w:val="clear" w:color="auto" w:fill="auto"/>
            <w:noWrap/>
            <w:vAlign w:val="center"/>
          </w:tcPr>
          <w:p w14:paraId="41AA1F17" w14:textId="77777777" w:rsidR="00F87E58" w:rsidRDefault="00F87E58" w:rsidP="00886F83">
            <w:pPr>
              <w:pStyle w:val="cuatexto"/>
              <w:spacing w:line="240" w:lineRule="auto"/>
              <w:jc w:val="left"/>
              <w:rPr>
                <w:sz w:val="12"/>
                <w:szCs w:val="12"/>
              </w:rPr>
            </w:pPr>
            <w:r w:rsidRPr="00A81836">
              <w:rPr>
                <w:sz w:val="12"/>
                <w:szCs w:val="12"/>
              </w:rPr>
              <w:t>Patrimonio Neto</w:t>
            </w:r>
          </w:p>
          <w:p w14:paraId="36778CB9" w14:textId="77777777" w:rsidR="00F87E58" w:rsidRPr="00A81836" w:rsidRDefault="00F87E58" w:rsidP="00886F83">
            <w:pPr>
              <w:pStyle w:val="cuatexto"/>
              <w:spacing w:line="240" w:lineRule="auto"/>
              <w:jc w:val="left"/>
              <w:rPr>
                <w:sz w:val="12"/>
                <w:szCs w:val="12"/>
              </w:rPr>
            </w:pPr>
            <w:r w:rsidRPr="00A81836">
              <w:rPr>
                <w:sz w:val="12"/>
                <w:szCs w:val="12"/>
              </w:rPr>
              <w:t>Parquenasa</w:t>
            </w:r>
          </w:p>
        </w:tc>
        <w:tc>
          <w:tcPr>
            <w:tcW w:w="397" w:type="dxa"/>
            <w:tcBorders>
              <w:top w:val="single" w:sz="4" w:space="0" w:color="auto"/>
              <w:left w:val="nil"/>
              <w:bottom w:val="single" w:sz="2" w:space="0" w:color="auto"/>
              <w:right w:val="nil"/>
            </w:tcBorders>
            <w:shd w:val="clear" w:color="auto" w:fill="auto"/>
            <w:noWrap/>
            <w:vAlign w:val="center"/>
          </w:tcPr>
          <w:p w14:paraId="235E671B" w14:textId="77777777" w:rsidR="00F87E58" w:rsidRPr="00A81836" w:rsidRDefault="00F87E58" w:rsidP="00F87E58">
            <w:pPr>
              <w:pStyle w:val="cuatexto"/>
              <w:ind w:left="-67"/>
              <w:jc w:val="right"/>
              <w:rPr>
                <w:sz w:val="14"/>
                <w:szCs w:val="14"/>
              </w:rPr>
            </w:pPr>
            <w:r w:rsidRPr="00A81836">
              <w:rPr>
                <w:sz w:val="14"/>
                <w:szCs w:val="14"/>
              </w:rPr>
              <w:t>9,00</w:t>
            </w:r>
          </w:p>
        </w:tc>
        <w:tc>
          <w:tcPr>
            <w:tcW w:w="397" w:type="dxa"/>
            <w:tcBorders>
              <w:top w:val="single" w:sz="4" w:space="0" w:color="auto"/>
              <w:left w:val="nil"/>
              <w:bottom w:val="single" w:sz="2" w:space="0" w:color="auto"/>
              <w:right w:val="nil"/>
            </w:tcBorders>
            <w:shd w:val="clear" w:color="auto" w:fill="auto"/>
            <w:noWrap/>
            <w:vAlign w:val="center"/>
          </w:tcPr>
          <w:p w14:paraId="77A63EBD" w14:textId="77777777" w:rsidR="00F87E58" w:rsidRPr="00A81836" w:rsidRDefault="00F87E58" w:rsidP="00F87E58">
            <w:pPr>
              <w:pStyle w:val="cuatexto"/>
              <w:ind w:left="-66"/>
              <w:jc w:val="right"/>
              <w:rPr>
                <w:sz w:val="14"/>
                <w:szCs w:val="14"/>
              </w:rPr>
            </w:pPr>
            <w:r w:rsidRPr="00A81836">
              <w:rPr>
                <w:sz w:val="14"/>
                <w:szCs w:val="14"/>
              </w:rPr>
              <w:t>8,96</w:t>
            </w:r>
          </w:p>
        </w:tc>
        <w:tc>
          <w:tcPr>
            <w:tcW w:w="397" w:type="dxa"/>
            <w:tcBorders>
              <w:top w:val="single" w:sz="4" w:space="0" w:color="auto"/>
              <w:left w:val="nil"/>
              <w:bottom w:val="single" w:sz="2" w:space="0" w:color="auto"/>
              <w:right w:val="nil"/>
            </w:tcBorders>
            <w:shd w:val="clear" w:color="auto" w:fill="auto"/>
            <w:noWrap/>
            <w:vAlign w:val="center"/>
          </w:tcPr>
          <w:p w14:paraId="3FC1C0E3" w14:textId="77777777" w:rsidR="00F87E58" w:rsidRPr="00A81836" w:rsidRDefault="00F87E58" w:rsidP="00F87E58">
            <w:pPr>
              <w:pStyle w:val="cuatexto"/>
              <w:ind w:left="-70"/>
              <w:jc w:val="right"/>
              <w:rPr>
                <w:sz w:val="14"/>
                <w:szCs w:val="14"/>
              </w:rPr>
            </w:pPr>
            <w:r w:rsidRPr="00A81836">
              <w:rPr>
                <w:sz w:val="14"/>
                <w:szCs w:val="14"/>
              </w:rPr>
              <w:t>8,53</w:t>
            </w:r>
          </w:p>
        </w:tc>
        <w:tc>
          <w:tcPr>
            <w:tcW w:w="397" w:type="dxa"/>
            <w:tcBorders>
              <w:top w:val="single" w:sz="4" w:space="0" w:color="auto"/>
              <w:left w:val="nil"/>
              <w:bottom w:val="single" w:sz="2" w:space="0" w:color="auto"/>
              <w:right w:val="nil"/>
            </w:tcBorders>
            <w:shd w:val="clear" w:color="auto" w:fill="auto"/>
            <w:noWrap/>
            <w:vAlign w:val="center"/>
          </w:tcPr>
          <w:p w14:paraId="0711916C" w14:textId="77777777" w:rsidR="00F87E58" w:rsidRPr="00A81836" w:rsidRDefault="00F87E58" w:rsidP="00F87E58">
            <w:pPr>
              <w:pStyle w:val="cuatexto"/>
              <w:ind w:left="-69"/>
              <w:jc w:val="right"/>
              <w:rPr>
                <w:sz w:val="14"/>
                <w:szCs w:val="14"/>
              </w:rPr>
            </w:pPr>
            <w:r w:rsidRPr="00A81836">
              <w:rPr>
                <w:sz w:val="14"/>
                <w:szCs w:val="14"/>
              </w:rPr>
              <w:t>5,95</w:t>
            </w:r>
          </w:p>
        </w:tc>
        <w:tc>
          <w:tcPr>
            <w:tcW w:w="397" w:type="dxa"/>
            <w:tcBorders>
              <w:top w:val="single" w:sz="4" w:space="0" w:color="auto"/>
              <w:left w:val="nil"/>
              <w:bottom w:val="single" w:sz="2" w:space="0" w:color="auto"/>
              <w:right w:val="nil"/>
            </w:tcBorders>
            <w:shd w:val="clear" w:color="auto" w:fill="auto"/>
            <w:noWrap/>
            <w:vAlign w:val="center"/>
          </w:tcPr>
          <w:p w14:paraId="48047E40" w14:textId="77777777" w:rsidR="00F87E58" w:rsidRPr="00A81836" w:rsidRDefault="00F87E58" w:rsidP="00F87E58">
            <w:pPr>
              <w:pStyle w:val="cuatexto"/>
              <w:ind w:left="-66"/>
              <w:jc w:val="right"/>
              <w:rPr>
                <w:sz w:val="14"/>
                <w:szCs w:val="14"/>
              </w:rPr>
            </w:pPr>
            <w:r w:rsidRPr="00A81836">
              <w:rPr>
                <w:sz w:val="14"/>
                <w:szCs w:val="14"/>
              </w:rPr>
              <w:t>1,95</w:t>
            </w:r>
          </w:p>
        </w:tc>
        <w:tc>
          <w:tcPr>
            <w:tcW w:w="468" w:type="dxa"/>
            <w:tcBorders>
              <w:top w:val="single" w:sz="4" w:space="0" w:color="auto"/>
              <w:left w:val="nil"/>
              <w:bottom w:val="single" w:sz="2" w:space="0" w:color="auto"/>
              <w:right w:val="nil"/>
            </w:tcBorders>
            <w:shd w:val="clear" w:color="auto" w:fill="auto"/>
            <w:noWrap/>
            <w:vAlign w:val="center"/>
          </w:tcPr>
          <w:p w14:paraId="6F6C48EB" w14:textId="77777777" w:rsidR="00F87E58" w:rsidRPr="00A81836" w:rsidRDefault="00F87E58" w:rsidP="00F87E58">
            <w:pPr>
              <w:pStyle w:val="cuatexto"/>
              <w:ind w:left="-65"/>
              <w:jc w:val="right"/>
              <w:rPr>
                <w:sz w:val="14"/>
                <w:szCs w:val="14"/>
              </w:rPr>
            </w:pPr>
            <w:r w:rsidRPr="00A81836">
              <w:rPr>
                <w:sz w:val="14"/>
                <w:szCs w:val="14"/>
              </w:rPr>
              <w:t>(2,51)</w:t>
            </w:r>
          </w:p>
        </w:tc>
        <w:tc>
          <w:tcPr>
            <w:tcW w:w="397" w:type="dxa"/>
            <w:tcBorders>
              <w:top w:val="single" w:sz="4" w:space="0" w:color="auto"/>
              <w:left w:val="nil"/>
              <w:bottom w:val="single" w:sz="2" w:space="0" w:color="auto"/>
              <w:right w:val="nil"/>
            </w:tcBorders>
            <w:shd w:val="clear" w:color="auto" w:fill="auto"/>
            <w:noWrap/>
            <w:vAlign w:val="center"/>
          </w:tcPr>
          <w:p w14:paraId="28366040" w14:textId="77777777" w:rsidR="00F87E58" w:rsidRPr="00A81836" w:rsidRDefault="00F87E58" w:rsidP="00F87E58">
            <w:pPr>
              <w:pStyle w:val="cuatexto"/>
              <w:ind w:left="-63"/>
              <w:jc w:val="right"/>
              <w:rPr>
                <w:sz w:val="14"/>
                <w:szCs w:val="14"/>
              </w:rPr>
            </w:pPr>
            <w:r w:rsidRPr="00A81836">
              <w:rPr>
                <w:sz w:val="14"/>
                <w:szCs w:val="14"/>
              </w:rPr>
              <w:t>(6,88)</w:t>
            </w:r>
          </w:p>
        </w:tc>
        <w:tc>
          <w:tcPr>
            <w:tcW w:w="477" w:type="dxa"/>
            <w:tcBorders>
              <w:top w:val="single" w:sz="4" w:space="0" w:color="auto"/>
              <w:left w:val="nil"/>
              <w:bottom w:val="single" w:sz="2" w:space="0" w:color="auto"/>
              <w:right w:val="nil"/>
            </w:tcBorders>
            <w:shd w:val="clear" w:color="auto" w:fill="auto"/>
            <w:noWrap/>
            <w:vAlign w:val="center"/>
          </w:tcPr>
          <w:p w14:paraId="49173AE9" w14:textId="77777777" w:rsidR="00F87E58" w:rsidRPr="00A81836" w:rsidRDefault="00F87E58" w:rsidP="00F87E58">
            <w:pPr>
              <w:pStyle w:val="cuatexto"/>
              <w:ind w:left="-69"/>
              <w:jc w:val="right"/>
              <w:rPr>
                <w:sz w:val="14"/>
                <w:szCs w:val="14"/>
              </w:rPr>
            </w:pPr>
            <w:r w:rsidRPr="00A81836">
              <w:rPr>
                <w:sz w:val="14"/>
                <w:szCs w:val="14"/>
              </w:rPr>
              <w:t>(11,69)</w:t>
            </w:r>
          </w:p>
        </w:tc>
        <w:tc>
          <w:tcPr>
            <w:tcW w:w="476" w:type="dxa"/>
            <w:tcBorders>
              <w:top w:val="single" w:sz="4" w:space="0" w:color="auto"/>
              <w:left w:val="nil"/>
              <w:bottom w:val="single" w:sz="2" w:space="0" w:color="auto"/>
              <w:right w:val="nil"/>
            </w:tcBorders>
            <w:shd w:val="clear" w:color="auto" w:fill="auto"/>
            <w:noWrap/>
            <w:vAlign w:val="center"/>
          </w:tcPr>
          <w:p w14:paraId="1B3BD74F" w14:textId="77777777" w:rsidR="00F87E58" w:rsidRPr="00A81836" w:rsidRDefault="00F87E58" w:rsidP="00F87E58">
            <w:pPr>
              <w:pStyle w:val="cuatexto"/>
              <w:ind w:left="-116"/>
              <w:jc w:val="right"/>
              <w:rPr>
                <w:sz w:val="14"/>
                <w:szCs w:val="14"/>
              </w:rPr>
            </w:pPr>
            <w:r w:rsidRPr="00A81836">
              <w:rPr>
                <w:sz w:val="14"/>
                <w:szCs w:val="14"/>
              </w:rPr>
              <w:t>(15,83)</w:t>
            </w:r>
          </w:p>
        </w:tc>
        <w:tc>
          <w:tcPr>
            <w:tcW w:w="476" w:type="dxa"/>
            <w:tcBorders>
              <w:top w:val="single" w:sz="4" w:space="0" w:color="auto"/>
              <w:left w:val="nil"/>
              <w:bottom w:val="single" w:sz="2" w:space="0" w:color="auto"/>
              <w:right w:val="nil"/>
            </w:tcBorders>
            <w:shd w:val="clear" w:color="auto" w:fill="auto"/>
            <w:noWrap/>
            <w:vAlign w:val="center"/>
          </w:tcPr>
          <w:p w14:paraId="61BFC34B"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(20,13)</w:t>
            </w:r>
          </w:p>
        </w:tc>
        <w:tc>
          <w:tcPr>
            <w:tcW w:w="476" w:type="dxa"/>
            <w:tcBorders>
              <w:top w:val="single" w:sz="4" w:space="0" w:color="auto"/>
              <w:left w:val="nil"/>
              <w:bottom w:val="single" w:sz="2" w:space="0" w:color="auto"/>
              <w:right w:val="nil"/>
            </w:tcBorders>
            <w:shd w:val="clear" w:color="auto" w:fill="auto"/>
            <w:noWrap/>
            <w:vAlign w:val="center"/>
          </w:tcPr>
          <w:p w14:paraId="14B40D09"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(24,17)</w:t>
            </w:r>
          </w:p>
        </w:tc>
        <w:tc>
          <w:tcPr>
            <w:tcW w:w="476" w:type="dxa"/>
            <w:tcBorders>
              <w:top w:val="single" w:sz="4" w:space="0" w:color="auto"/>
              <w:left w:val="nil"/>
              <w:bottom w:val="single" w:sz="2" w:space="0" w:color="auto"/>
              <w:right w:val="nil"/>
            </w:tcBorders>
            <w:shd w:val="clear" w:color="auto" w:fill="auto"/>
            <w:noWrap/>
            <w:vAlign w:val="center"/>
          </w:tcPr>
          <w:p w14:paraId="5A64BE40"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(28,22)</w:t>
            </w:r>
          </w:p>
        </w:tc>
        <w:tc>
          <w:tcPr>
            <w:tcW w:w="476" w:type="dxa"/>
            <w:tcBorders>
              <w:top w:val="single" w:sz="4" w:space="0" w:color="auto"/>
              <w:left w:val="nil"/>
              <w:bottom w:val="single" w:sz="2" w:space="0" w:color="auto"/>
              <w:right w:val="nil"/>
            </w:tcBorders>
            <w:shd w:val="clear" w:color="auto" w:fill="auto"/>
            <w:noWrap/>
            <w:vAlign w:val="center"/>
          </w:tcPr>
          <w:p w14:paraId="65E38EFD"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(32,02)</w:t>
            </w:r>
          </w:p>
        </w:tc>
        <w:tc>
          <w:tcPr>
            <w:tcW w:w="476" w:type="dxa"/>
            <w:tcBorders>
              <w:top w:val="single" w:sz="4" w:space="0" w:color="auto"/>
              <w:left w:val="nil"/>
              <w:bottom w:val="single" w:sz="2" w:space="0" w:color="auto"/>
              <w:right w:val="nil"/>
            </w:tcBorders>
            <w:shd w:val="clear" w:color="auto" w:fill="auto"/>
            <w:noWrap/>
            <w:vAlign w:val="center"/>
          </w:tcPr>
          <w:p w14:paraId="65F175C5"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(34,88)</w:t>
            </w:r>
          </w:p>
        </w:tc>
        <w:tc>
          <w:tcPr>
            <w:tcW w:w="476" w:type="dxa"/>
            <w:tcBorders>
              <w:top w:val="single" w:sz="4" w:space="0" w:color="auto"/>
              <w:left w:val="nil"/>
              <w:bottom w:val="single" w:sz="2" w:space="0" w:color="auto"/>
              <w:right w:val="nil"/>
            </w:tcBorders>
            <w:shd w:val="clear" w:color="auto" w:fill="auto"/>
            <w:noWrap/>
            <w:vAlign w:val="center"/>
          </w:tcPr>
          <w:p w14:paraId="7B3FFC0D"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(37,80)</w:t>
            </w:r>
          </w:p>
        </w:tc>
        <w:tc>
          <w:tcPr>
            <w:tcW w:w="476" w:type="dxa"/>
            <w:tcBorders>
              <w:top w:val="single" w:sz="4" w:space="0" w:color="auto"/>
              <w:left w:val="nil"/>
              <w:bottom w:val="single" w:sz="2" w:space="0" w:color="auto"/>
              <w:right w:val="nil"/>
            </w:tcBorders>
            <w:shd w:val="clear" w:color="auto" w:fill="auto"/>
            <w:noWrap/>
            <w:vAlign w:val="center"/>
          </w:tcPr>
          <w:p w14:paraId="60B577BB"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(40,31)</w:t>
            </w:r>
          </w:p>
        </w:tc>
        <w:tc>
          <w:tcPr>
            <w:tcW w:w="476" w:type="dxa"/>
            <w:tcBorders>
              <w:top w:val="single" w:sz="4" w:space="0" w:color="auto"/>
              <w:left w:val="nil"/>
              <w:bottom w:val="single" w:sz="2" w:space="0" w:color="auto"/>
              <w:right w:val="nil"/>
            </w:tcBorders>
            <w:shd w:val="clear" w:color="auto" w:fill="auto"/>
            <w:noWrap/>
            <w:vAlign w:val="center"/>
          </w:tcPr>
          <w:p w14:paraId="2CBF2843"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(42,85)</w:t>
            </w:r>
          </w:p>
        </w:tc>
        <w:tc>
          <w:tcPr>
            <w:tcW w:w="476" w:type="dxa"/>
            <w:tcBorders>
              <w:top w:val="single" w:sz="4" w:space="0" w:color="auto"/>
              <w:left w:val="nil"/>
              <w:bottom w:val="single" w:sz="2" w:space="0" w:color="auto"/>
              <w:right w:val="nil"/>
            </w:tcBorders>
            <w:shd w:val="clear" w:color="auto" w:fill="auto"/>
            <w:noWrap/>
            <w:vAlign w:val="center"/>
          </w:tcPr>
          <w:p w14:paraId="3C785853"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(45,29)</w:t>
            </w:r>
          </w:p>
        </w:tc>
        <w:tc>
          <w:tcPr>
            <w:tcW w:w="476" w:type="dxa"/>
            <w:tcBorders>
              <w:top w:val="single" w:sz="4" w:space="0" w:color="auto"/>
              <w:left w:val="nil"/>
              <w:bottom w:val="single" w:sz="2" w:space="0" w:color="auto"/>
              <w:right w:val="nil"/>
            </w:tcBorders>
            <w:shd w:val="clear" w:color="auto" w:fill="auto"/>
            <w:noWrap/>
            <w:vAlign w:val="center"/>
          </w:tcPr>
          <w:p w14:paraId="6FE134A7"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(47,98)</w:t>
            </w:r>
          </w:p>
        </w:tc>
        <w:tc>
          <w:tcPr>
            <w:tcW w:w="476" w:type="dxa"/>
            <w:tcBorders>
              <w:top w:val="single" w:sz="4" w:space="0" w:color="auto"/>
              <w:left w:val="nil"/>
              <w:bottom w:val="single" w:sz="2" w:space="0" w:color="auto"/>
              <w:right w:val="nil"/>
            </w:tcBorders>
            <w:shd w:val="clear" w:color="auto" w:fill="auto"/>
            <w:noWrap/>
            <w:vAlign w:val="center"/>
          </w:tcPr>
          <w:p w14:paraId="2DADD5F7"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(51,32)</w:t>
            </w:r>
          </w:p>
        </w:tc>
        <w:tc>
          <w:tcPr>
            <w:tcW w:w="476" w:type="dxa"/>
            <w:tcBorders>
              <w:top w:val="single" w:sz="4" w:space="0" w:color="auto"/>
              <w:left w:val="nil"/>
              <w:bottom w:val="single" w:sz="2" w:space="0" w:color="auto"/>
              <w:right w:val="nil"/>
            </w:tcBorders>
            <w:shd w:val="clear" w:color="auto" w:fill="auto"/>
            <w:noWrap/>
            <w:vAlign w:val="center"/>
          </w:tcPr>
          <w:p w14:paraId="00F642C5"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(53,32)</w:t>
            </w:r>
          </w:p>
        </w:tc>
        <w:tc>
          <w:tcPr>
            <w:tcW w:w="476" w:type="dxa"/>
            <w:tcBorders>
              <w:top w:val="single" w:sz="4" w:space="0" w:color="auto"/>
              <w:left w:val="nil"/>
              <w:bottom w:val="single" w:sz="2" w:space="0" w:color="auto"/>
              <w:right w:val="nil"/>
            </w:tcBorders>
            <w:shd w:val="clear" w:color="auto" w:fill="auto"/>
            <w:noWrap/>
            <w:vAlign w:val="center"/>
          </w:tcPr>
          <w:p w14:paraId="026C3179"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(55,53)</w:t>
            </w:r>
          </w:p>
        </w:tc>
      </w:tr>
      <w:tr w:rsidR="00F87E58" w:rsidRPr="00A81836" w14:paraId="4BC87517" w14:textId="77777777" w:rsidTr="00321B53">
        <w:trPr>
          <w:trHeight w:val="198"/>
          <w:jc w:val="center"/>
        </w:trPr>
        <w:tc>
          <w:tcPr>
            <w:tcW w:w="1134" w:type="dxa"/>
            <w:tcBorders>
              <w:top w:val="single" w:sz="2" w:space="0" w:color="auto"/>
              <w:bottom w:val="single" w:sz="2" w:space="0" w:color="auto"/>
              <w:right w:val="nil"/>
            </w:tcBorders>
            <w:shd w:val="clear" w:color="auto" w:fill="auto"/>
            <w:noWrap/>
            <w:vAlign w:val="bottom"/>
          </w:tcPr>
          <w:p w14:paraId="5EE61B4E" w14:textId="77777777" w:rsidR="00F87E58" w:rsidRPr="00A81836" w:rsidRDefault="00F87E58" w:rsidP="00886F83">
            <w:pPr>
              <w:pStyle w:val="cuatexto"/>
              <w:spacing w:line="240" w:lineRule="auto"/>
              <w:jc w:val="left"/>
              <w:rPr>
                <w:sz w:val="12"/>
                <w:szCs w:val="12"/>
              </w:rPr>
            </w:pPr>
            <w:r w:rsidRPr="00A81836">
              <w:rPr>
                <w:sz w:val="12"/>
                <w:szCs w:val="12"/>
              </w:rPr>
              <w:t>Importe anual préstamos participativos</w:t>
            </w:r>
          </w:p>
        </w:tc>
        <w:tc>
          <w:tcPr>
            <w:tcW w:w="397" w:type="dxa"/>
            <w:tcBorders>
              <w:top w:val="single" w:sz="2" w:space="0" w:color="auto"/>
              <w:left w:val="nil"/>
              <w:bottom w:val="single" w:sz="2" w:space="0" w:color="auto"/>
              <w:right w:val="nil"/>
            </w:tcBorders>
            <w:shd w:val="clear" w:color="auto" w:fill="auto"/>
            <w:noWrap/>
            <w:vAlign w:val="center"/>
          </w:tcPr>
          <w:p w14:paraId="3CB263B6" w14:textId="77777777" w:rsidR="00F87E58" w:rsidRPr="00A81836" w:rsidRDefault="00F87E58" w:rsidP="00F87E58">
            <w:pPr>
              <w:pStyle w:val="cuatexto"/>
              <w:ind w:left="-67"/>
              <w:jc w:val="right"/>
              <w:rPr>
                <w:sz w:val="14"/>
                <w:szCs w:val="14"/>
              </w:rPr>
            </w:pPr>
            <w:r w:rsidRPr="00A81836">
              <w:rPr>
                <w:sz w:val="14"/>
                <w:szCs w:val="14"/>
              </w:rPr>
              <w:t>0,00</w:t>
            </w:r>
          </w:p>
        </w:tc>
        <w:tc>
          <w:tcPr>
            <w:tcW w:w="397" w:type="dxa"/>
            <w:tcBorders>
              <w:top w:val="single" w:sz="2" w:space="0" w:color="auto"/>
              <w:left w:val="nil"/>
              <w:bottom w:val="single" w:sz="2" w:space="0" w:color="auto"/>
              <w:right w:val="nil"/>
            </w:tcBorders>
            <w:shd w:val="clear" w:color="auto" w:fill="auto"/>
            <w:noWrap/>
            <w:vAlign w:val="center"/>
          </w:tcPr>
          <w:p w14:paraId="22A81ED3" w14:textId="77777777" w:rsidR="00F87E58" w:rsidRPr="00A81836" w:rsidRDefault="00F87E58" w:rsidP="00F87E58">
            <w:pPr>
              <w:pStyle w:val="cuatexto"/>
              <w:ind w:left="-66"/>
              <w:jc w:val="right"/>
              <w:rPr>
                <w:sz w:val="14"/>
                <w:szCs w:val="14"/>
              </w:rPr>
            </w:pPr>
            <w:r w:rsidRPr="00A81836">
              <w:rPr>
                <w:sz w:val="14"/>
                <w:szCs w:val="14"/>
              </w:rPr>
              <w:t>0,00</w:t>
            </w:r>
          </w:p>
        </w:tc>
        <w:tc>
          <w:tcPr>
            <w:tcW w:w="397" w:type="dxa"/>
            <w:tcBorders>
              <w:top w:val="single" w:sz="2" w:space="0" w:color="auto"/>
              <w:left w:val="nil"/>
              <w:bottom w:val="single" w:sz="2" w:space="0" w:color="auto"/>
              <w:right w:val="nil"/>
            </w:tcBorders>
            <w:shd w:val="clear" w:color="auto" w:fill="auto"/>
            <w:noWrap/>
            <w:vAlign w:val="center"/>
          </w:tcPr>
          <w:p w14:paraId="26B35919" w14:textId="77777777" w:rsidR="00F87E58" w:rsidRPr="00A81836" w:rsidRDefault="00F87E58" w:rsidP="00F87E58">
            <w:pPr>
              <w:pStyle w:val="cuatexto"/>
              <w:ind w:left="-70"/>
              <w:jc w:val="right"/>
              <w:rPr>
                <w:sz w:val="14"/>
                <w:szCs w:val="14"/>
              </w:rPr>
            </w:pPr>
            <w:r w:rsidRPr="00A81836">
              <w:rPr>
                <w:sz w:val="14"/>
                <w:szCs w:val="14"/>
              </w:rPr>
              <w:t>0,00</w:t>
            </w:r>
          </w:p>
        </w:tc>
        <w:tc>
          <w:tcPr>
            <w:tcW w:w="397" w:type="dxa"/>
            <w:tcBorders>
              <w:top w:val="single" w:sz="2" w:space="0" w:color="auto"/>
              <w:left w:val="nil"/>
              <w:bottom w:val="single" w:sz="2" w:space="0" w:color="auto"/>
              <w:right w:val="nil"/>
            </w:tcBorders>
            <w:shd w:val="clear" w:color="auto" w:fill="auto"/>
            <w:noWrap/>
            <w:vAlign w:val="center"/>
          </w:tcPr>
          <w:p w14:paraId="496DE2C2" w14:textId="77777777" w:rsidR="00F87E58" w:rsidRPr="00A81836" w:rsidRDefault="00F87E58" w:rsidP="00F87E58">
            <w:pPr>
              <w:pStyle w:val="cuatexto"/>
              <w:ind w:left="-69"/>
              <w:jc w:val="right"/>
              <w:rPr>
                <w:sz w:val="14"/>
                <w:szCs w:val="14"/>
              </w:rPr>
            </w:pPr>
            <w:r w:rsidRPr="00A81836">
              <w:rPr>
                <w:sz w:val="14"/>
                <w:szCs w:val="14"/>
              </w:rPr>
              <w:t>0,00</w:t>
            </w:r>
          </w:p>
        </w:tc>
        <w:tc>
          <w:tcPr>
            <w:tcW w:w="397" w:type="dxa"/>
            <w:tcBorders>
              <w:top w:val="single" w:sz="2" w:space="0" w:color="auto"/>
              <w:left w:val="nil"/>
              <w:bottom w:val="single" w:sz="2" w:space="0" w:color="auto"/>
              <w:right w:val="nil"/>
            </w:tcBorders>
            <w:shd w:val="clear" w:color="auto" w:fill="auto"/>
            <w:noWrap/>
            <w:vAlign w:val="center"/>
          </w:tcPr>
          <w:p w14:paraId="17A0FBAE" w14:textId="77777777" w:rsidR="00F87E58" w:rsidRPr="00A81836" w:rsidRDefault="00F87E58" w:rsidP="00F87E58">
            <w:pPr>
              <w:pStyle w:val="cuatexto"/>
              <w:ind w:left="-66"/>
              <w:jc w:val="right"/>
              <w:rPr>
                <w:sz w:val="14"/>
                <w:szCs w:val="14"/>
              </w:rPr>
            </w:pPr>
            <w:r w:rsidRPr="00A81836">
              <w:rPr>
                <w:sz w:val="14"/>
                <w:szCs w:val="14"/>
              </w:rPr>
              <w:t>0,00</w:t>
            </w:r>
          </w:p>
        </w:tc>
        <w:tc>
          <w:tcPr>
            <w:tcW w:w="468" w:type="dxa"/>
            <w:tcBorders>
              <w:top w:val="single" w:sz="2" w:space="0" w:color="auto"/>
              <w:left w:val="nil"/>
              <w:bottom w:val="single" w:sz="2" w:space="0" w:color="auto"/>
              <w:right w:val="nil"/>
            </w:tcBorders>
            <w:shd w:val="clear" w:color="auto" w:fill="auto"/>
            <w:noWrap/>
            <w:vAlign w:val="center"/>
          </w:tcPr>
          <w:p w14:paraId="15E3F577" w14:textId="77777777" w:rsidR="00F87E58" w:rsidRPr="00A81836" w:rsidRDefault="00F87E58" w:rsidP="00F87E58">
            <w:pPr>
              <w:pStyle w:val="cuatexto"/>
              <w:ind w:left="-65"/>
              <w:jc w:val="right"/>
              <w:rPr>
                <w:sz w:val="14"/>
                <w:szCs w:val="14"/>
              </w:rPr>
            </w:pPr>
            <w:r w:rsidRPr="00A81836">
              <w:rPr>
                <w:sz w:val="14"/>
                <w:szCs w:val="14"/>
              </w:rPr>
              <w:t>4,30</w:t>
            </w:r>
          </w:p>
        </w:tc>
        <w:tc>
          <w:tcPr>
            <w:tcW w:w="397" w:type="dxa"/>
            <w:tcBorders>
              <w:top w:val="single" w:sz="2" w:space="0" w:color="auto"/>
              <w:left w:val="nil"/>
              <w:bottom w:val="single" w:sz="2" w:space="0" w:color="auto"/>
              <w:right w:val="nil"/>
            </w:tcBorders>
            <w:shd w:val="clear" w:color="auto" w:fill="auto"/>
            <w:noWrap/>
            <w:vAlign w:val="center"/>
          </w:tcPr>
          <w:p w14:paraId="654C92FF" w14:textId="77777777" w:rsidR="00F87E58" w:rsidRPr="00A81836" w:rsidRDefault="00F87E58" w:rsidP="00F87E58">
            <w:pPr>
              <w:pStyle w:val="cuatexto"/>
              <w:ind w:left="-63"/>
              <w:jc w:val="right"/>
              <w:rPr>
                <w:sz w:val="14"/>
                <w:szCs w:val="14"/>
              </w:rPr>
            </w:pPr>
            <w:r w:rsidRPr="00A81836">
              <w:rPr>
                <w:sz w:val="14"/>
                <w:szCs w:val="14"/>
              </w:rPr>
              <w:t>4,40</w:t>
            </w:r>
          </w:p>
        </w:tc>
        <w:tc>
          <w:tcPr>
            <w:tcW w:w="477" w:type="dxa"/>
            <w:tcBorders>
              <w:top w:val="single" w:sz="2" w:space="0" w:color="auto"/>
              <w:left w:val="nil"/>
              <w:bottom w:val="single" w:sz="2" w:space="0" w:color="auto"/>
              <w:right w:val="nil"/>
            </w:tcBorders>
            <w:shd w:val="clear" w:color="auto" w:fill="auto"/>
            <w:noWrap/>
            <w:vAlign w:val="center"/>
          </w:tcPr>
          <w:p w14:paraId="45B02664" w14:textId="77777777" w:rsidR="00F87E58" w:rsidRPr="00A81836" w:rsidRDefault="00F87E58" w:rsidP="00F87E58">
            <w:pPr>
              <w:pStyle w:val="cuatexto"/>
              <w:ind w:left="-69"/>
              <w:jc w:val="right"/>
              <w:rPr>
                <w:sz w:val="14"/>
                <w:szCs w:val="14"/>
              </w:rPr>
            </w:pPr>
            <w:r w:rsidRPr="00A81836">
              <w:rPr>
                <w:sz w:val="14"/>
                <w:szCs w:val="14"/>
              </w:rPr>
              <w:t>4,20</w:t>
            </w:r>
          </w:p>
        </w:tc>
        <w:tc>
          <w:tcPr>
            <w:tcW w:w="476" w:type="dxa"/>
            <w:tcBorders>
              <w:top w:val="single" w:sz="2" w:space="0" w:color="auto"/>
              <w:left w:val="nil"/>
              <w:bottom w:val="single" w:sz="2" w:space="0" w:color="auto"/>
              <w:right w:val="nil"/>
            </w:tcBorders>
            <w:shd w:val="clear" w:color="auto" w:fill="auto"/>
            <w:noWrap/>
            <w:vAlign w:val="center"/>
          </w:tcPr>
          <w:p w14:paraId="11BD976F" w14:textId="77777777" w:rsidR="00F87E58" w:rsidRPr="00A81836" w:rsidRDefault="00F87E58" w:rsidP="00F87E58">
            <w:pPr>
              <w:pStyle w:val="cuatexto"/>
              <w:ind w:left="-116"/>
              <w:jc w:val="right"/>
              <w:rPr>
                <w:sz w:val="14"/>
                <w:szCs w:val="14"/>
              </w:rPr>
            </w:pPr>
            <w:r w:rsidRPr="00A81836">
              <w:rPr>
                <w:sz w:val="14"/>
                <w:szCs w:val="14"/>
              </w:rPr>
              <w:t>3,85</w:t>
            </w:r>
          </w:p>
        </w:tc>
        <w:tc>
          <w:tcPr>
            <w:tcW w:w="476" w:type="dxa"/>
            <w:tcBorders>
              <w:top w:val="single" w:sz="2" w:space="0" w:color="auto"/>
              <w:left w:val="nil"/>
              <w:bottom w:val="single" w:sz="2" w:space="0" w:color="auto"/>
              <w:right w:val="nil"/>
            </w:tcBorders>
            <w:shd w:val="clear" w:color="auto" w:fill="auto"/>
            <w:noWrap/>
            <w:vAlign w:val="center"/>
          </w:tcPr>
          <w:p w14:paraId="31672D48"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4,30</w:t>
            </w:r>
          </w:p>
        </w:tc>
        <w:tc>
          <w:tcPr>
            <w:tcW w:w="476" w:type="dxa"/>
            <w:tcBorders>
              <w:top w:val="single" w:sz="2" w:space="0" w:color="auto"/>
              <w:left w:val="nil"/>
              <w:bottom w:val="single" w:sz="2" w:space="0" w:color="auto"/>
              <w:right w:val="nil"/>
            </w:tcBorders>
            <w:shd w:val="clear" w:color="auto" w:fill="auto"/>
            <w:noWrap/>
            <w:vAlign w:val="center"/>
          </w:tcPr>
          <w:p w14:paraId="5E40E039"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4,33</w:t>
            </w:r>
          </w:p>
        </w:tc>
        <w:tc>
          <w:tcPr>
            <w:tcW w:w="476" w:type="dxa"/>
            <w:tcBorders>
              <w:top w:val="single" w:sz="2" w:space="0" w:color="auto"/>
              <w:left w:val="nil"/>
              <w:bottom w:val="single" w:sz="2" w:space="0" w:color="auto"/>
              <w:right w:val="nil"/>
            </w:tcBorders>
            <w:shd w:val="clear" w:color="auto" w:fill="auto"/>
            <w:noWrap/>
            <w:vAlign w:val="center"/>
          </w:tcPr>
          <w:p w14:paraId="79E6C5F7"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4,05</w:t>
            </w:r>
          </w:p>
        </w:tc>
        <w:tc>
          <w:tcPr>
            <w:tcW w:w="476" w:type="dxa"/>
            <w:tcBorders>
              <w:top w:val="single" w:sz="2" w:space="0" w:color="auto"/>
              <w:left w:val="nil"/>
              <w:bottom w:val="single" w:sz="2" w:space="0" w:color="auto"/>
              <w:right w:val="nil"/>
            </w:tcBorders>
            <w:shd w:val="clear" w:color="auto" w:fill="auto"/>
            <w:noWrap/>
            <w:vAlign w:val="center"/>
          </w:tcPr>
          <w:p w14:paraId="25459E13"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3,75</w:t>
            </w:r>
          </w:p>
        </w:tc>
        <w:tc>
          <w:tcPr>
            <w:tcW w:w="476" w:type="dxa"/>
            <w:tcBorders>
              <w:top w:val="single" w:sz="2" w:space="0" w:color="auto"/>
              <w:left w:val="nil"/>
              <w:bottom w:val="single" w:sz="2" w:space="0" w:color="auto"/>
              <w:right w:val="nil"/>
            </w:tcBorders>
            <w:shd w:val="clear" w:color="auto" w:fill="auto"/>
            <w:noWrap/>
            <w:vAlign w:val="center"/>
          </w:tcPr>
          <w:p w14:paraId="7ACE16CA"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3,00</w:t>
            </w:r>
          </w:p>
        </w:tc>
        <w:tc>
          <w:tcPr>
            <w:tcW w:w="476" w:type="dxa"/>
            <w:tcBorders>
              <w:top w:val="single" w:sz="2" w:space="0" w:color="auto"/>
              <w:left w:val="nil"/>
              <w:bottom w:val="single" w:sz="2" w:space="0" w:color="auto"/>
              <w:right w:val="nil"/>
            </w:tcBorders>
            <w:shd w:val="clear" w:color="auto" w:fill="auto"/>
            <w:noWrap/>
            <w:vAlign w:val="center"/>
          </w:tcPr>
          <w:p w14:paraId="4F4D460F"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2,90</w:t>
            </w:r>
          </w:p>
        </w:tc>
        <w:tc>
          <w:tcPr>
            <w:tcW w:w="476" w:type="dxa"/>
            <w:tcBorders>
              <w:top w:val="single" w:sz="2" w:space="0" w:color="auto"/>
              <w:left w:val="nil"/>
              <w:bottom w:val="single" w:sz="2" w:space="0" w:color="auto"/>
              <w:right w:val="nil"/>
            </w:tcBorders>
            <w:shd w:val="clear" w:color="auto" w:fill="auto"/>
            <w:noWrap/>
            <w:vAlign w:val="center"/>
          </w:tcPr>
          <w:p w14:paraId="62857EE5"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2,50</w:t>
            </w:r>
          </w:p>
        </w:tc>
        <w:tc>
          <w:tcPr>
            <w:tcW w:w="476" w:type="dxa"/>
            <w:tcBorders>
              <w:top w:val="single" w:sz="2" w:space="0" w:color="auto"/>
              <w:left w:val="nil"/>
              <w:bottom w:val="single" w:sz="2" w:space="0" w:color="auto"/>
              <w:right w:val="nil"/>
            </w:tcBorders>
            <w:shd w:val="clear" w:color="auto" w:fill="auto"/>
            <w:noWrap/>
            <w:vAlign w:val="center"/>
          </w:tcPr>
          <w:p w14:paraId="3662020A"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2,50</w:t>
            </w:r>
          </w:p>
        </w:tc>
        <w:tc>
          <w:tcPr>
            <w:tcW w:w="476" w:type="dxa"/>
            <w:tcBorders>
              <w:top w:val="single" w:sz="2" w:space="0" w:color="auto"/>
              <w:left w:val="nil"/>
              <w:bottom w:val="single" w:sz="2" w:space="0" w:color="auto"/>
              <w:right w:val="nil"/>
            </w:tcBorders>
            <w:shd w:val="clear" w:color="auto" w:fill="auto"/>
            <w:noWrap/>
            <w:vAlign w:val="center"/>
          </w:tcPr>
          <w:p w14:paraId="68F51438"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2,45</w:t>
            </w:r>
          </w:p>
        </w:tc>
        <w:tc>
          <w:tcPr>
            <w:tcW w:w="476" w:type="dxa"/>
            <w:tcBorders>
              <w:top w:val="single" w:sz="2" w:space="0" w:color="auto"/>
              <w:left w:val="nil"/>
              <w:bottom w:val="single" w:sz="2" w:space="0" w:color="auto"/>
              <w:right w:val="nil"/>
            </w:tcBorders>
            <w:shd w:val="clear" w:color="auto" w:fill="auto"/>
            <w:noWrap/>
            <w:vAlign w:val="center"/>
          </w:tcPr>
          <w:p w14:paraId="1D159957"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2,70</w:t>
            </w:r>
          </w:p>
        </w:tc>
        <w:tc>
          <w:tcPr>
            <w:tcW w:w="476" w:type="dxa"/>
            <w:tcBorders>
              <w:top w:val="single" w:sz="2" w:space="0" w:color="auto"/>
              <w:left w:val="nil"/>
              <w:bottom w:val="single" w:sz="2" w:space="0" w:color="auto"/>
              <w:right w:val="nil"/>
            </w:tcBorders>
            <w:shd w:val="clear" w:color="auto" w:fill="auto"/>
            <w:noWrap/>
            <w:vAlign w:val="center"/>
          </w:tcPr>
          <w:p w14:paraId="60A84EC8"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3,35</w:t>
            </w:r>
          </w:p>
        </w:tc>
        <w:tc>
          <w:tcPr>
            <w:tcW w:w="476" w:type="dxa"/>
            <w:tcBorders>
              <w:top w:val="single" w:sz="2" w:space="0" w:color="auto"/>
              <w:left w:val="nil"/>
              <w:bottom w:val="single" w:sz="2" w:space="0" w:color="auto"/>
              <w:right w:val="nil"/>
            </w:tcBorders>
            <w:shd w:val="clear" w:color="auto" w:fill="auto"/>
            <w:noWrap/>
            <w:vAlign w:val="center"/>
          </w:tcPr>
          <w:p w14:paraId="33E346FE"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2,00</w:t>
            </w:r>
          </w:p>
        </w:tc>
        <w:tc>
          <w:tcPr>
            <w:tcW w:w="476" w:type="dxa"/>
            <w:tcBorders>
              <w:top w:val="single" w:sz="2" w:space="0" w:color="auto"/>
              <w:left w:val="nil"/>
              <w:bottom w:val="single" w:sz="2" w:space="0" w:color="auto"/>
              <w:right w:val="nil"/>
            </w:tcBorders>
            <w:shd w:val="clear" w:color="auto" w:fill="auto"/>
            <w:noWrap/>
            <w:vAlign w:val="center"/>
          </w:tcPr>
          <w:p w14:paraId="31274D2D"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2,22</w:t>
            </w:r>
          </w:p>
        </w:tc>
      </w:tr>
      <w:tr w:rsidR="00F87E58" w:rsidRPr="00A81836" w14:paraId="11AC6C49" w14:textId="77777777" w:rsidTr="00321B53">
        <w:trPr>
          <w:trHeight w:val="198"/>
          <w:jc w:val="center"/>
        </w:trPr>
        <w:tc>
          <w:tcPr>
            <w:tcW w:w="1134" w:type="dxa"/>
            <w:tcBorders>
              <w:top w:val="single" w:sz="2" w:space="0" w:color="auto"/>
              <w:bottom w:val="single" w:sz="4" w:space="0" w:color="auto"/>
              <w:right w:val="nil"/>
            </w:tcBorders>
            <w:shd w:val="clear" w:color="auto" w:fill="auto"/>
            <w:noWrap/>
            <w:vAlign w:val="bottom"/>
          </w:tcPr>
          <w:p w14:paraId="6440C09B" w14:textId="77777777" w:rsidR="00F87E58" w:rsidRDefault="00F87E58" w:rsidP="00886F83">
            <w:pPr>
              <w:pStyle w:val="cuatexto"/>
              <w:spacing w:line="240" w:lineRule="auto"/>
              <w:jc w:val="left"/>
              <w:rPr>
                <w:sz w:val="12"/>
                <w:szCs w:val="12"/>
              </w:rPr>
            </w:pPr>
            <w:r w:rsidRPr="00A81836">
              <w:rPr>
                <w:sz w:val="12"/>
                <w:szCs w:val="12"/>
              </w:rPr>
              <w:t>Importe acumulado préstamos</w:t>
            </w:r>
          </w:p>
          <w:p w14:paraId="2329DE91" w14:textId="77777777" w:rsidR="00F87E58" w:rsidRPr="00A81836" w:rsidRDefault="00F87E58" w:rsidP="00886F83">
            <w:pPr>
              <w:pStyle w:val="cuatexto"/>
              <w:spacing w:line="240" w:lineRule="auto"/>
              <w:jc w:val="left"/>
              <w:rPr>
                <w:sz w:val="12"/>
                <w:szCs w:val="12"/>
              </w:rPr>
            </w:pPr>
            <w:r w:rsidRPr="00A81836">
              <w:rPr>
                <w:sz w:val="12"/>
                <w:szCs w:val="12"/>
              </w:rPr>
              <w:t xml:space="preserve">participativos </w:t>
            </w:r>
          </w:p>
        </w:tc>
        <w:tc>
          <w:tcPr>
            <w:tcW w:w="397" w:type="dxa"/>
            <w:tcBorders>
              <w:top w:val="single" w:sz="2" w:space="0" w:color="auto"/>
              <w:left w:val="nil"/>
              <w:bottom w:val="single" w:sz="4" w:space="0" w:color="auto"/>
              <w:right w:val="nil"/>
            </w:tcBorders>
            <w:shd w:val="clear" w:color="auto" w:fill="auto"/>
            <w:noWrap/>
            <w:vAlign w:val="center"/>
          </w:tcPr>
          <w:p w14:paraId="184C1581" w14:textId="77777777" w:rsidR="00F87E58" w:rsidRPr="00A81836" w:rsidRDefault="00F87E58" w:rsidP="00F87E58">
            <w:pPr>
              <w:pStyle w:val="cuatexto"/>
              <w:ind w:left="-67"/>
              <w:jc w:val="right"/>
              <w:rPr>
                <w:sz w:val="14"/>
                <w:szCs w:val="14"/>
              </w:rPr>
            </w:pPr>
            <w:r w:rsidRPr="00A81836">
              <w:rPr>
                <w:sz w:val="14"/>
                <w:szCs w:val="14"/>
              </w:rPr>
              <w:t>0,00</w:t>
            </w:r>
          </w:p>
        </w:tc>
        <w:tc>
          <w:tcPr>
            <w:tcW w:w="397" w:type="dxa"/>
            <w:tcBorders>
              <w:top w:val="single" w:sz="2" w:space="0" w:color="auto"/>
              <w:left w:val="nil"/>
              <w:bottom w:val="single" w:sz="4" w:space="0" w:color="auto"/>
              <w:right w:val="nil"/>
            </w:tcBorders>
            <w:shd w:val="clear" w:color="auto" w:fill="auto"/>
            <w:noWrap/>
            <w:vAlign w:val="center"/>
          </w:tcPr>
          <w:p w14:paraId="39E1AB83" w14:textId="77777777" w:rsidR="00F87E58" w:rsidRPr="00A81836" w:rsidRDefault="00F87E58" w:rsidP="00F87E58">
            <w:pPr>
              <w:pStyle w:val="cuatexto"/>
              <w:ind w:left="-66"/>
              <w:jc w:val="right"/>
              <w:rPr>
                <w:sz w:val="14"/>
                <w:szCs w:val="14"/>
              </w:rPr>
            </w:pPr>
            <w:r w:rsidRPr="00A81836">
              <w:rPr>
                <w:sz w:val="14"/>
                <w:szCs w:val="14"/>
              </w:rPr>
              <w:t>0,00</w:t>
            </w:r>
          </w:p>
        </w:tc>
        <w:tc>
          <w:tcPr>
            <w:tcW w:w="397" w:type="dxa"/>
            <w:tcBorders>
              <w:top w:val="single" w:sz="2" w:space="0" w:color="auto"/>
              <w:left w:val="nil"/>
              <w:bottom w:val="single" w:sz="4" w:space="0" w:color="auto"/>
              <w:right w:val="nil"/>
            </w:tcBorders>
            <w:shd w:val="clear" w:color="auto" w:fill="auto"/>
            <w:noWrap/>
            <w:vAlign w:val="center"/>
          </w:tcPr>
          <w:p w14:paraId="217D9C87" w14:textId="77777777" w:rsidR="00F87E58" w:rsidRPr="00A81836" w:rsidRDefault="00F87E58" w:rsidP="00F87E58">
            <w:pPr>
              <w:pStyle w:val="cuatexto"/>
              <w:ind w:left="-70"/>
              <w:jc w:val="right"/>
              <w:rPr>
                <w:sz w:val="14"/>
                <w:szCs w:val="14"/>
              </w:rPr>
            </w:pPr>
            <w:r w:rsidRPr="00A81836">
              <w:rPr>
                <w:sz w:val="14"/>
                <w:szCs w:val="14"/>
              </w:rPr>
              <w:t>0,00</w:t>
            </w:r>
          </w:p>
        </w:tc>
        <w:tc>
          <w:tcPr>
            <w:tcW w:w="397" w:type="dxa"/>
            <w:tcBorders>
              <w:top w:val="single" w:sz="2" w:space="0" w:color="auto"/>
              <w:left w:val="nil"/>
              <w:bottom w:val="single" w:sz="4" w:space="0" w:color="auto"/>
              <w:right w:val="nil"/>
            </w:tcBorders>
            <w:shd w:val="clear" w:color="auto" w:fill="auto"/>
            <w:noWrap/>
            <w:vAlign w:val="center"/>
          </w:tcPr>
          <w:p w14:paraId="6AEABC02" w14:textId="77777777" w:rsidR="00F87E58" w:rsidRPr="00A81836" w:rsidRDefault="00F87E58" w:rsidP="00F87E58">
            <w:pPr>
              <w:pStyle w:val="cuatexto"/>
              <w:ind w:left="-69"/>
              <w:jc w:val="right"/>
              <w:rPr>
                <w:sz w:val="14"/>
                <w:szCs w:val="14"/>
              </w:rPr>
            </w:pPr>
            <w:r w:rsidRPr="00A81836">
              <w:rPr>
                <w:sz w:val="14"/>
                <w:szCs w:val="14"/>
              </w:rPr>
              <w:t>0,00</w:t>
            </w:r>
          </w:p>
        </w:tc>
        <w:tc>
          <w:tcPr>
            <w:tcW w:w="397" w:type="dxa"/>
            <w:tcBorders>
              <w:top w:val="single" w:sz="2" w:space="0" w:color="auto"/>
              <w:left w:val="nil"/>
              <w:bottom w:val="single" w:sz="4" w:space="0" w:color="auto"/>
              <w:right w:val="nil"/>
            </w:tcBorders>
            <w:shd w:val="clear" w:color="auto" w:fill="auto"/>
            <w:noWrap/>
            <w:vAlign w:val="center"/>
          </w:tcPr>
          <w:p w14:paraId="4A3B982E" w14:textId="77777777" w:rsidR="00F87E58" w:rsidRPr="00A81836" w:rsidRDefault="00F87E58" w:rsidP="00F87E58">
            <w:pPr>
              <w:pStyle w:val="cuatexto"/>
              <w:ind w:left="-66"/>
              <w:jc w:val="right"/>
              <w:rPr>
                <w:sz w:val="14"/>
                <w:szCs w:val="14"/>
              </w:rPr>
            </w:pPr>
            <w:r w:rsidRPr="00A81836">
              <w:rPr>
                <w:sz w:val="14"/>
                <w:szCs w:val="14"/>
              </w:rPr>
              <w:t>0,00</w:t>
            </w:r>
          </w:p>
        </w:tc>
        <w:tc>
          <w:tcPr>
            <w:tcW w:w="468" w:type="dxa"/>
            <w:tcBorders>
              <w:top w:val="single" w:sz="2" w:space="0" w:color="auto"/>
              <w:left w:val="nil"/>
              <w:bottom w:val="single" w:sz="4" w:space="0" w:color="auto"/>
              <w:right w:val="nil"/>
            </w:tcBorders>
            <w:shd w:val="clear" w:color="auto" w:fill="auto"/>
            <w:noWrap/>
            <w:vAlign w:val="center"/>
          </w:tcPr>
          <w:p w14:paraId="6B49F580" w14:textId="77777777" w:rsidR="00F87E58" w:rsidRPr="00A81836" w:rsidRDefault="00F87E58" w:rsidP="00F87E58">
            <w:pPr>
              <w:pStyle w:val="cuatexto"/>
              <w:ind w:left="-65"/>
              <w:jc w:val="right"/>
              <w:rPr>
                <w:sz w:val="14"/>
                <w:szCs w:val="14"/>
              </w:rPr>
            </w:pPr>
            <w:r w:rsidRPr="00A81836">
              <w:rPr>
                <w:sz w:val="14"/>
                <w:szCs w:val="14"/>
              </w:rPr>
              <w:t>4,30</w:t>
            </w:r>
          </w:p>
        </w:tc>
        <w:tc>
          <w:tcPr>
            <w:tcW w:w="397" w:type="dxa"/>
            <w:tcBorders>
              <w:top w:val="single" w:sz="2" w:space="0" w:color="auto"/>
              <w:left w:val="nil"/>
              <w:bottom w:val="single" w:sz="4" w:space="0" w:color="auto"/>
              <w:right w:val="nil"/>
            </w:tcBorders>
            <w:shd w:val="clear" w:color="auto" w:fill="auto"/>
            <w:noWrap/>
            <w:vAlign w:val="center"/>
          </w:tcPr>
          <w:p w14:paraId="0F5C12B5" w14:textId="77777777" w:rsidR="00F87E58" w:rsidRPr="00A81836" w:rsidRDefault="00F87E58" w:rsidP="00F87E58">
            <w:pPr>
              <w:pStyle w:val="cuatexto"/>
              <w:ind w:left="-63"/>
              <w:jc w:val="right"/>
              <w:rPr>
                <w:sz w:val="14"/>
                <w:szCs w:val="14"/>
              </w:rPr>
            </w:pPr>
            <w:r w:rsidRPr="00A81836">
              <w:rPr>
                <w:sz w:val="14"/>
                <w:szCs w:val="14"/>
              </w:rPr>
              <w:t>8,70</w:t>
            </w:r>
          </w:p>
        </w:tc>
        <w:tc>
          <w:tcPr>
            <w:tcW w:w="477" w:type="dxa"/>
            <w:tcBorders>
              <w:top w:val="single" w:sz="2" w:space="0" w:color="auto"/>
              <w:left w:val="nil"/>
              <w:bottom w:val="single" w:sz="4" w:space="0" w:color="auto"/>
              <w:right w:val="nil"/>
            </w:tcBorders>
            <w:shd w:val="clear" w:color="auto" w:fill="auto"/>
            <w:noWrap/>
            <w:vAlign w:val="center"/>
          </w:tcPr>
          <w:p w14:paraId="5A46701C" w14:textId="77777777" w:rsidR="00F87E58" w:rsidRPr="00A81836" w:rsidRDefault="00F87E58" w:rsidP="00F87E58">
            <w:pPr>
              <w:pStyle w:val="cuatexto"/>
              <w:ind w:left="-69"/>
              <w:jc w:val="right"/>
              <w:rPr>
                <w:sz w:val="14"/>
                <w:szCs w:val="14"/>
              </w:rPr>
            </w:pPr>
            <w:r w:rsidRPr="00A81836">
              <w:rPr>
                <w:sz w:val="14"/>
                <w:szCs w:val="14"/>
              </w:rPr>
              <w:t>12,90</w:t>
            </w:r>
          </w:p>
        </w:tc>
        <w:tc>
          <w:tcPr>
            <w:tcW w:w="476" w:type="dxa"/>
            <w:tcBorders>
              <w:top w:val="single" w:sz="2" w:space="0" w:color="auto"/>
              <w:left w:val="nil"/>
              <w:bottom w:val="single" w:sz="4" w:space="0" w:color="auto"/>
              <w:right w:val="nil"/>
            </w:tcBorders>
            <w:shd w:val="clear" w:color="auto" w:fill="auto"/>
            <w:noWrap/>
            <w:vAlign w:val="center"/>
          </w:tcPr>
          <w:p w14:paraId="5B47D184" w14:textId="77777777" w:rsidR="00F87E58" w:rsidRPr="00A81836" w:rsidRDefault="00F87E58" w:rsidP="00F87E58">
            <w:pPr>
              <w:pStyle w:val="cuatexto"/>
              <w:ind w:left="-116"/>
              <w:jc w:val="right"/>
              <w:rPr>
                <w:sz w:val="14"/>
                <w:szCs w:val="14"/>
              </w:rPr>
            </w:pPr>
            <w:r w:rsidRPr="00A81836">
              <w:rPr>
                <w:sz w:val="14"/>
                <w:szCs w:val="14"/>
              </w:rPr>
              <w:t>16,75</w:t>
            </w:r>
          </w:p>
        </w:tc>
        <w:tc>
          <w:tcPr>
            <w:tcW w:w="476" w:type="dxa"/>
            <w:tcBorders>
              <w:top w:val="single" w:sz="2" w:space="0" w:color="auto"/>
              <w:left w:val="nil"/>
              <w:bottom w:val="single" w:sz="4" w:space="0" w:color="auto"/>
              <w:right w:val="nil"/>
            </w:tcBorders>
            <w:shd w:val="clear" w:color="auto" w:fill="auto"/>
            <w:noWrap/>
            <w:vAlign w:val="center"/>
          </w:tcPr>
          <w:p w14:paraId="6D3D8BA5"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21,05</w:t>
            </w:r>
          </w:p>
        </w:tc>
        <w:tc>
          <w:tcPr>
            <w:tcW w:w="476" w:type="dxa"/>
            <w:tcBorders>
              <w:top w:val="single" w:sz="2" w:space="0" w:color="auto"/>
              <w:left w:val="nil"/>
              <w:bottom w:val="single" w:sz="4" w:space="0" w:color="auto"/>
              <w:right w:val="nil"/>
            </w:tcBorders>
            <w:shd w:val="clear" w:color="auto" w:fill="auto"/>
            <w:noWrap/>
            <w:vAlign w:val="center"/>
          </w:tcPr>
          <w:p w14:paraId="6D2318D9"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25,38</w:t>
            </w:r>
          </w:p>
        </w:tc>
        <w:tc>
          <w:tcPr>
            <w:tcW w:w="476" w:type="dxa"/>
            <w:tcBorders>
              <w:top w:val="single" w:sz="2" w:space="0" w:color="auto"/>
              <w:left w:val="nil"/>
              <w:bottom w:val="single" w:sz="4" w:space="0" w:color="auto"/>
              <w:right w:val="nil"/>
            </w:tcBorders>
            <w:shd w:val="clear" w:color="auto" w:fill="auto"/>
            <w:noWrap/>
            <w:vAlign w:val="center"/>
          </w:tcPr>
          <w:p w14:paraId="767D29DA"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29,43</w:t>
            </w:r>
          </w:p>
        </w:tc>
        <w:tc>
          <w:tcPr>
            <w:tcW w:w="476" w:type="dxa"/>
            <w:tcBorders>
              <w:top w:val="single" w:sz="2" w:space="0" w:color="auto"/>
              <w:left w:val="nil"/>
              <w:bottom w:val="single" w:sz="4" w:space="0" w:color="auto"/>
              <w:right w:val="nil"/>
            </w:tcBorders>
            <w:shd w:val="clear" w:color="auto" w:fill="auto"/>
            <w:noWrap/>
            <w:vAlign w:val="center"/>
          </w:tcPr>
          <w:p w14:paraId="3ABB7520"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33,18</w:t>
            </w:r>
          </w:p>
        </w:tc>
        <w:tc>
          <w:tcPr>
            <w:tcW w:w="476" w:type="dxa"/>
            <w:tcBorders>
              <w:top w:val="single" w:sz="2" w:space="0" w:color="auto"/>
              <w:left w:val="nil"/>
              <w:bottom w:val="single" w:sz="4" w:space="0" w:color="auto"/>
              <w:right w:val="nil"/>
            </w:tcBorders>
            <w:shd w:val="clear" w:color="auto" w:fill="auto"/>
            <w:noWrap/>
            <w:vAlign w:val="center"/>
          </w:tcPr>
          <w:p w14:paraId="448919E0"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36,18</w:t>
            </w:r>
          </w:p>
        </w:tc>
        <w:tc>
          <w:tcPr>
            <w:tcW w:w="476" w:type="dxa"/>
            <w:tcBorders>
              <w:top w:val="single" w:sz="2" w:space="0" w:color="auto"/>
              <w:left w:val="nil"/>
              <w:bottom w:val="single" w:sz="4" w:space="0" w:color="auto"/>
              <w:right w:val="nil"/>
            </w:tcBorders>
            <w:shd w:val="clear" w:color="auto" w:fill="auto"/>
            <w:noWrap/>
            <w:vAlign w:val="center"/>
          </w:tcPr>
          <w:p w14:paraId="5AB28AA1"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39,08</w:t>
            </w:r>
          </w:p>
        </w:tc>
        <w:tc>
          <w:tcPr>
            <w:tcW w:w="476" w:type="dxa"/>
            <w:tcBorders>
              <w:top w:val="single" w:sz="2" w:space="0" w:color="auto"/>
              <w:left w:val="nil"/>
              <w:bottom w:val="single" w:sz="4" w:space="0" w:color="auto"/>
              <w:right w:val="nil"/>
            </w:tcBorders>
            <w:shd w:val="clear" w:color="auto" w:fill="auto"/>
            <w:noWrap/>
            <w:vAlign w:val="center"/>
          </w:tcPr>
          <w:p w14:paraId="0E7D1DAE"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41,58</w:t>
            </w:r>
          </w:p>
        </w:tc>
        <w:tc>
          <w:tcPr>
            <w:tcW w:w="476" w:type="dxa"/>
            <w:tcBorders>
              <w:top w:val="single" w:sz="2" w:space="0" w:color="auto"/>
              <w:left w:val="nil"/>
              <w:bottom w:val="single" w:sz="4" w:space="0" w:color="auto"/>
              <w:right w:val="nil"/>
            </w:tcBorders>
            <w:shd w:val="clear" w:color="auto" w:fill="auto"/>
            <w:noWrap/>
            <w:vAlign w:val="center"/>
          </w:tcPr>
          <w:p w14:paraId="70E851DB"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44,08</w:t>
            </w:r>
          </w:p>
        </w:tc>
        <w:tc>
          <w:tcPr>
            <w:tcW w:w="476" w:type="dxa"/>
            <w:tcBorders>
              <w:top w:val="single" w:sz="2" w:space="0" w:color="auto"/>
              <w:left w:val="nil"/>
              <w:bottom w:val="single" w:sz="4" w:space="0" w:color="auto"/>
              <w:right w:val="nil"/>
            </w:tcBorders>
            <w:shd w:val="clear" w:color="auto" w:fill="auto"/>
            <w:noWrap/>
            <w:vAlign w:val="center"/>
          </w:tcPr>
          <w:p w14:paraId="1B9940DD"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46,53</w:t>
            </w:r>
          </w:p>
        </w:tc>
        <w:tc>
          <w:tcPr>
            <w:tcW w:w="476" w:type="dxa"/>
            <w:tcBorders>
              <w:top w:val="single" w:sz="2" w:space="0" w:color="auto"/>
              <w:left w:val="nil"/>
              <w:bottom w:val="single" w:sz="4" w:space="0" w:color="auto"/>
              <w:right w:val="nil"/>
            </w:tcBorders>
            <w:shd w:val="clear" w:color="auto" w:fill="auto"/>
            <w:noWrap/>
            <w:vAlign w:val="center"/>
          </w:tcPr>
          <w:p w14:paraId="615A0CF7"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49,23</w:t>
            </w:r>
          </w:p>
        </w:tc>
        <w:tc>
          <w:tcPr>
            <w:tcW w:w="476" w:type="dxa"/>
            <w:tcBorders>
              <w:top w:val="single" w:sz="2" w:space="0" w:color="auto"/>
              <w:left w:val="nil"/>
              <w:bottom w:val="single" w:sz="4" w:space="0" w:color="auto"/>
              <w:right w:val="nil"/>
            </w:tcBorders>
            <w:shd w:val="clear" w:color="auto" w:fill="auto"/>
            <w:noWrap/>
            <w:vAlign w:val="center"/>
          </w:tcPr>
          <w:p w14:paraId="56B03FCA"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52,58</w:t>
            </w:r>
          </w:p>
        </w:tc>
        <w:tc>
          <w:tcPr>
            <w:tcW w:w="476" w:type="dxa"/>
            <w:tcBorders>
              <w:top w:val="single" w:sz="2" w:space="0" w:color="auto"/>
              <w:left w:val="nil"/>
              <w:bottom w:val="single" w:sz="4" w:space="0" w:color="auto"/>
              <w:right w:val="nil"/>
            </w:tcBorders>
            <w:shd w:val="clear" w:color="auto" w:fill="auto"/>
            <w:noWrap/>
            <w:vAlign w:val="center"/>
          </w:tcPr>
          <w:p w14:paraId="428BFCFA"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54,58</w:t>
            </w:r>
          </w:p>
        </w:tc>
        <w:tc>
          <w:tcPr>
            <w:tcW w:w="476" w:type="dxa"/>
            <w:tcBorders>
              <w:top w:val="single" w:sz="2" w:space="0" w:color="auto"/>
              <w:left w:val="nil"/>
              <w:bottom w:val="single" w:sz="4" w:space="0" w:color="auto"/>
              <w:right w:val="nil"/>
            </w:tcBorders>
            <w:shd w:val="clear" w:color="auto" w:fill="auto"/>
            <w:noWrap/>
            <w:vAlign w:val="center"/>
          </w:tcPr>
          <w:p w14:paraId="0F74DF6F" w14:textId="77777777" w:rsidR="00F87E58" w:rsidRPr="00A81836" w:rsidRDefault="00F87E58" w:rsidP="00F87E58">
            <w:pPr>
              <w:pStyle w:val="cuadroCabe"/>
              <w:ind w:left="-116"/>
              <w:jc w:val="right"/>
              <w:rPr>
                <w:rFonts w:ascii="Arial Narrow" w:hAnsi="Arial Narrow"/>
                <w:sz w:val="14"/>
                <w:szCs w:val="14"/>
              </w:rPr>
            </w:pPr>
            <w:r w:rsidRPr="00A81836">
              <w:rPr>
                <w:rFonts w:ascii="Arial Narrow" w:hAnsi="Arial Narrow"/>
                <w:sz w:val="14"/>
                <w:szCs w:val="14"/>
              </w:rPr>
              <w:t>56,80</w:t>
            </w:r>
          </w:p>
        </w:tc>
      </w:tr>
    </w:tbl>
    <w:p w14:paraId="1EC2E086" w14:textId="77777777" w:rsidR="00F87E58" w:rsidRDefault="00F87E58" w:rsidP="00F87E58">
      <w:pPr>
        <w:pStyle w:val="texto"/>
        <w:spacing w:before="240" w:after="240"/>
      </w:pPr>
      <w:r>
        <w:t xml:space="preserve">La conversión anual de parte de los préstamos en préstamos participativos, ha tenido una relación bastante similar o aproximada con el importe anual que se ha </w:t>
      </w:r>
      <w:r w:rsidRPr="00723961">
        <w:t>considerado</w:t>
      </w:r>
      <w:r>
        <w:t xml:space="preserve"> deteriorado de los préstamos, tal y como se observa en el siguiente cuadro: </w:t>
      </w:r>
    </w:p>
    <w:tbl>
      <w:tblPr>
        <w:tblW w:w="11211" w:type="dxa"/>
        <w:jc w:val="center"/>
        <w:tblCellMar>
          <w:left w:w="70" w:type="dxa"/>
          <w:right w:w="70" w:type="dxa"/>
        </w:tblCellMar>
        <w:tblLook w:val="04A0" w:firstRow="1" w:lastRow="0" w:firstColumn="1" w:lastColumn="0" w:noHBand="0" w:noVBand="1"/>
      </w:tblPr>
      <w:tblGrid>
        <w:gridCol w:w="1134"/>
        <w:gridCol w:w="397"/>
        <w:gridCol w:w="397"/>
        <w:gridCol w:w="397"/>
        <w:gridCol w:w="397"/>
        <w:gridCol w:w="476"/>
        <w:gridCol w:w="476"/>
        <w:gridCol w:w="397"/>
        <w:gridCol w:w="476"/>
        <w:gridCol w:w="476"/>
        <w:gridCol w:w="476"/>
        <w:gridCol w:w="476"/>
        <w:gridCol w:w="476"/>
        <w:gridCol w:w="476"/>
        <w:gridCol w:w="476"/>
        <w:gridCol w:w="476"/>
        <w:gridCol w:w="476"/>
        <w:gridCol w:w="476"/>
        <w:gridCol w:w="476"/>
        <w:gridCol w:w="476"/>
        <w:gridCol w:w="476"/>
        <w:gridCol w:w="476"/>
        <w:gridCol w:w="476"/>
      </w:tblGrid>
      <w:tr w:rsidR="00F87E58" w:rsidRPr="00DC7264" w14:paraId="1CE80DC4" w14:textId="77777777" w:rsidTr="00F87E58">
        <w:trPr>
          <w:trHeight w:val="255"/>
          <w:jc w:val="center"/>
        </w:trPr>
        <w:tc>
          <w:tcPr>
            <w:tcW w:w="1134" w:type="dxa"/>
            <w:tcBorders>
              <w:top w:val="single" w:sz="4" w:space="0" w:color="auto"/>
              <w:bottom w:val="single" w:sz="4" w:space="0" w:color="auto"/>
              <w:right w:val="nil"/>
            </w:tcBorders>
            <w:shd w:val="clear" w:color="auto" w:fill="9CC2E5"/>
            <w:noWrap/>
            <w:vAlign w:val="bottom"/>
          </w:tcPr>
          <w:p w14:paraId="352C2A67" w14:textId="77777777" w:rsidR="00F87E58" w:rsidRPr="00DC7264" w:rsidRDefault="00F87E58" w:rsidP="00F87E58">
            <w:pPr>
              <w:pStyle w:val="cuadroCabe"/>
              <w:ind w:hanging="71"/>
              <w:jc w:val="right"/>
              <w:rPr>
                <w:sz w:val="12"/>
                <w:szCs w:val="12"/>
              </w:rPr>
            </w:pPr>
          </w:p>
        </w:tc>
        <w:tc>
          <w:tcPr>
            <w:tcW w:w="397" w:type="dxa"/>
            <w:tcBorders>
              <w:top w:val="single" w:sz="4" w:space="0" w:color="auto"/>
              <w:left w:val="nil"/>
              <w:bottom w:val="single" w:sz="4" w:space="0" w:color="auto"/>
              <w:right w:val="nil"/>
            </w:tcBorders>
            <w:shd w:val="clear" w:color="auto" w:fill="9CC2E5"/>
            <w:noWrap/>
            <w:vAlign w:val="bottom"/>
          </w:tcPr>
          <w:p w14:paraId="7A639452" w14:textId="77777777" w:rsidR="00F87E58" w:rsidRPr="00DC7264" w:rsidRDefault="00F87E58" w:rsidP="00F87E58">
            <w:pPr>
              <w:pStyle w:val="cuadroCabe"/>
              <w:ind w:left="-117"/>
              <w:jc w:val="right"/>
              <w:rPr>
                <w:sz w:val="12"/>
                <w:szCs w:val="12"/>
              </w:rPr>
            </w:pPr>
            <w:r w:rsidRPr="00DC7264">
              <w:rPr>
                <w:sz w:val="12"/>
                <w:szCs w:val="12"/>
              </w:rPr>
              <w:t>2001</w:t>
            </w:r>
          </w:p>
        </w:tc>
        <w:tc>
          <w:tcPr>
            <w:tcW w:w="397" w:type="dxa"/>
            <w:tcBorders>
              <w:top w:val="single" w:sz="4" w:space="0" w:color="auto"/>
              <w:left w:val="nil"/>
              <w:bottom w:val="single" w:sz="4" w:space="0" w:color="auto"/>
              <w:right w:val="nil"/>
            </w:tcBorders>
            <w:shd w:val="clear" w:color="auto" w:fill="9CC2E5"/>
            <w:noWrap/>
            <w:vAlign w:val="bottom"/>
          </w:tcPr>
          <w:p w14:paraId="593E0500" w14:textId="77777777" w:rsidR="00F87E58" w:rsidRPr="00DC7264" w:rsidRDefault="00F87E58" w:rsidP="00F87E58">
            <w:pPr>
              <w:pStyle w:val="cuadroCabe"/>
              <w:ind w:left="-117"/>
              <w:jc w:val="right"/>
              <w:rPr>
                <w:sz w:val="12"/>
                <w:szCs w:val="12"/>
              </w:rPr>
            </w:pPr>
            <w:r w:rsidRPr="00DC7264">
              <w:rPr>
                <w:sz w:val="12"/>
                <w:szCs w:val="12"/>
              </w:rPr>
              <w:t>2002</w:t>
            </w:r>
          </w:p>
        </w:tc>
        <w:tc>
          <w:tcPr>
            <w:tcW w:w="397" w:type="dxa"/>
            <w:tcBorders>
              <w:top w:val="single" w:sz="4" w:space="0" w:color="auto"/>
              <w:left w:val="nil"/>
              <w:bottom w:val="single" w:sz="4" w:space="0" w:color="auto"/>
              <w:right w:val="nil"/>
            </w:tcBorders>
            <w:shd w:val="clear" w:color="auto" w:fill="9CC2E5"/>
            <w:noWrap/>
            <w:vAlign w:val="bottom"/>
          </w:tcPr>
          <w:p w14:paraId="3B52AA8A" w14:textId="77777777" w:rsidR="00F87E58" w:rsidRPr="00DC7264" w:rsidRDefault="00F87E58" w:rsidP="00F87E58">
            <w:pPr>
              <w:pStyle w:val="cuadroCabe"/>
              <w:ind w:left="-117"/>
              <w:jc w:val="right"/>
              <w:rPr>
                <w:sz w:val="12"/>
                <w:szCs w:val="12"/>
              </w:rPr>
            </w:pPr>
            <w:r w:rsidRPr="00DC7264">
              <w:rPr>
                <w:sz w:val="12"/>
                <w:szCs w:val="12"/>
              </w:rPr>
              <w:t>2003</w:t>
            </w:r>
          </w:p>
        </w:tc>
        <w:tc>
          <w:tcPr>
            <w:tcW w:w="397" w:type="dxa"/>
            <w:tcBorders>
              <w:top w:val="single" w:sz="4" w:space="0" w:color="auto"/>
              <w:left w:val="nil"/>
              <w:bottom w:val="single" w:sz="4" w:space="0" w:color="auto"/>
              <w:right w:val="nil"/>
            </w:tcBorders>
            <w:shd w:val="clear" w:color="auto" w:fill="9CC2E5"/>
            <w:noWrap/>
            <w:vAlign w:val="bottom"/>
          </w:tcPr>
          <w:p w14:paraId="6D654C4B" w14:textId="77777777" w:rsidR="00F87E58" w:rsidRPr="00DC7264" w:rsidRDefault="00F87E58" w:rsidP="00F87E58">
            <w:pPr>
              <w:pStyle w:val="cuadroCabe"/>
              <w:ind w:left="-117"/>
              <w:jc w:val="right"/>
              <w:rPr>
                <w:sz w:val="12"/>
                <w:szCs w:val="12"/>
              </w:rPr>
            </w:pPr>
            <w:r w:rsidRPr="00DC7264">
              <w:rPr>
                <w:sz w:val="12"/>
                <w:szCs w:val="12"/>
              </w:rPr>
              <w:t>2004</w:t>
            </w:r>
          </w:p>
        </w:tc>
        <w:tc>
          <w:tcPr>
            <w:tcW w:w="476" w:type="dxa"/>
            <w:tcBorders>
              <w:top w:val="single" w:sz="4" w:space="0" w:color="auto"/>
              <w:left w:val="nil"/>
              <w:bottom w:val="single" w:sz="4" w:space="0" w:color="auto"/>
              <w:right w:val="nil"/>
            </w:tcBorders>
            <w:shd w:val="clear" w:color="auto" w:fill="9CC2E5"/>
            <w:noWrap/>
            <w:vAlign w:val="bottom"/>
          </w:tcPr>
          <w:p w14:paraId="622CC31E" w14:textId="77777777" w:rsidR="00F87E58" w:rsidRPr="00DC7264" w:rsidRDefault="00F87E58" w:rsidP="00F87E58">
            <w:pPr>
              <w:pStyle w:val="cuadroCabe"/>
              <w:ind w:left="-117"/>
              <w:jc w:val="right"/>
              <w:rPr>
                <w:sz w:val="12"/>
                <w:szCs w:val="12"/>
              </w:rPr>
            </w:pPr>
            <w:r w:rsidRPr="00DC7264">
              <w:rPr>
                <w:sz w:val="12"/>
                <w:szCs w:val="12"/>
              </w:rPr>
              <w:t>2005</w:t>
            </w:r>
          </w:p>
        </w:tc>
        <w:tc>
          <w:tcPr>
            <w:tcW w:w="476" w:type="dxa"/>
            <w:tcBorders>
              <w:top w:val="single" w:sz="4" w:space="0" w:color="auto"/>
              <w:left w:val="nil"/>
              <w:bottom w:val="single" w:sz="4" w:space="0" w:color="auto"/>
              <w:right w:val="nil"/>
            </w:tcBorders>
            <w:shd w:val="clear" w:color="auto" w:fill="9CC2E5"/>
            <w:noWrap/>
            <w:vAlign w:val="bottom"/>
          </w:tcPr>
          <w:p w14:paraId="6A464910" w14:textId="77777777" w:rsidR="00F87E58" w:rsidRPr="00DC7264" w:rsidRDefault="00F87E58" w:rsidP="00F87E58">
            <w:pPr>
              <w:pStyle w:val="cuadroCabe"/>
              <w:ind w:left="-117"/>
              <w:jc w:val="right"/>
              <w:rPr>
                <w:sz w:val="12"/>
                <w:szCs w:val="12"/>
              </w:rPr>
            </w:pPr>
            <w:r w:rsidRPr="00DC7264">
              <w:rPr>
                <w:sz w:val="12"/>
                <w:szCs w:val="12"/>
              </w:rPr>
              <w:t>2006</w:t>
            </w:r>
          </w:p>
        </w:tc>
        <w:tc>
          <w:tcPr>
            <w:tcW w:w="397" w:type="dxa"/>
            <w:tcBorders>
              <w:top w:val="single" w:sz="4" w:space="0" w:color="auto"/>
              <w:left w:val="nil"/>
              <w:bottom w:val="single" w:sz="4" w:space="0" w:color="auto"/>
              <w:right w:val="nil"/>
            </w:tcBorders>
            <w:shd w:val="clear" w:color="auto" w:fill="9CC2E5"/>
            <w:noWrap/>
            <w:vAlign w:val="bottom"/>
          </w:tcPr>
          <w:p w14:paraId="256DCB9F" w14:textId="77777777" w:rsidR="00F87E58" w:rsidRPr="00DC7264" w:rsidRDefault="00F87E58" w:rsidP="00F87E58">
            <w:pPr>
              <w:pStyle w:val="cuadroCabe"/>
              <w:ind w:left="-117"/>
              <w:jc w:val="right"/>
              <w:rPr>
                <w:sz w:val="12"/>
                <w:szCs w:val="12"/>
              </w:rPr>
            </w:pPr>
            <w:r w:rsidRPr="00DC7264">
              <w:rPr>
                <w:sz w:val="12"/>
                <w:szCs w:val="12"/>
              </w:rPr>
              <w:t>2007</w:t>
            </w:r>
          </w:p>
        </w:tc>
        <w:tc>
          <w:tcPr>
            <w:tcW w:w="476" w:type="dxa"/>
            <w:tcBorders>
              <w:top w:val="single" w:sz="4" w:space="0" w:color="auto"/>
              <w:left w:val="nil"/>
              <w:bottom w:val="single" w:sz="4" w:space="0" w:color="auto"/>
              <w:right w:val="nil"/>
            </w:tcBorders>
            <w:shd w:val="clear" w:color="auto" w:fill="9CC2E5"/>
            <w:noWrap/>
            <w:vAlign w:val="bottom"/>
          </w:tcPr>
          <w:p w14:paraId="00296051" w14:textId="77777777" w:rsidR="00F87E58" w:rsidRPr="00DC7264" w:rsidRDefault="00F87E58" w:rsidP="00F87E58">
            <w:pPr>
              <w:pStyle w:val="cuadroCabe"/>
              <w:ind w:left="-117"/>
              <w:jc w:val="right"/>
              <w:rPr>
                <w:sz w:val="12"/>
                <w:szCs w:val="12"/>
              </w:rPr>
            </w:pPr>
            <w:r w:rsidRPr="00DC7264">
              <w:rPr>
                <w:sz w:val="12"/>
                <w:szCs w:val="12"/>
              </w:rPr>
              <w:t>2008</w:t>
            </w:r>
          </w:p>
        </w:tc>
        <w:tc>
          <w:tcPr>
            <w:tcW w:w="476" w:type="dxa"/>
            <w:tcBorders>
              <w:top w:val="single" w:sz="4" w:space="0" w:color="auto"/>
              <w:left w:val="nil"/>
              <w:bottom w:val="single" w:sz="4" w:space="0" w:color="auto"/>
              <w:right w:val="nil"/>
            </w:tcBorders>
            <w:shd w:val="clear" w:color="auto" w:fill="9CC2E5"/>
            <w:noWrap/>
            <w:vAlign w:val="bottom"/>
          </w:tcPr>
          <w:p w14:paraId="4E60B6D3" w14:textId="77777777" w:rsidR="00F87E58" w:rsidRPr="00DC7264" w:rsidRDefault="00F87E58" w:rsidP="00F87E58">
            <w:pPr>
              <w:pStyle w:val="cuadroCabe"/>
              <w:ind w:left="-117"/>
              <w:jc w:val="right"/>
              <w:rPr>
                <w:sz w:val="12"/>
                <w:szCs w:val="12"/>
              </w:rPr>
            </w:pPr>
            <w:r w:rsidRPr="00DC7264">
              <w:rPr>
                <w:sz w:val="12"/>
                <w:szCs w:val="12"/>
              </w:rPr>
              <w:t>2009</w:t>
            </w:r>
          </w:p>
        </w:tc>
        <w:tc>
          <w:tcPr>
            <w:tcW w:w="476" w:type="dxa"/>
            <w:tcBorders>
              <w:top w:val="single" w:sz="4" w:space="0" w:color="auto"/>
              <w:left w:val="nil"/>
              <w:bottom w:val="single" w:sz="4" w:space="0" w:color="auto"/>
              <w:right w:val="nil"/>
            </w:tcBorders>
            <w:shd w:val="clear" w:color="auto" w:fill="9CC2E5"/>
            <w:noWrap/>
            <w:vAlign w:val="bottom"/>
          </w:tcPr>
          <w:p w14:paraId="6F52ADB8" w14:textId="77777777" w:rsidR="00F87E58" w:rsidRPr="00DC7264" w:rsidRDefault="00F87E58" w:rsidP="00F87E58">
            <w:pPr>
              <w:pStyle w:val="cuadroCabe"/>
              <w:ind w:left="-117"/>
              <w:jc w:val="right"/>
              <w:rPr>
                <w:sz w:val="12"/>
                <w:szCs w:val="12"/>
              </w:rPr>
            </w:pPr>
            <w:r w:rsidRPr="00DC7264">
              <w:rPr>
                <w:sz w:val="12"/>
                <w:szCs w:val="12"/>
              </w:rPr>
              <w:t>2010</w:t>
            </w:r>
          </w:p>
        </w:tc>
        <w:tc>
          <w:tcPr>
            <w:tcW w:w="476" w:type="dxa"/>
            <w:tcBorders>
              <w:top w:val="single" w:sz="4" w:space="0" w:color="auto"/>
              <w:left w:val="nil"/>
              <w:bottom w:val="single" w:sz="4" w:space="0" w:color="auto"/>
              <w:right w:val="nil"/>
            </w:tcBorders>
            <w:shd w:val="clear" w:color="auto" w:fill="9CC2E5"/>
            <w:noWrap/>
            <w:vAlign w:val="bottom"/>
          </w:tcPr>
          <w:p w14:paraId="51DF57BD" w14:textId="77777777" w:rsidR="00F87E58" w:rsidRPr="00DC7264" w:rsidRDefault="00F87E58" w:rsidP="00F87E58">
            <w:pPr>
              <w:pStyle w:val="cuadroCabe"/>
              <w:ind w:left="-116"/>
              <w:jc w:val="right"/>
              <w:rPr>
                <w:sz w:val="12"/>
                <w:szCs w:val="12"/>
              </w:rPr>
            </w:pPr>
            <w:r w:rsidRPr="00DC7264">
              <w:rPr>
                <w:sz w:val="12"/>
                <w:szCs w:val="12"/>
              </w:rPr>
              <w:t>2011</w:t>
            </w:r>
          </w:p>
        </w:tc>
        <w:tc>
          <w:tcPr>
            <w:tcW w:w="476" w:type="dxa"/>
            <w:tcBorders>
              <w:top w:val="single" w:sz="4" w:space="0" w:color="auto"/>
              <w:left w:val="nil"/>
              <w:bottom w:val="single" w:sz="4" w:space="0" w:color="auto"/>
              <w:right w:val="nil"/>
            </w:tcBorders>
            <w:shd w:val="clear" w:color="auto" w:fill="9CC2E5"/>
            <w:noWrap/>
            <w:vAlign w:val="bottom"/>
          </w:tcPr>
          <w:p w14:paraId="0035DD15" w14:textId="77777777" w:rsidR="00F87E58" w:rsidRPr="00DC7264" w:rsidRDefault="00F87E58" w:rsidP="00F87E58">
            <w:pPr>
              <w:pStyle w:val="cuadroCabe"/>
              <w:ind w:left="-116"/>
              <w:jc w:val="right"/>
              <w:rPr>
                <w:sz w:val="12"/>
                <w:szCs w:val="12"/>
              </w:rPr>
            </w:pPr>
            <w:r w:rsidRPr="00DC7264">
              <w:rPr>
                <w:sz w:val="12"/>
                <w:szCs w:val="12"/>
              </w:rPr>
              <w:t>2012</w:t>
            </w:r>
          </w:p>
        </w:tc>
        <w:tc>
          <w:tcPr>
            <w:tcW w:w="476" w:type="dxa"/>
            <w:tcBorders>
              <w:top w:val="single" w:sz="4" w:space="0" w:color="auto"/>
              <w:left w:val="nil"/>
              <w:bottom w:val="single" w:sz="4" w:space="0" w:color="auto"/>
              <w:right w:val="nil"/>
            </w:tcBorders>
            <w:shd w:val="clear" w:color="auto" w:fill="9CC2E5"/>
            <w:noWrap/>
            <w:vAlign w:val="bottom"/>
          </w:tcPr>
          <w:p w14:paraId="2D6F25ED" w14:textId="77777777" w:rsidR="00F87E58" w:rsidRPr="00DC7264" w:rsidRDefault="00F87E58" w:rsidP="00F87E58">
            <w:pPr>
              <w:pStyle w:val="cuadroCabe"/>
              <w:ind w:left="-117"/>
              <w:jc w:val="right"/>
              <w:rPr>
                <w:sz w:val="12"/>
                <w:szCs w:val="12"/>
              </w:rPr>
            </w:pPr>
            <w:r w:rsidRPr="00DC7264">
              <w:rPr>
                <w:sz w:val="12"/>
                <w:szCs w:val="12"/>
              </w:rPr>
              <w:t>2013</w:t>
            </w:r>
          </w:p>
        </w:tc>
        <w:tc>
          <w:tcPr>
            <w:tcW w:w="476" w:type="dxa"/>
            <w:tcBorders>
              <w:top w:val="single" w:sz="4" w:space="0" w:color="auto"/>
              <w:left w:val="nil"/>
              <w:bottom w:val="single" w:sz="4" w:space="0" w:color="auto"/>
              <w:right w:val="nil"/>
            </w:tcBorders>
            <w:shd w:val="clear" w:color="auto" w:fill="9CC2E5"/>
            <w:noWrap/>
            <w:vAlign w:val="bottom"/>
          </w:tcPr>
          <w:p w14:paraId="1C0ED0E4" w14:textId="77777777" w:rsidR="00F87E58" w:rsidRPr="00DC7264" w:rsidRDefault="00F87E58" w:rsidP="00F87E58">
            <w:pPr>
              <w:pStyle w:val="cuadroCabe"/>
              <w:ind w:left="-117"/>
              <w:jc w:val="right"/>
              <w:rPr>
                <w:sz w:val="12"/>
                <w:szCs w:val="12"/>
              </w:rPr>
            </w:pPr>
            <w:r w:rsidRPr="00DC7264">
              <w:rPr>
                <w:sz w:val="12"/>
                <w:szCs w:val="12"/>
              </w:rPr>
              <w:t>2014</w:t>
            </w:r>
          </w:p>
        </w:tc>
        <w:tc>
          <w:tcPr>
            <w:tcW w:w="476" w:type="dxa"/>
            <w:tcBorders>
              <w:top w:val="single" w:sz="4" w:space="0" w:color="auto"/>
              <w:left w:val="nil"/>
              <w:bottom w:val="single" w:sz="4" w:space="0" w:color="auto"/>
              <w:right w:val="nil"/>
            </w:tcBorders>
            <w:shd w:val="clear" w:color="auto" w:fill="9CC2E5"/>
            <w:noWrap/>
            <w:vAlign w:val="bottom"/>
          </w:tcPr>
          <w:p w14:paraId="7F7069E1" w14:textId="77777777" w:rsidR="00F87E58" w:rsidRPr="00DC7264" w:rsidRDefault="00F87E58" w:rsidP="00F87E58">
            <w:pPr>
              <w:pStyle w:val="cuadroCabe"/>
              <w:ind w:left="-116"/>
              <w:jc w:val="right"/>
              <w:rPr>
                <w:sz w:val="12"/>
                <w:szCs w:val="12"/>
              </w:rPr>
            </w:pPr>
            <w:r w:rsidRPr="00DC7264">
              <w:rPr>
                <w:sz w:val="12"/>
                <w:szCs w:val="12"/>
              </w:rPr>
              <w:t>2015</w:t>
            </w:r>
          </w:p>
        </w:tc>
        <w:tc>
          <w:tcPr>
            <w:tcW w:w="476" w:type="dxa"/>
            <w:tcBorders>
              <w:top w:val="single" w:sz="4" w:space="0" w:color="auto"/>
              <w:left w:val="nil"/>
              <w:bottom w:val="single" w:sz="4" w:space="0" w:color="auto"/>
              <w:right w:val="nil"/>
            </w:tcBorders>
            <w:shd w:val="clear" w:color="auto" w:fill="9CC2E5"/>
            <w:noWrap/>
            <w:vAlign w:val="bottom"/>
          </w:tcPr>
          <w:p w14:paraId="169ADFA4" w14:textId="77777777" w:rsidR="00F87E58" w:rsidRPr="00DC7264" w:rsidRDefault="00F87E58" w:rsidP="00F87E58">
            <w:pPr>
              <w:pStyle w:val="cuadroCabe"/>
              <w:ind w:left="-116"/>
              <w:jc w:val="right"/>
              <w:rPr>
                <w:sz w:val="12"/>
                <w:szCs w:val="12"/>
              </w:rPr>
            </w:pPr>
            <w:r w:rsidRPr="00DC7264">
              <w:rPr>
                <w:sz w:val="12"/>
                <w:szCs w:val="12"/>
              </w:rPr>
              <w:t>2016</w:t>
            </w:r>
          </w:p>
        </w:tc>
        <w:tc>
          <w:tcPr>
            <w:tcW w:w="476" w:type="dxa"/>
            <w:tcBorders>
              <w:top w:val="single" w:sz="4" w:space="0" w:color="auto"/>
              <w:left w:val="nil"/>
              <w:bottom w:val="single" w:sz="4" w:space="0" w:color="auto"/>
              <w:right w:val="nil"/>
            </w:tcBorders>
            <w:shd w:val="clear" w:color="auto" w:fill="9CC2E5"/>
            <w:noWrap/>
            <w:vAlign w:val="bottom"/>
          </w:tcPr>
          <w:p w14:paraId="4E8256A4" w14:textId="77777777" w:rsidR="00F87E58" w:rsidRPr="00DC7264" w:rsidRDefault="00F87E58" w:rsidP="00F87E58">
            <w:pPr>
              <w:pStyle w:val="cuadroCabe"/>
              <w:ind w:left="-117"/>
              <w:jc w:val="right"/>
              <w:rPr>
                <w:sz w:val="12"/>
                <w:szCs w:val="12"/>
              </w:rPr>
            </w:pPr>
            <w:r w:rsidRPr="00DC7264">
              <w:rPr>
                <w:sz w:val="12"/>
                <w:szCs w:val="12"/>
              </w:rPr>
              <w:t>2017</w:t>
            </w:r>
          </w:p>
        </w:tc>
        <w:tc>
          <w:tcPr>
            <w:tcW w:w="476" w:type="dxa"/>
            <w:tcBorders>
              <w:top w:val="single" w:sz="4" w:space="0" w:color="auto"/>
              <w:left w:val="nil"/>
              <w:bottom w:val="single" w:sz="4" w:space="0" w:color="auto"/>
              <w:right w:val="nil"/>
            </w:tcBorders>
            <w:shd w:val="clear" w:color="auto" w:fill="9CC2E5"/>
            <w:noWrap/>
            <w:vAlign w:val="bottom"/>
          </w:tcPr>
          <w:p w14:paraId="7942B707" w14:textId="77777777" w:rsidR="00F87E58" w:rsidRPr="00DC7264" w:rsidRDefault="00F87E58" w:rsidP="00F87E58">
            <w:pPr>
              <w:pStyle w:val="cuadroCabe"/>
              <w:ind w:left="-117"/>
              <w:jc w:val="right"/>
              <w:rPr>
                <w:sz w:val="12"/>
                <w:szCs w:val="12"/>
              </w:rPr>
            </w:pPr>
            <w:r w:rsidRPr="00DC7264">
              <w:rPr>
                <w:sz w:val="12"/>
                <w:szCs w:val="12"/>
              </w:rPr>
              <w:t>2018</w:t>
            </w:r>
          </w:p>
        </w:tc>
        <w:tc>
          <w:tcPr>
            <w:tcW w:w="476" w:type="dxa"/>
            <w:tcBorders>
              <w:top w:val="single" w:sz="4" w:space="0" w:color="auto"/>
              <w:left w:val="nil"/>
              <w:bottom w:val="single" w:sz="4" w:space="0" w:color="auto"/>
              <w:right w:val="nil"/>
            </w:tcBorders>
            <w:shd w:val="clear" w:color="auto" w:fill="9CC2E5"/>
            <w:noWrap/>
            <w:vAlign w:val="bottom"/>
          </w:tcPr>
          <w:p w14:paraId="0F748580" w14:textId="77777777" w:rsidR="00F87E58" w:rsidRPr="00DC7264" w:rsidRDefault="00F87E58" w:rsidP="00F87E58">
            <w:pPr>
              <w:pStyle w:val="cuadroCabe"/>
              <w:ind w:left="-116"/>
              <w:jc w:val="right"/>
              <w:rPr>
                <w:sz w:val="12"/>
                <w:szCs w:val="12"/>
              </w:rPr>
            </w:pPr>
            <w:r w:rsidRPr="00DC7264">
              <w:rPr>
                <w:sz w:val="12"/>
                <w:szCs w:val="12"/>
              </w:rPr>
              <w:t>2019</w:t>
            </w:r>
          </w:p>
        </w:tc>
        <w:tc>
          <w:tcPr>
            <w:tcW w:w="476" w:type="dxa"/>
            <w:tcBorders>
              <w:top w:val="single" w:sz="4" w:space="0" w:color="auto"/>
              <w:left w:val="nil"/>
              <w:bottom w:val="single" w:sz="4" w:space="0" w:color="auto"/>
              <w:right w:val="nil"/>
            </w:tcBorders>
            <w:shd w:val="clear" w:color="auto" w:fill="9CC2E5"/>
            <w:noWrap/>
            <w:vAlign w:val="bottom"/>
          </w:tcPr>
          <w:p w14:paraId="04324004" w14:textId="77777777" w:rsidR="00F87E58" w:rsidRPr="00DC7264" w:rsidRDefault="00F87E58" w:rsidP="00F87E58">
            <w:pPr>
              <w:pStyle w:val="cuadroCabe"/>
              <w:ind w:left="-117"/>
              <w:jc w:val="right"/>
              <w:rPr>
                <w:sz w:val="12"/>
                <w:szCs w:val="12"/>
              </w:rPr>
            </w:pPr>
            <w:r w:rsidRPr="00DC7264">
              <w:rPr>
                <w:sz w:val="12"/>
                <w:szCs w:val="12"/>
              </w:rPr>
              <w:t>2020</w:t>
            </w:r>
          </w:p>
        </w:tc>
        <w:tc>
          <w:tcPr>
            <w:tcW w:w="476" w:type="dxa"/>
            <w:tcBorders>
              <w:top w:val="single" w:sz="4" w:space="0" w:color="auto"/>
              <w:left w:val="nil"/>
              <w:bottom w:val="single" w:sz="4" w:space="0" w:color="auto"/>
              <w:right w:val="nil"/>
            </w:tcBorders>
            <w:shd w:val="clear" w:color="auto" w:fill="9CC2E5"/>
            <w:noWrap/>
            <w:vAlign w:val="bottom"/>
          </w:tcPr>
          <w:p w14:paraId="16CE9BFE" w14:textId="77777777" w:rsidR="00F87E58" w:rsidRPr="00DC7264" w:rsidRDefault="00F87E58" w:rsidP="00F87E58">
            <w:pPr>
              <w:pStyle w:val="cuadroCabe"/>
              <w:ind w:left="-117"/>
              <w:jc w:val="right"/>
              <w:rPr>
                <w:sz w:val="12"/>
                <w:szCs w:val="12"/>
              </w:rPr>
            </w:pPr>
            <w:r w:rsidRPr="00DC7264">
              <w:rPr>
                <w:sz w:val="12"/>
                <w:szCs w:val="12"/>
              </w:rPr>
              <w:t>2021</w:t>
            </w:r>
          </w:p>
        </w:tc>
        <w:tc>
          <w:tcPr>
            <w:tcW w:w="476" w:type="dxa"/>
            <w:tcBorders>
              <w:top w:val="single" w:sz="4" w:space="0" w:color="auto"/>
              <w:left w:val="nil"/>
              <w:bottom w:val="single" w:sz="4" w:space="0" w:color="auto"/>
              <w:right w:val="nil"/>
            </w:tcBorders>
            <w:shd w:val="clear" w:color="auto" w:fill="9CC2E5"/>
            <w:noWrap/>
            <w:vAlign w:val="bottom"/>
          </w:tcPr>
          <w:p w14:paraId="0F431E24" w14:textId="77777777" w:rsidR="00F87E58" w:rsidRPr="00DC7264" w:rsidRDefault="00F87E58" w:rsidP="00F87E58">
            <w:pPr>
              <w:pStyle w:val="cuadroCabe"/>
              <w:ind w:left="-117"/>
              <w:jc w:val="right"/>
              <w:rPr>
                <w:sz w:val="12"/>
                <w:szCs w:val="12"/>
              </w:rPr>
            </w:pPr>
            <w:r w:rsidRPr="00DC7264">
              <w:rPr>
                <w:sz w:val="12"/>
                <w:szCs w:val="12"/>
              </w:rPr>
              <w:t>2022</w:t>
            </w:r>
          </w:p>
        </w:tc>
      </w:tr>
      <w:tr w:rsidR="00F87E58" w:rsidRPr="00DC7264" w14:paraId="2D77C92D" w14:textId="77777777" w:rsidTr="00F87E58">
        <w:trPr>
          <w:trHeight w:val="198"/>
          <w:jc w:val="center"/>
        </w:trPr>
        <w:tc>
          <w:tcPr>
            <w:tcW w:w="1134" w:type="dxa"/>
            <w:tcBorders>
              <w:top w:val="single" w:sz="4" w:space="0" w:color="auto"/>
              <w:bottom w:val="single" w:sz="2" w:space="0" w:color="auto"/>
              <w:right w:val="nil"/>
            </w:tcBorders>
            <w:shd w:val="clear" w:color="auto" w:fill="auto"/>
            <w:noWrap/>
            <w:vAlign w:val="bottom"/>
          </w:tcPr>
          <w:p w14:paraId="0D64E502" w14:textId="77777777" w:rsidR="00F87E58" w:rsidRDefault="00F87E58" w:rsidP="00321B53">
            <w:pPr>
              <w:pStyle w:val="cuatexto"/>
              <w:spacing w:line="240" w:lineRule="auto"/>
              <w:ind w:right="165" w:hanging="74"/>
              <w:jc w:val="left"/>
              <w:rPr>
                <w:sz w:val="12"/>
                <w:szCs w:val="12"/>
              </w:rPr>
            </w:pPr>
            <w:r w:rsidRPr="00DC7264">
              <w:rPr>
                <w:sz w:val="12"/>
                <w:szCs w:val="12"/>
              </w:rPr>
              <w:t>Deterioro anual</w:t>
            </w:r>
          </w:p>
          <w:p w14:paraId="72B2382B" w14:textId="77777777" w:rsidR="00F87E58" w:rsidRPr="00DC7264" w:rsidRDefault="00F87E58" w:rsidP="00321B53">
            <w:pPr>
              <w:pStyle w:val="cuatexto"/>
              <w:tabs>
                <w:tab w:val="left" w:pos="493"/>
              </w:tabs>
              <w:spacing w:line="240" w:lineRule="auto"/>
              <w:ind w:right="165" w:hanging="74"/>
              <w:jc w:val="left"/>
              <w:rPr>
                <w:sz w:val="12"/>
                <w:szCs w:val="12"/>
              </w:rPr>
            </w:pPr>
            <w:r w:rsidRPr="00DC7264">
              <w:rPr>
                <w:sz w:val="12"/>
                <w:szCs w:val="12"/>
              </w:rPr>
              <w:t>prestamos</w:t>
            </w:r>
          </w:p>
        </w:tc>
        <w:tc>
          <w:tcPr>
            <w:tcW w:w="397" w:type="dxa"/>
            <w:tcBorders>
              <w:top w:val="single" w:sz="4" w:space="0" w:color="auto"/>
              <w:left w:val="nil"/>
              <w:bottom w:val="single" w:sz="2" w:space="0" w:color="auto"/>
              <w:right w:val="nil"/>
            </w:tcBorders>
            <w:shd w:val="clear" w:color="auto" w:fill="auto"/>
            <w:noWrap/>
            <w:vAlign w:val="bottom"/>
          </w:tcPr>
          <w:p w14:paraId="3A21BD89" w14:textId="77777777" w:rsidR="00F87E58" w:rsidRPr="00DC7264" w:rsidRDefault="00F87E58" w:rsidP="00F87E58">
            <w:pPr>
              <w:pStyle w:val="cuatexto"/>
              <w:jc w:val="right"/>
              <w:rPr>
                <w:sz w:val="14"/>
                <w:szCs w:val="14"/>
              </w:rPr>
            </w:pPr>
            <w:r w:rsidRPr="00DC7264">
              <w:rPr>
                <w:sz w:val="14"/>
                <w:szCs w:val="14"/>
              </w:rPr>
              <w:t>0,00</w:t>
            </w:r>
          </w:p>
        </w:tc>
        <w:tc>
          <w:tcPr>
            <w:tcW w:w="397" w:type="dxa"/>
            <w:tcBorders>
              <w:top w:val="single" w:sz="4" w:space="0" w:color="auto"/>
              <w:left w:val="nil"/>
              <w:bottom w:val="single" w:sz="2" w:space="0" w:color="auto"/>
              <w:right w:val="nil"/>
            </w:tcBorders>
            <w:shd w:val="clear" w:color="auto" w:fill="auto"/>
            <w:noWrap/>
            <w:vAlign w:val="bottom"/>
          </w:tcPr>
          <w:p w14:paraId="3B710A9C" w14:textId="77777777" w:rsidR="00F87E58" w:rsidRPr="00DC7264" w:rsidRDefault="00F87E58" w:rsidP="00F87E58">
            <w:pPr>
              <w:pStyle w:val="cuatexto"/>
              <w:jc w:val="right"/>
              <w:rPr>
                <w:sz w:val="14"/>
                <w:szCs w:val="14"/>
              </w:rPr>
            </w:pPr>
            <w:r w:rsidRPr="00DC7264">
              <w:rPr>
                <w:sz w:val="14"/>
                <w:szCs w:val="14"/>
              </w:rPr>
              <w:t>0,00</w:t>
            </w:r>
          </w:p>
        </w:tc>
        <w:tc>
          <w:tcPr>
            <w:tcW w:w="397" w:type="dxa"/>
            <w:tcBorders>
              <w:top w:val="single" w:sz="4" w:space="0" w:color="auto"/>
              <w:left w:val="nil"/>
              <w:bottom w:val="single" w:sz="2" w:space="0" w:color="auto"/>
              <w:right w:val="nil"/>
            </w:tcBorders>
            <w:shd w:val="clear" w:color="auto" w:fill="auto"/>
            <w:noWrap/>
            <w:vAlign w:val="bottom"/>
          </w:tcPr>
          <w:p w14:paraId="7AB0D457" w14:textId="77777777" w:rsidR="00F87E58" w:rsidRPr="00DC7264" w:rsidRDefault="00F87E58" w:rsidP="00F87E58">
            <w:pPr>
              <w:pStyle w:val="cuatexto"/>
              <w:jc w:val="right"/>
              <w:rPr>
                <w:sz w:val="14"/>
                <w:szCs w:val="14"/>
              </w:rPr>
            </w:pPr>
            <w:r w:rsidRPr="00DC7264">
              <w:rPr>
                <w:sz w:val="14"/>
                <w:szCs w:val="14"/>
              </w:rPr>
              <w:t>0,00</w:t>
            </w:r>
          </w:p>
        </w:tc>
        <w:tc>
          <w:tcPr>
            <w:tcW w:w="397" w:type="dxa"/>
            <w:tcBorders>
              <w:top w:val="single" w:sz="4" w:space="0" w:color="auto"/>
              <w:left w:val="nil"/>
              <w:bottom w:val="single" w:sz="2" w:space="0" w:color="auto"/>
              <w:right w:val="nil"/>
            </w:tcBorders>
            <w:shd w:val="clear" w:color="auto" w:fill="auto"/>
            <w:noWrap/>
            <w:vAlign w:val="bottom"/>
          </w:tcPr>
          <w:p w14:paraId="6CCF0D5B" w14:textId="77777777" w:rsidR="00F87E58" w:rsidRPr="00DC7264" w:rsidRDefault="00F87E58" w:rsidP="00F87E58">
            <w:pPr>
              <w:pStyle w:val="cuatexto"/>
              <w:jc w:val="right"/>
              <w:rPr>
                <w:sz w:val="14"/>
                <w:szCs w:val="14"/>
              </w:rPr>
            </w:pPr>
            <w:r w:rsidRPr="00DC7264">
              <w:rPr>
                <w:sz w:val="14"/>
                <w:szCs w:val="14"/>
              </w:rPr>
              <w:t>0,00</w:t>
            </w:r>
          </w:p>
        </w:tc>
        <w:tc>
          <w:tcPr>
            <w:tcW w:w="476" w:type="dxa"/>
            <w:tcBorders>
              <w:top w:val="single" w:sz="4" w:space="0" w:color="auto"/>
              <w:left w:val="nil"/>
              <w:bottom w:val="single" w:sz="2" w:space="0" w:color="auto"/>
              <w:right w:val="nil"/>
            </w:tcBorders>
            <w:shd w:val="clear" w:color="auto" w:fill="auto"/>
            <w:noWrap/>
            <w:vAlign w:val="bottom"/>
          </w:tcPr>
          <w:p w14:paraId="5E4050B8" w14:textId="77777777" w:rsidR="00F87E58" w:rsidRPr="00DC7264" w:rsidRDefault="00F87E58" w:rsidP="00F87E58">
            <w:pPr>
              <w:pStyle w:val="cuatexto"/>
              <w:jc w:val="right"/>
              <w:rPr>
                <w:sz w:val="14"/>
                <w:szCs w:val="14"/>
              </w:rPr>
            </w:pPr>
            <w:r w:rsidRPr="00DC7264">
              <w:rPr>
                <w:sz w:val="14"/>
                <w:szCs w:val="14"/>
              </w:rPr>
              <w:t>(4,04)</w:t>
            </w:r>
          </w:p>
        </w:tc>
        <w:tc>
          <w:tcPr>
            <w:tcW w:w="476" w:type="dxa"/>
            <w:tcBorders>
              <w:top w:val="single" w:sz="4" w:space="0" w:color="auto"/>
              <w:left w:val="nil"/>
              <w:bottom w:val="single" w:sz="2" w:space="0" w:color="auto"/>
              <w:right w:val="nil"/>
            </w:tcBorders>
            <w:shd w:val="clear" w:color="auto" w:fill="auto"/>
            <w:noWrap/>
            <w:vAlign w:val="bottom"/>
          </w:tcPr>
          <w:p w14:paraId="64659C00" w14:textId="77777777" w:rsidR="00F87E58" w:rsidRPr="00DC7264" w:rsidRDefault="00F87E58" w:rsidP="00F87E58">
            <w:pPr>
              <w:pStyle w:val="cuatexto"/>
              <w:jc w:val="right"/>
              <w:rPr>
                <w:sz w:val="14"/>
                <w:szCs w:val="14"/>
              </w:rPr>
            </w:pPr>
            <w:r w:rsidRPr="00DC7264">
              <w:rPr>
                <w:sz w:val="14"/>
                <w:szCs w:val="14"/>
              </w:rPr>
              <w:t>(2,38)</w:t>
            </w:r>
          </w:p>
        </w:tc>
        <w:tc>
          <w:tcPr>
            <w:tcW w:w="397" w:type="dxa"/>
            <w:tcBorders>
              <w:top w:val="single" w:sz="4" w:space="0" w:color="auto"/>
              <w:left w:val="nil"/>
              <w:bottom w:val="single" w:sz="2" w:space="0" w:color="auto"/>
              <w:right w:val="nil"/>
            </w:tcBorders>
            <w:shd w:val="clear" w:color="auto" w:fill="auto"/>
            <w:noWrap/>
            <w:vAlign w:val="bottom"/>
          </w:tcPr>
          <w:p w14:paraId="291EA131" w14:textId="77777777" w:rsidR="00F87E58" w:rsidRPr="00DC7264" w:rsidRDefault="00F87E58" w:rsidP="00F87E58">
            <w:pPr>
              <w:pStyle w:val="cuatexto"/>
              <w:ind w:left="-117"/>
              <w:jc w:val="right"/>
              <w:rPr>
                <w:sz w:val="14"/>
                <w:szCs w:val="14"/>
              </w:rPr>
            </w:pPr>
            <w:r w:rsidRPr="00DC7264">
              <w:rPr>
                <w:sz w:val="14"/>
                <w:szCs w:val="14"/>
              </w:rPr>
              <w:t>(4,01)</w:t>
            </w:r>
          </w:p>
        </w:tc>
        <w:tc>
          <w:tcPr>
            <w:tcW w:w="476" w:type="dxa"/>
            <w:tcBorders>
              <w:top w:val="single" w:sz="4" w:space="0" w:color="auto"/>
              <w:left w:val="nil"/>
              <w:bottom w:val="single" w:sz="2" w:space="0" w:color="auto"/>
              <w:right w:val="nil"/>
            </w:tcBorders>
            <w:shd w:val="clear" w:color="auto" w:fill="auto"/>
            <w:noWrap/>
            <w:vAlign w:val="bottom"/>
          </w:tcPr>
          <w:p w14:paraId="171A8B94" w14:textId="77777777" w:rsidR="00F87E58" w:rsidRPr="00DC7264" w:rsidRDefault="00F87E58" w:rsidP="00F87E58">
            <w:pPr>
              <w:pStyle w:val="cuatexto"/>
              <w:jc w:val="right"/>
              <w:rPr>
                <w:sz w:val="14"/>
                <w:szCs w:val="14"/>
              </w:rPr>
            </w:pPr>
            <w:r w:rsidRPr="00DC7264">
              <w:rPr>
                <w:sz w:val="14"/>
                <w:szCs w:val="14"/>
              </w:rPr>
              <w:t>(3,83)</w:t>
            </w:r>
          </w:p>
        </w:tc>
        <w:tc>
          <w:tcPr>
            <w:tcW w:w="476" w:type="dxa"/>
            <w:tcBorders>
              <w:top w:val="single" w:sz="4" w:space="0" w:color="auto"/>
              <w:left w:val="nil"/>
              <w:bottom w:val="single" w:sz="2" w:space="0" w:color="auto"/>
              <w:right w:val="nil"/>
            </w:tcBorders>
            <w:shd w:val="clear" w:color="auto" w:fill="auto"/>
            <w:noWrap/>
            <w:vAlign w:val="bottom"/>
          </w:tcPr>
          <w:p w14:paraId="706957C6" w14:textId="77777777" w:rsidR="00F87E58" w:rsidRPr="00DC7264" w:rsidRDefault="00F87E58" w:rsidP="00F87E58">
            <w:pPr>
              <w:pStyle w:val="cuatexto"/>
              <w:jc w:val="right"/>
              <w:rPr>
                <w:sz w:val="14"/>
                <w:szCs w:val="14"/>
              </w:rPr>
            </w:pPr>
            <w:r w:rsidRPr="00DC7264">
              <w:rPr>
                <w:sz w:val="14"/>
                <w:szCs w:val="14"/>
              </w:rPr>
              <w:t>(2,75)</w:t>
            </w:r>
          </w:p>
        </w:tc>
        <w:tc>
          <w:tcPr>
            <w:tcW w:w="476" w:type="dxa"/>
            <w:tcBorders>
              <w:top w:val="single" w:sz="4" w:space="0" w:color="auto"/>
              <w:left w:val="nil"/>
              <w:bottom w:val="single" w:sz="2" w:space="0" w:color="auto"/>
              <w:right w:val="nil"/>
            </w:tcBorders>
            <w:shd w:val="clear" w:color="auto" w:fill="auto"/>
            <w:noWrap/>
            <w:vAlign w:val="bottom"/>
          </w:tcPr>
          <w:p w14:paraId="14592AD0" w14:textId="77777777" w:rsidR="00F87E58" w:rsidRPr="00DC7264" w:rsidRDefault="00F87E58" w:rsidP="00F87E58">
            <w:pPr>
              <w:pStyle w:val="cuatexto"/>
              <w:jc w:val="right"/>
              <w:rPr>
                <w:sz w:val="14"/>
                <w:szCs w:val="14"/>
              </w:rPr>
            </w:pPr>
            <w:r w:rsidRPr="00DC7264">
              <w:rPr>
                <w:sz w:val="14"/>
                <w:szCs w:val="14"/>
              </w:rPr>
              <w:t>(2,82)</w:t>
            </w:r>
          </w:p>
        </w:tc>
        <w:tc>
          <w:tcPr>
            <w:tcW w:w="476" w:type="dxa"/>
            <w:tcBorders>
              <w:top w:val="single" w:sz="4" w:space="0" w:color="auto"/>
              <w:left w:val="nil"/>
              <w:bottom w:val="single" w:sz="2" w:space="0" w:color="auto"/>
              <w:right w:val="nil"/>
            </w:tcBorders>
            <w:shd w:val="clear" w:color="auto" w:fill="auto"/>
            <w:noWrap/>
            <w:vAlign w:val="bottom"/>
          </w:tcPr>
          <w:p w14:paraId="3BCC25FC" w14:textId="77777777" w:rsidR="00F87E58" w:rsidRPr="00E63164" w:rsidRDefault="00F87E58" w:rsidP="00F87E58">
            <w:pPr>
              <w:pStyle w:val="cuadroCabe"/>
              <w:ind w:left="-116"/>
              <w:jc w:val="right"/>
              <w:rPr>
                <w:rFonts w:ascii="Arial Narrow" w:hAnsi="Arial Narrow"/>
                <w:sz w:val="14"/>
                <w:szCs w:val="14"/>
              </w:rPr>
            </w:pPr>
            <w:r w:rsidRPr="00E63164">
              <w:rPr>
                <w:rFonts w:ascii="Arial Narrow" w:hAnsi="Arial Narrow"/>
                <w:sz w:val="14"/>
                <w:szCs w:val="14"/>
              </w:rPr>
              <w:t>(4,35)</w:t>
            </w:r>
          </w:p>
        </w:tc>
        <w:tc>
          <w:tcPr>
            <w:tcW w:w="476" w:type="dxa"/>
            <w:tcBorders>
              <w:top w:val="single" w:sz="4" w:space="0" w:color="auto"/>
              <w:left w:val="nil"/>
              <w:bottom w:val="single" w:sz="2" w:space="0" w:color="auto"/>
              <w:right w:val="nil"/>
            </w:tcBorders>
            <w:shd w:val="clear" w:color="auto" w:fill="auto"/>
            <w:noWrap/>
            <w:vAlign w:val="bottom"/>
          </w:tcPr>
          <w:p w14:paraId="21DA05C5" w14:textId="77777777" w:rsidR="00F87E58" w:rsidRPr="00E63164" w:rsidRDefault="00F87E58" w:rsidP="00F87E58">
            <w:pPr>
              <w:pStyle w:val="cuadroCabe"/>
              <w:ind w:left="-116"/>
              <w:jc w:val="right"/>
              <w:rPr>
                <w:rFonts w:ascii="Arial Narrow" w:hAnsi="Arial Narrow"/>
                <w:sz w:val="14"/>
                <w:szCs w:val="14"/>
              </w:rPr>
            </w:pPr>
            <w:r w:rsidRPr="00E63164">
              <w:rPr>
                <w:rFonts w:ascii="Arial Narrow" w:hAnsi="Arial Narrow"/>
                <w:sz w:val="14"/>
                <w:szCs w:val="14"/>
              </w:rPr>
              <w:t>(4,03)</w:t>
            </w:r>
          </w:p>
        </w:tc>
        <w:tc>
          <w:tcPr>
            <w:tcW w:w="476" w:type="dxa"/>
            <w:tcBorders>
              <w:top w:val="single" w:sz="4" w:space="0" w:color="auto"/>
              <w:left w:val="nil"/>
              <w:bottom w:val="single" w:sz="2" w:space="0" w:color="auto"/>
              <w:right w:val="nil"/>
            </w:tcBorders>
            <w:shd w:val="clear" w:color="auto" w:fill="auto"/>
            <w:noWrap/>
            <w:vAlign w:val="bottom"/>
          </w:tcPr>
          <w:p w14:paraId="441C2C82" w14:textId="77777777" w:rsidR="00F87E58" w:rsidRPr="00DC7264" w:rsidRDefault="00F87E58" w:rsidP="00F87E58">
            <w:pPr>
              <w:pStyle w:val="cuatexto"/>
              <w:jc w:val="right"/>
              <w:rPr>
                <w:sz w:val="14"/>
                <w:szCs w:val="14"/>
              </w:rPr>
            </w:pPr>
            <w:r w:rsidRPr="00DC7264">
              <w:rPr>
                <w:sz w:val="14"/>
                <w:szCs w:val="14"/>
              </w:rPr>
              <w:t>(4,00)</w:t>
            </w:r>
          </w:p>
        </w:tc>
        <w:tc>
          <w:tcPr>
            <w:tcW w:w="476" w:type="dxa"/>
            <w:tcBorders>
              <w:top w:val="single" w:sz="4" w:space="0" w:color="auto"/>
              <w:left w:val="nil"/>
              <w:bottom w:val="single" w:sz="2" w:space="0" w:color="auto"/>
              <w:right w:val="nil"/>
            </w:tcBorders>
            <w:shd w:val="clear" w:color="auto" w:fill="auto"/>
            <w:noWrap/>
            <w:vAlign w:val="bottom"/>
          </w:tcPr>
          <w:p w14:paraId="07E45E2F" w14:textId="77777777" w:rsidR="00F87E58" w:rsidRPr="00DC7264" w:rsidRDefault="00F87E58" w:rsidP="00F87E58">
            <w:pPr>
              <w:pStyle w:val="cuatexto"/>
              <w:jc w:val="right"/>
              <w:rPr>
                <w:sz w:val="14"/>
                <w:szCs w:val="14"/>
              </w:rPr>
            </w:pPr>
            <w:r w:rsidRPr="00DC7264">
              <w:rPr>
                <w:sz w:val="14"/>
                <w:szCs w:val="14"/>
              </w:rPr>
              <w:t>(2,68)</w:t>
            </w:r>
          </w:p>
        </w:tc>
        <w:tc>
          <w:tcPr>
            <w:tcW w:w="476" w:type="dxa"/>
            <w:tcBorders>
              <w:top w:val="single" w:sz="4" w:space="0" w:color="auto"/>
              <w:left w:val="nil"/>
              <w:bottom w:val="single" w:sz="2" w:space="0" w:color="auto"/>
              <w:right w:val="nil"/>
            </w:tcBorders>
            <w:shd w:val="clear" w:color="auto" w:fill="auto"/>
            <w:noWrap/>
            <w:vAlign w:val="bottom"/>
          </w:tcPr>
          <w:p w14:paraId="5EFDD437" w14:textId="77777777" w:rsidR="00F87E58" w:rsidRPr="00E63164" w:rsidRDefault="00F87E58" w:rsidP="00F87E58">
            <w:pPr>
              <w:pStyle w:val="cuadroCabe"/>
              <w:ind w:left="-116"/>
              <w:jc w:val="right"/>
              <w:rPr>
                <w:rFonts w:ascii="Arial Narrow" w:hAnsi="Arial Narrow"/>
                <w:sz w:val="14"/>
                <w:szCs w:val="14"/>
              </w:rPr>
            </w:pPr>
            <w:r w:rsidRPr="00E63164">
              <w:rPr>
                <w:rFonts w:ascii="Arial Narrow" w:hAnsi="Arial Narrow"/>
                <w:sz w:val="14"/>
                <w:szCs w:val="14"/>
              </w:rPr>
              <w:t>(2,91)</w:t>
            </w:r>
          </w:p>
        </w:tc>
        <w:tc>
          <w:tcPr>
            <w:tcW w:w="476" w:type="dxa"/>
            <w:tcBorders>
              <w:top w:val="single" w:sz="4" w:space="0" w:color="auto"/>
              <w:left w:val="nil"/>
              <w:bottom w:val="single" w:sz="2" w:space="0" w:color="auto"/>
              <w:right w:val="nil"/>
            </w:tcBorders>
            <w:shd w:val="clear" w:color="auto" w:fill="auto"/>
            <w:noWrap/>
            <w:vAlign w:val="bottom"/>
          </w:tcPr>
          <w:p w14:paraId="4AC32316" w14:textId="77777777" w:rsidR="00F87E58" w:rsidRPr="00E63164" w:rsidRDefault="00F87E58" w:rsidP="00F87E58">
            <w:pPr>
              <w:pStyle w:val="cuadroCabe"/>
              <w:ind w:left="-116"/>
              <w:jc w:val="right"/>
              <w:rPr>
                <w:rFonts w:ascii="Arial Narrow" w:hAnsi="Arial Narrow"/>
                <w:sz w:val="14"/>
                <w:szCs w:val="14"/>
              </w:rPr>
            </w:pPr>
            <w:r w:rsidRPr="00E63164">
              <w:rPr>
                <w:rFonts w:ascii="Arial Narrow" w:hAnsi="Arial Narrow"/>
                <w:sz w:val="14"/>
                <w:szCs w:val="14"/>
              </w:rPr>
              <w:t>(2,71)</w:t>
            </w:r>
          </w:p>
        </w:tc>
        <w:tc>
          <w:tcPr>
            <w:tcW w:w="476" w:type="dxa"/>
            <w:tcBorders>
              <w:top w:val="single" w:sz="4" w:space="0" w:color="auto"/>
              <w:left w:val="nil"/>
              <w:bottom w:val="single" w:sz="2" w:space="0" w:color="auto"/>
              <w:right w:val="nil"/>
            </w:tcBorders>
            <w:shd w:val="clear" w:color="auto" w:fill="auto"/>
            <w:noWrap/>
            <w:vAlign w:val="bottom"/>
          </w:tcPr>
          <w:p w14:paraId="3B25EC6B" w14:textId="77777777" w:rsidR="00F87E58" w:rsidRPr="00DC7264" w:rsidRDefault="00F87E58" w:rsidP="00F87E58">
            <w:pPr>
              <w:pStyle w:val="cuatexto"/>
              <w:jc w:val="right"/>
              <w:rPr>
                <w:sz w:val="14"/>
                <w:szCs w:val="14"/>
              </w:rPr>
            </w:pPr>
            <w:r w:rsidRPr="00DC7264">
              <w:rPr>
                <w:sz w:val="14"/>
                <w:szCs w:val="14"/>
              </w:rPr>
              <w:t>(2,49)</w:t>
            </w:r>
          </w:p>
        </w:tc>
        <w:tc>
          <w:tcPr>
            <w:tcW w:w="476" w:type="dxa"/>
            <w:tcBorders>
              <w:top w:val="single" w:sz="4" w:space="0" w:color="auto"/>
              <w:left w:val="nil"/>
              <w:bottom w:val="single" w:sz="2" w:space="0" w:color="auto"/>
              <w:right w:val="nil"/>
            </w:tcBorders>
            <w:shd w:val="clear" w:color="auto" w:fill="auto"/>
            <w:noWrap/>
            <w:vAlign w:val="bottom"/>
          </w:tcPr>
          <w:p w14:paraId="38EB8E27" w14:textId="77777777" w:rsidR="00F87E58" w:rsidRPr="00DC7264" w:rsidRDefault="00F87E58" w:rsidP="00F87E58">
            <w:pPr>
              <w:pStyle w:val="cuatexto"/>
              <w:jc w:val="right"/>
              <w:rPr>
                <w:sz w:val="14"/>
                <w:szCs w:val="14"/>
              </w:rPr>
            </w:pPr>
            <w:r w:rsidRPr="00DC7264">
              <w:rPr>
                <w:sz w:val="14"/>
                <w:szCs w:val="14"/>
              </w:rPr>
              <w:t>(2,36)</w:t>
            </w:r>
          </w:p>
        </w:tc>
        <w:tc>
          <w:tcPr>
            <w:tcW w:w="476" w:type="dxa"/>
            <w:tcBorders>
              <w:top w:val="single" w:sz="4" w:space="0" w:color="auto"/>
              <w:left w:val="nil"/>
              <w:bottom w:val="single" w:sz="2" w:space="0" w:color="auto"/>
              <w:right w:val="nil"/>
            </w:tcBorders>
            <w:shd w:val="clear" w:color="auto" w:fill="auto"/>
            <w:noWrap/>
            <w:vAlign w:val="bottom"/>
          </w:tcPr>
          <w:p w14:paraId="3FB93A5F" w14:textId="77777777" w:rsidR="00F87E58" w:rsidRPr="006D3C1E" w:rsidRDefault="00F87E58" w:rsidP="00F87E58">
            <w:pPr>
              <w:pStyle w:val="cuadroCabe"/>
              <w:ind w:left="-116"/>
              <w:jc w:val="right"/>
              <w:rPr>
                <w:rFonts w:ascii="Arial Narrow" w:hAnsi="Arial Narrow"/>
                <w:sz w:val="14"/>
                <w:szCs w:val="14"/>
              </w:rPr>
            </w:pPr>
            <w:r w:rsidRPr="006D3C1E">
              <w:rPr>
                <w:rFonts w:ascii="Arial Narrow" w:hAnsi="Arial Narrow"/>
                <w:sz w:val="14"/>
                <w:szCs w:val="14"/>
              </w:rPr>
              <w:t>(2,85)</w:t>
            </w:r>
          </w:p>
        </w:tc>
        <w:tc>
          <w:tcPr>
            <w:tcW w:w="476" w:type="dxa"/>
            <w:tcBorders>
              <w:top w:val="single" w:sz="4" w:space="0" w:color="auto"/>
              <w:left w:val="nil"/>
              <w:bottom w:val="single" w:sz="2" w:space="0" w:color="auto"/>
              <w:right w:val="nil"/>
            </w:tcBorders>
            <w:shd w:val="clear" w:color="auto" w:fill="auto"/>
            <w:noWrap/>
            <w:vAlign w:val="bottom"/>
          </w:tcPr>
          <w:p w14:paraId="40011DF0" w14:textId="77777777" w:rsidR="00F87E58" w:rsidRPr="00DC7264" w:rsidRDefault="00F87E58" w:rsidP="00F87E58">
            <w:pPr>
              <w:pStyle w:val="cuatexto"/>
              <w:jc w:val="right"/>
              <w:rPr>
                <w:sz w:val="14"/>
                <w:szCs w:val="14"/>
              </w:rPr>
            </w:pPr>
            <w:r w:rsidRPr="00DC7264">
              <w:rPr>
                <w:sz w:val="14"/>
                <w:szCs w:val="14"/>
              </w:rPr>
              <w:t>(3,35)</w:t>
            </w:r>
          </w:p>
        </w:tc>
        <w:tc>
          <w:tcPr>
            <w:tcW w:w="476" w:type="dxa"/>
            <w:tcBorders>
              <w:top w:val="single" w:sz="4" w:space="0" w:color="auto"/>
              <w:left w:val="nil"/>
              <w:bottom w:val="single" w:sz="2" w:space="0" w:color="auto"/>
              <w:right w:val="nil"/>
            </w:tcBorders>
            <w:shd w:val="clear" w:color="auto" w:fill="auto"/>
            <w:noWrap/>
            <w:vAlign w:val="bottom"/>
          </w:tcPr>
          <w:p w14:paraId="05E64859" w14:textId="77777777" w:rsidR="00F87E58" w:rsidRPr="00DC7264" w:rsidRDefault="00F87E58" w:rsidP="00F87E58">
            <w:pPr>
              <w:pStyle w:val="cuatexto"/>
              <w:jc w:val="right"/>
              <w:rPr>
                <w:sz w:val="14"/>
                <w:szCs w:val="14"/>
              </w:rPr>
            </w:pPr>
            <w:r w:rsidRPr="00DC7264">
              <w:rPr>
                <w:sz w:val="14"/>
                <w:szCs w:val="14"/>
              </w:rPr>
              <w:t>(1,99)</w:t>
            </w:r>
          </w:p>
        </w:tc>
        <w:tc>
          <w:tcPr>
            <w:tcW w:w="476" w:type="dxa"/>
            <w:tcBorders>
              <w:top w:val="single" w:sz="4" w:space="0" w:color="auto"/>
              <w:left w:val="nil"/>
              <w:bottom w:val="single" w:sz="2" w:space="0" w:color="auto"/>
              <w:right w:val="nil"/>
            </w:tcBorders>
            <w:shd w:val="clear" w:color="auto" w:fill="auto"/>
            <w:noWrap/>
            <w:vAlign w:val="bottom"/>
          </w:tcPr>
          <w:p w14:paraId="6E722EBC" w14:textId="77777777" w:rsidR="00F87E58" w:rsidRPr="00DC7264" w:rsidRDefault="00F87E58" w:rsidP="00F87E58">
            <w:pPr>
              <w:pStyle w:val="cuatexto"/>
              <w:jc w:val="right"/>
              <w:rPr>
                <w:sz w:val="14"/>
                <w:szCs w:val="14"/>
              </w:rPr>
            </w:pPr>
            <w:r w:rsidRPr="00DC7264">
              <w:rPr>
                <w:sz w:val="14"/>
                <w:szCs w:val="14"/>
              </w:rPr>
              <w:t>(2,22)</w:t>
            </w:r>
          </w:p>
        </w:tc>
      </w:tr>
      <w:tr w:rsidR="00F87E58" w:rsidRPr="00DC7264" w14:paraId="0FABD64B" w14:textId="77777777" w:rsidTr="00F87E58">
        <w:trPr>
          <w:trHeight w:val="198"/>
          <w:jc w:val="center"/>
        </w:trPr>
        <w:tc>
          <w:tcPr>
            <w:tcW w:w="1134" w:type="dxa"/>
            <w:tcBorders>
              <w:top w:val="single" w:sz="2" w:space="0" w:color="auto"/>
              <w:bottom w:val="single" w:sz="4" w:space="0" w:color="auto"/>
              <w:right w:val="nil"/>
            </w:tcBorders>
            <w:shd w:val="clear" w:color="auto" w:fill="auto"/>
            <w:noWrap/>
            <w:vAlign w:val="bottom"/>
          </w:tcPr>
          <w:p w14:paraId="676D85F5" w14:textId="77777777" w:rsidR="00F87E58" w:rsidRPr="00DC7264" w:rsidRDefault="00F87E58" w:rsidP="00321B53">
            <w:pPr>
              <w:pStyle w:val="cuatexto"/>
              <w:spacing w:line="240" w:lineRule="auto"/>
              <w:ind w:left="-74"/>
              <w:jc w:val="left"/>
              <w:rPr>
                <w:sz w:val="12"/>
                <w:szCs w:val="12"/>
              </w:rPr>
            </w:pPr>
            <w:r w:rsidRPr="00DC7264">
              <w:rPr>
                <w:sz w:val="12"/>
                <w:szCs w:val="12"/>
              </w:rPr>
              <w:t>Importe anual préstamo participativo</w:t>
            </w:r>
          </w:p>
        </w:tc>
        <w:tc>
          <w:tcPr>
            <w:tcW w:w="397" w:type="dxa"/>
            <w:tcBorders>
              <w:top w:val="single" w:sz="2" w:space="0" w:color="auto"/>
              <w:left w:val="nil"/>
              <w:bottom w:val="single" w:sz="4" w:space="0" w:color="auto"/>
              <w:right w:val="nil"/>
            </w:tcBorders>
            <w:shd w:val="clear" w:color="auto" w:fill="auto"/>
            <w:noWrap/>
            <w:vAlign w:val="bottom"/>
          </w:tcPr>
          <w:p w14:paraId="6FB8F433" w14:textId="77777777" w:rsidR="00F87E58" w:rsidRPr="00DC7264" w:rsidRDefault="00F87E58" w:rsidP="00F87E58">
            <w:pPr>
              <w:pStyle w:val="cuatexto"/>
              <w:jc w:val="right"/>
              <w:rPr>
                <w:sz w:val="14"/>
                <w:szCs w:val="14"/>
              </w:rPr>
            </w:pPr>
            <w:r w:rsidRPr="00DC7264">
              <w:rPr>
                <w:sz w:val="14"/>
                <w:szCs w:val="14"/>
              </w:rPr>
              <w:t>0,00</w:t>
            </w:r>
          </w:p>
        </w:tc>
        <w:tc>
          <w:tcPr>
            <w:tcW w:w="397" w:type="dxa"/>
            <w:tcBorders>
              <w:top w:val="single" w:sz="2" w:space="0" w:color="auto"/>
              <w:left w:val="nil"/>
              <w:bottom w:val="single" w:sz="4" w:space="0" w:color="auto"/>
              <w:right w:val="nil"/>
            </w:tcBorders>
            <w:shd w:val="clear" w:color="auto" w:fill="auto"/>
            <w:noWrap/>
            <w:vAlign w:val="bottom"/>
          </w:tcPr>
          <w:p w14:paraId="257D2D75" w14:textId="77777777" w:rsidR="00F87E58" w:rsidRPr="00DC7264" w:rsidRDefault="00F87E58" w:rsidP="00F87E58">
            <w:pPr>
              <w:pStyle w:val="cuatexto"/>
              <w:jc w:val="right"/>
              <w:rPr>
                <w:sz w:val="14"/>
                <w:szCs w:val="14"/>
              </w:rPr>
            </w:pPr>
            <w:r w:rsidRPr="00DC7264">
              <w:rPr>
                <w:sz w:val="14"/>
                <w:szCs w:val="14"/>
              </w:rPr>
              <w:t>0,00</w:t>
            </w:r>
          </w:p>
        </w:tc>
        <w:tc>
          <w:tcPr>
            <w:tcW w:w="397" w:type="dxa"/>
            <w:tcBorders>
              <w:top w:val="single" w:sz="2" w:space="0" w:color="auto"/>
              <w:left w:val="nil"/>
              <w:bottom w:val="single" w:sz="4" w:space="0" w:color="auto"/>
              <w:right w:val="nil"/>
            </w:tcBorders>
            <w:shd w:val="clear" w:color="auto" w:fill="auto"/>
            <w:noWrap/>
            <w:vAlign w:val="bottom"/>
          </w:tcPr>
          <w:p w14:paraId="4E45AEC1" w14:textId="77777777" w:rsidR="00F87E58" w:rsidRPr="00DC7264" w:rsidRDefault="00F87E58" w:rsidP="00F87E58">
            <w:pPr>
              <w:pStyle w:val="cuatexto"/>
              <w:jc w:val="right"/>
              <w:rPr>
                <w:sz w:val="14"/>
                <w:szCs w:val="14"/>
              </w:rPr>
            </w:pPr>
            <w:r w:rsidRPr="00DC7264">
              <w:rPr>
                <w:sz w:val="14"/>
                <w:szCs w:val="14"/>
              </w:rPr>
              <w:t>0,00</w:t>
            </w:r>
          </w:p>
        </w:tc>
        <w:tc>
          <w:tcPr>
            <w:tcW w:w="397" w:type="dxa"/>
            <w:tcBorders>
              <w:top w:val="single" w:sz="2" w:space="0" w:color="auto"/>
              <w:left w:val="nil"/>
              <w:bottom w:val="single" w:sz="4" w:space="0" w:color="auto"/>
              <w:right w:val="nil"/>
            </w:tcBorders>
            <w:shd w:val="clear" w:color="auto" w:fill="auto"/>
            <w:noWrap/>
            <w:vAlign w:val="bottom"/>
          </w:tcPr>
          <w:p w14:paraId="624E065E" w14:textId="77777777" w:rsidR="00F87E58" w:rsidRPr="00DC7264" w:rsidRDefault="00F87E58" w:rsidP="00F87E58">
            <w:pPr>
              <w:pStyle w:val="cuatexto"/>
              <w:jc w:val="right"/>
              <w:rPr>
                <w:sz w:val="14"/>
                <w:szCs w:val="14"/>
              </w:rPr>
            </w:pPr>
            <w:r w:rsidRPr="00DC7264">
              <w:rPr>
                <w:sz w:val="14"/>
                <w:szCs w:val="14"/>
              </w:rPr>
              <w:t>0,00</w:t>
            </w:r>
          </w:p>
        </w:tc>
        <w:tc>
          <w:tcPr>
            <w:tcW w:w="476" w:type="dxa"/>
            <w:tcBorders>
              <w:top w:val="single" w:sz="2" w:space="0" w:color="auto"/>
              <w:left w:val="nil"/>
              <w:bottom w:val="single" w:sz="4" w:space="0" w:color="auto"/>
              <w:right w:val="nil"/>
            </w:tcBorders>
            <w:shd w:val="clear" w:color="auto" w:fill="auto"/>
            <w:noWrap/>
            <w:vAlign w:val="bottom"/>
          </w:tcPr>
          <w:p w14:paraId="66571F56" w14:textId="77777777" w:rsidR="00F87E58" w:rsidRPr="00DC7264" w:rsidRDefault="00F87E58" w:rsidP="00F87E58">
            <w:pPr>
              <w:pStyle w:val="cuatexto"/>
              <w:jc w:val="right"/>
              <w:rPr>
                <w:sz w:val="14"/>
                <w:szCs w:val="14"/>
              </w:rPr>
            </w:pPr>
            <w:r w:rsidRPr="00DC7264">
              <w:rPr>
                <w:sz w:val="14"/>
                <w:szCs w:val="14"/>
              </w:rPr>
              <w:t>0,00</w:t>
            </w:r>
          </w:p>
        </w:tc>
        <w:tc>
          <w:tcPr>
            <w:tcW w:w="476" w:type="dxa"/>
            <w:tcBorders>
              <w:top w:val="single" w:sz="2" w:space="0" w:color="auto"/>
              <w:left w:val="nil"/>
              <w:bottom w:val="single" w:sz="4" w:space="0" w:color="auto"/>
              <w:right w:val="nil"/>
            </w:tcBorders>
            <w:shd w:val="clear" w:color="auto" w:fill="auto"/>
            <w:noWrap/>
            <w:vAlign w:val="bottom"/>
          </w:tcPr>
          <w:p w14:paraId="375A0241" w14:textId="77777777" w:rsidR="00F87E58" w:rsidRPr="00DC7264" w:rsidRDefault="00F87E58" w:rsidP="00F87E58">
            <w:pPr>
              <w:pStyle w:val="cuatexto"/>
              <w:jc w:val="right"/>
              <w:rPr>
                <w:sz w:val="14"/>
                <w:szCs w:val="14"/>
              </w:rPr>
            </w:pPr>
            <w:r w:rsidRPr="00DC7264">
              <w:rPr>
                <w:sz w:val="14"/>
                <w:szCs w:val="14"/>
              </w:rPr>
              <w:t>4,30</w:t>
            </w:r>
          </w:p>
        </w:tc>
        <w:tc>
          <w:tcPr>
            <w:tcW w:w="397" w:type="dxa"/>
            <w:tcBorders>
              <w:top w:val="single" w:sz="2" w:space="0" w:color="auto"/>
              <w:left w:val="nil"/>
              <w:bottom w:val="single" w:sz="4" w:space="0" w:color="auto"/>
              <w:right w:val="nil"/>
            </w:tcBorders>
            <w:shd w:val="clear" w:color="auto" w:fill="auto"/>
            <w:noWrap/>
            <w:vAlign w:val="bottom"/>
          </w:tcPr>
          <w:p w14:paraId="1315538E" w14:textId="77777777" w:rsidR="00F87E58" w:rsidRPr="00DC7264" w:rsidRDefault="00F87E58" w:rsidP="00F87E58">
            <w:pPr>
              <w:pStyle w:val="cuatexto"/>
              <w:ind w:left="-117"/>
              <w:jc w:val="right"/>
              <w:rPr>
                <w:sz w:val="14"/>
                <w:szCs w:val="14"/>
              </w:rPr>
            </w:pPr>
            <w:r w:rsidRPr="00DC7264">
              <w:rPr>
                <w:sz w:val="14"/>
                <w:szCs w:val="14"/>
              </w:rPr>
              <w:t>4,40</w:t>
            </w:r>
          </w:p>
        </w:tc>
        <w:tc>
          <w:tcPr>
            <w:tcW w:w="476" w:type="dxa"/>
            <w:tcBorders>
              <w:top w:val="single" w:sz="2" w:space="0" w:color="auto"/>
              <w:left w:val="nil"/>
              <w:bottom w:val="single" w:sz="4" w:space="0" w:color="auto"/>
              <w:right w:val="nil"/>
            </w:tcBorders>
            <w:shd w:val="clear" w:color="auto" w:fill="auto"/>
            <w:noWrap/>
            <w:vAlign w:val="bottom"/>
          </w:tcPr>
          <w:p w14:paraId="34331D31" w14:textId="77777777" w:rsidR="00F87E58" w:rsidRPr="00DC7264" w:rsidRDefault="00F87E58" w:rsidP="00F87E58">
            <w:pPr>
              <w:pStyle w:val="cuatexto"/>
              <w:jc w:val="right"/>
              <w:rPr>
                <w:sz w:val="14"/>
                <w:szCs w:val="14"/>
              </w:rPr>
            </w:pPr>
            <w:r w:rsidRPr="00DC7264">
              <w:rPr>
                <w:sz w:val="14"/>
                <w:szCs w:val="14"/>
              </w:rPr>
              <w:t>4,20</w:t>
            </w:r>
          </w:p>
        </w:tc>
        <w:tc>
          <w:tcPr>
            <w:tcW w:w="476" w:type="dxa"/>
            <w:tcBorders>
              <w:top w:val="single" w:sz="2" w:space="0" w:color="auto"/>
              <w:left w:val="nil"/>
              <w:bottom w:val="single" w:sz="4" w:space="0" w:color="auto"/>
              <w:right w:val="nil"/>
            </w:tcBorders>
            <w:shd w:val="clear" w:color="auto" w:fill="auto"/>
            <w:noWrap/>
            <w:vAlign w:val="bottom"/>
          </w:tcPr>
          <w:p w14:paraId="27F3B9E4" w14:textId="77777777" w:rsidR="00F87E58" w:rsidRPr="00DC7264" w:rsidRDefault="00F87E58" w:rsidP="00F87E58">
            <w:pPr>
              <w:pStyle w:val="cuatexto"/>
              <w:jc w:val="right"/>
              <w:rPr>
                <w:sz w:val="14"/>
                <w:szCs w:val="14"/>
              </w:rPr>
            </w:pPr>
            <w:r w:rsidRPr="00DC7264">
              <w:rPr>
                <w:sz w:val="14"/>
                <w:szCs w:val="14"/>
              </w:rPr>
              <w:t>3,85</w:t>
            </w:r>
          </w:p>
        </w:tc>
        <w:tc>
          <w:tcPr>
            <w:tcW w:w="476" w:type="dxa"/>
            <w:tcBorders>
              <w:top w:val="single" w:sz="2" w:space="0" w:color="auto"/>
              <w:left w:val="nil"/>
              <w:bottom w:val="single" w:sz="4" w:space="0" w:color="auto"/>
              <w:right w:val="nil"/>
            </w:tcBorders>
            <w:shd w:val="clear" w:color="auto" w:fill="auto"/>
            <w:noWrap/>
            <w:vAlign w:val="bottom"/>
          </w:tcPr>
          <w:p w14:paraId="4C2F388B" w14:textId="77777777" w:rsidR="00F87E58" w:rsidRPr="00DC7264" w:rsidRDefault="00F87E58" w:rsidP="00F87E58">
            <w:pPr>
              <w:pStyle w:val="cuatexto"/>
              <w:jc w:val="right"/>
              <w:rPr>
                <w:sz w:val="14"/>
                <w:szCs w:val="14"/>
              </w:rPr>
            </w:pPr>
            <w:r w:rsidRPr="00DC7264">
              <w:rPr>
                <w:sz w:val="14"/>
                <w:szCs w:val="14"/>
              </w:rPr>
              <w:t>4,30</w:t>
            </w:r>
          </w:p>
        </w:tc>
        <w:tc>
          <w:tcPr>
            <w:tcW w:w="476" w:type="dxa"/>
            <w:tcBorders>
              <w:top w:val="single" w:sz="2" w:space="0" w:color="auto"/>
              <w:left w:val="nil"/>
              <w:bottom w:val="single" w:sz="4" w:space="0" w:color="auto"/>
              <w:right w:val="nil"/>
            </w:tcBorders>
            <w:shd w:val="clear" w:color="auto" w:fill="auto"/>
            <w:noWrap/>
            <w:vAlign w:val="bottom"/>
          </w:tcPr>
          <w:p w14:paraId="4A9908BC" w14:textId="77777777" w:rsidR="00F87E58" w:rsidRPr="00E63164" w:rsidRDefault="00F87E58" w:rsidP="00F87E58">
            <w:pPr>
              <w:pStyle w:val="cuadroCabe"/>
              <w:ind w:left="-116"/>
              <w:jc w:val="right"/>
              <w:rPr>
                <w:rFonts w:ascii="Arial Narrow" w:hAnsi="Arial Narrow"/>
                <w:sz w:val="14"/>
                <w:szCs w:val="14"/>
              </w:rPr>
            </w:pPr>
            <w:r w:rsidRPr="00E63164">
              <w:rPr>
                <w:rFonts w:ascii="Arial Narrow" w:hAnsi="Arial Narrow"/>
                <w:sz w:val="14"/>
                <w:szCs w:val="14"/>
              </w:rPr>
              <w:t>4,33</w:t>
            </w:r>
          </w:p>
        </w:tc>
        <w:tc>
          <w:tcPr>
            <w:tcW w:w="476" w:type="dxa"/>
            <w:tcBorders>
              <w:top w:val="single" w:sz="2" w:space="0" w:color="auto"/>
              <w:left w:val="nil"/>
              <w:bottom w:val="single" w:sz="4" w:space="0" w:color="auto"/>
              <w:right w:val="nil"/>
            </w:tcBorders>
            <w:shd w:val="clear" w:color="auto" w:fill="auto"/>
            <w:noWrap/>
            <w:vAlign w:val="bottom"/>
          </w:tcPr>
          <w:p w14:paraId="6BF0DEC6" w14:textId="77777777" w:rsidR="00F87E58" w:rsidRPr="00E63164" w:rsidRDefault="00F87E58" w:rsidP="00F87E58">
            <w:pPr>
              <w:pStyle w:val="cuadroCabe"/>
              <w:ind w:left="-116"/>
              <w:jc w:val="right"/>
              <w:rPr>
                <w:rFonts w:ascii="Arial Narrow" w:hAnsi="Arial Narrow"/>
                <w:sz w:val="14"/>
                <w:szCs w:val="14"/>
              </w:rPr>
            </w:pPr>
            <w:r w:rsidRPr="00E63164">
              <w:rPr>
                <w:rFonts w:ascii="Arial Narrow" w:hAnsi="Arial Narrow"/>
                <w:sz w:val="14"/>
                <w:szCs w:val="14"/>
              </w:rPr>
              <w:t>4,05</w:t>
            </w:r>
          </w:p>
        </w:tc>
        <w:tc>
          <w:tcPr>
            <w:tcW w:w="476" w:type="dxa"/>
            <w:tcBorders>
              <w:top w:val="single" w:sz="2" w:space="0" w:color="auto"/>
              <w:left w:val="nil"/>
              <w:bottom w:val="single" w:sz="4" w:space="0" w:color="auto"/>
              <w:right w:val="nil"/>
            </w:tcBorders>
            <w:shd w:val="clear" w:color="auto" w:fill="auto"/>
            <w:noWrap/>
            <w:vAlign w:val="bottom"/>
          </w:tcPr>
          <w:p w14:paraId="129F40E7" w14:textId="77777777" w:rsidR="00F87E58" w:rsidRPr="00DC7264" w:rsidRDefault="00F87E58" w:rsidP="00F87E58">
            <w:pPr>
              <w:pStyle w:val="cuatexto"/>
              <w:jc w:val="right"/>
              <w:rPr>
                <w:sz w:val="14"/>
                <w:szCs w:val="14"/>
              </w:rPr>
            </w:pPr>
            <w:r w:rsidRPr="00DC7264">
              <w:rPr>
                <w:sz w:val="14"/>
                <w:szCs w:val="14"/>
              </w:rPr>
              <w:t>3,75</w:t>
            </w:r>
          </w:p>
        </w:tc>
        <w:tc>
          <w:tcPr>
            <w:tcW w:w="476" w:type="dxa"/>
            <w:tcBorders>
              <w:top w:val="single" w:sz="2" w:space="0" w:color="auto"/>
              <w:left w:val="nil"/>
              <w:bottom w:val="single" w:sz="4" w:space="0" w:color="auto"/>
              <w:right w:val="nil"/>
            </w:tcBorders>
            <w:shd w:val="clear" w:color="auto" w:fill="auto"/>
            <w:noWrap/>
            <w:vAlign w:val="bottom"/>
          </w:tcPr>
          <w:p w14:paraId="028991D9" w14:textId="77777777" w:rsidR="00F87E58" w:rsidRPr="00DC7264" w:rsidRDefault="00F87E58" w:rsidP="00F87E58">
            <w:pPr>
              <w:pStyle w:val="cuatexto"/>
              <w:jc w:val="right"/>
              <w:rPr>
                <w:sz w:val="14"/>
                <w:szCs w:val="14"/>
              </w:rPr>
            </w:pPr>
            <w:r w:rsidRPr="00DC7264">
              <w:rPr>
                <w:sz w:val="14"/>
                <w:szCs w:val="14"/>
              </w:rPr>
              <w:t>3,00</w:t>
            </w:r>
          </w:p>
        </w:tc>
        <w:tc>
          <w:tcPr>
            <w:tcW w:w="476" w:type="dxa"/>
            <w:tcBorders>
              <w:top w:val="single" w:sz="2" w:space="0" w:color="auto"/>
              <w:left w:val="nil"/>
              <w:bottom w:val="single" w:sz="4" w:space="0" w:color="auto"/>
              <w:right w:val="nil"/>
            </w:tcBorders>
            <w:shd w:val="clear" w:color="auto" w:fill="auto"/>
            <w:noWrap/>
            <w:vAlign w:val="bottom"/>
          </w:tcPr>
          <w:p w14:paraId="72ACE096" w14:textId="77777777" w:rsidR="00F87E58" w:rsidRPr="00E63164" w:rsidRDefault="00F87E58" w:rsidP="00F87E58">
            <w:pPr>
              <w:pStyle w:val="cuadroCabe"/>
              <w:ind w:left="-116"/>
              <w:jc w:val="right"/>
              <w:rPr>
                <w:rFonts w:ascii="Arial Narrow" w:hAnsi="Arial Narrow"/>
                <w:sz w:val="14"/>
                <w:szCs w:val="14"/>
              </w:rPr>
            </w:pPr>
            <w:r w:rsidRPr="00E63164">
              <w:rPr>
                <w:rFonts w:ascii="Arial Narrow" w:hAnsi="Arial Narrow"/>
                <w:sz w:val="14"/>
                <w:szCs w:val="14"/>
              </w:rPr>
              <w:t>2,90</w:t>
            </w:r>
          </w:p>
        </w:tc>
        <w:tc>
          <w:tcPr>
            <w:tcW w:w="476" w:type="dxa"/>
            <w:tcBorders>
              <w:top w:val="single" w:sz="2" w:space="0" w:color="auto"/>
              <w:left w:val="nil"/>
              <w:bottom w:val="single" w:sz="4" w:space="0" w:color="auto"/>
              <w:right w:val="nil"/>
            </w:tcBorders>
            <w:shd w:val="clear" w:color="auto" w:fill="auto"/>
            <w:noWrap/>
            <w:vAlign w:val="bottom"/>
          </w:tcPr>
          <w:p w14:paraId="6D30C185" w14:textId="77777777" w:rsidR="00F87E58" w:rsidRPr="00E63164" w:rsidRDefault="00F87E58" w:rsidP="00F87E58">
            <w:pPr>
              <w:pStyle w:val="cuadroCabe"/>
              <w:ind w:left="-116"/>
              <w:jc w:val="right"/>
              <w:rPr>
                <w:rFonts w:ascii="Arial Narrow" w:hAnsi="Arial Narrow"/>
                <w:sz w:val="14"/>
                <w:szCs w:val="14"/>
              </w:rPr>
            </w:pPr>
            <w:r w:rsidRPr="00E63164">
              <w:rPr>
                <w:rFonts w:ascii="Arial Narrow" w:hAnsi="Arial Narrow"/>
                <w:sz w:val="14"/>
                <w:szCs w:val="14"/>
              </w:rPr>
              <w:t>2,50</w:t>
            </w:r>
          </w:p>
        </w:tc>
        <w:tc>
          <w:tcPr>
            <w:tcW w:w="476" w:type="dxa"/>
            <w:tcBorders>
              <w:top w:val="single" w:sz="2" w:space="0" w:color="auto"/>
              <w:left w:val="nil"/>
              <w:bottom w:val="single" w:sz="4" w:space="0" w:color="auto"/>
              <w:right w:val="nil"/>
            </w:tcBorders>
            <w:shd w:val="clear" w:color="auto" w:fill="auto"/>
            <w:noWrap/>
            <w:vAlign w:val="bottom"/>
          </w:tcPr>
          <w:p w14:paraId="027CF2CC" w14:textId="77777777" w:rsidR="00F87E58" w:rsidRPr="00DC7264" w:rsidRDefault="00F87E58" w:rsidP="00F87E58">
            <w:pPr>
              <w:pStyle w:val="cuatexto"/>
              <w:jc w:val="right"/>
              <w:rPr>
                <w:sz w:val="14"/>
                <w:szCs w:val="14"/>
              </w:rPr>
            </w:pPr>
            <w:r w:rsidRPr="00DC7264">
              <w:rPr>
                <w:sz w:val="14"/>
                <w:szCs w:val="14"/>
              </w:rPr>
              <w:t>2,50</w:t>
            </w:r>
          </w:p>
        </w:tc>
        <w:tc>
          <w:tcPr>
            <w:tcW w:w="476" w:type="dxa"/>
            <w:tcBorders>
              <w:top w:val="single" w:sz="2" w:space="0" w:color="auto"/>
              <w:left w:val="nil"/>
              <w:bottom w:val="single" w:sz="4" w:space="0" w:color="auto"/>
              <w:right w:val="nil"/>
            </w:tcBorders>
            <w:shd w:val="clear" w:color="auto" w:fill="auto"/>
            <w:noWrap/>
            <w:vAlign w:val="bottom"/>
          </w:tcPr>
          <w:p w14:paraId="0E7B29BE" w14:textId="77777777" w:rsidR="00F87E58" w:rsidRPr="00DC7264" w:rsidRDefault="00F87E58" w:rsidP="00F87E58">
            <w:pPr>
              <w:pStyle w:val="cuatexto"/>
              <w:jc w:val="right"/>
              <w:rPr>
                <w:sz w:val="14"/>
                <w:szCs w:val="14"/>
              </w:rPr>
            </w:pPr>
            <w:r w:rsidRPr="00DC7264">
              <w:rPr>
                <w:sz w:val="14"/>
                <w:szCs w:val="14"/>
              </w:rPr>
              <w:t>2,45</w:t>
            </w:r>
          </w:p>
        </w:tc>
        <w:tc>
          <w:tcPr>
            <w:tcW w:w="476" w:type="dxa"/>
            <w:tcBorders>
              <w:top w:val="single" w:sz="2" w:space="0" w:color="auto"/>
              <w:left w:val="nil"/>
              <w:bottom w:val="single" w:sz="4" w:space="0" w:color="auto"/>
              <w:right w:val="nil"/>
            </w:tcBorders>
            <w:shd w:val="clear" w:color="auto" w:fill="auto"/>
            <w:noWrap/>
            <w:vAlign w:val="bottom"/>
          </w:tcPr>
          <w:p w14:paraId="25FD2941" w14:textId="77777777" w:rsidR="00F87E58" w:rsidRPr="006D3C1E" w:rsidRDefault="00F87E58" w:rsidP="00F87E58">
            <w:pPr>
              <w:pStyle w:val="cuadroCabe"/>
              <w:ind w:left="-116"/>
              <w:jc w:val="right"/>
              <w:rPr>
                <w:rFonts w:ascii="Arial Narrow" w:hAnsi="Arial Narrow"/>
                <w:sz w:val="14"/>
                <w:szCs w:val="14"/>
              </w:rPr>
            </w:pPr>
            <w:r w:rsidRPr="006D3C1E">
              <w:rPr>
                <w:rFonts w:ascii="Arial Narrow" w:hAnsi="Arial Narrow"/>
                <w:sz w:val="14"/>
                <w:szCs w:val="14"/>
              </w:rPr>
              <w:t>2,70</w:t>
            </w:r>
          </w:p>
        </w:tc>
        <w:tc>
          <w:tcPr>
            <w:tcW w:w="476" w:type="dxa"/>
            <w:tcBorders>
              <w:top w:val="single" w:sz="2" w:space="0" w:color="auto"/>
              <w:left w:val="nil"/>
              <w:bottom w:val="single" w:sz="4" w:space="0" w:color="auto"/>
              <w:right w:val="nil"/>
            </w:tcBorders>
            <w:shd w:val="clear" w:color="auto" w:fill="auto"/>
            <w:noWrap/>
            <w:vAlign w:val="bottom"/>
          </w:tcPr>
          <w:p w14:paraId="7C247B2D" w14:textId="77777777" w:rsidR="00F87E58" w:rsidRPr="00DC7264" w:rsidRDefault="00F87E58" w:rsidP="00F87E58">
            <w:pPr>
              <w:pStyle w:val="cuatexto"/>
              <w:jc w:val="right"/>
              <w:rPr>
                <w:sz w:val="14"/>
                <w:szCs w:val="14"/>
              </w:rPr>
            </w:pPr>
            <w:r w:rsidRPr="00DC7264">
              <w:rPr>
                <w:sz w:val="14"/>
                <w:szCs w:val="14"/>
              </w:rPr>
              <w:t>3,35</w:t>
            </w:r>
          </w:p>
        </w:tc>
        <w:tc>
          <w:tcPr>
            <w:tcW w:w="476" w:type="dxa"/>
            <w:tcBorders>
              <w:top w:val="single" w:sz="2" w:space="0" w:color="auto"/>
              <w:left w:val="nil"/>
              <w:bottom w:val="single" w:sz="4" w:space="0" w:color="auto"/>
              <w:right w:val="nil"/>
            </w:tcBorders>
            <w:shd w:val="clear" w:color="auto" w:fill="auto"/>
            <w:noWrap/>
            <w:vAlign w:val="bottom"/>
          </w:tcPr>
          <w:p w14:paraId="1E966203" w14:textId="77777777" w:rsidR="00F87E58" w:rsidRPr="00DC7264" w:rsidRDefault="00F87E58" w:rsidP="00F87E58">
            <w:pPr>
              <w:pStyle w:val="cuatexto"/>
              <w:jc w:val="right"/>
              <w:rPr>
                <w:sz w:val="14"/>
                <w:szCs w:val="14"/>
              </w:rPr>
            </w:pPr>
            <w:r w:rsidRPr="00DC7264">
              <w:rPr>
                <w:sz w:val="14"/>
                <w:szCs w:val="14"/>
              </w:rPr>
              <w:t>2,00</w:t>
            </w:r>
          </w:p>
        </w:tc>
        <w:tc>
          <w:tcPr>
            <w:tcW w:w="476" w:type="dxa"/>
            <w:tcBorders>
              <w:top w:val="single" w:sz="2" w:space="0" w:color="auto"/>
              <w:left w:val="nil"/>
              <w:bottom w:val="single" w:sz="4" w:space="0" w:color="auto"/>
              <w:right w:val="nil"/>
            </w:tcBorders>
            <w:shd w:val="clear" w:color="auto" w:fill="auto"/>
            <w:noWrap/>
            <w:vAlign w:val="bottom"/>
          </w:tcPr>
          <w:p w14:paraId="0A3ADFE4" w14:textId="77777777" w:rsidR="00F87E58" w:rsidRPr="00DC7264" w:rsidRDefault="00F87E58" w:rsidP="00F87E58">
            <w:pPr>
              <w:pStyle w:val="cuatexto"/>
              <w:jc w:val="right"/>
              <w:rPr>
                <w:sz w:val="14"/>
                <w:szCs w:val="14"/>
              </w:rPr>
            </w:pPr>
            <w:r w:rsidRPr="00DC7264">
              <w:rPr>
                <w:sz w:val="14"/>
                <w:szCs w:val="14"/>
              </w:rPr>
              <w:t>2,22</w:t>
            </w:r>
          </w:p>
        </w:tc>
      </w:tr>
    </w:tbl>
    <w:p w14:paraId="4E48B205" w14:textId="77777777" w:rsidR="00F87E58" w:rsidRDefault="00F87E58" w:rsidP="00F87E58">
      <w:pPr>
        <w:pStyle w:val="texto"/>
        <w:tabs>
          <w:tab w:val="clear" w:pos="2835"/>
          <w:tab w:val="clear" w:pos="3969"/>
          <w:tab w:val="clear" w:pos="5103"/>
          <w:tab w:val="clear" w:pos="6237"/>
          <w:tab w:val="clear" w:pos="7371"/>
          <w:tab w:val="left" w:pos="480"/>
          <w:tab w:val="num" w:pos="2062"/>
          <w:tab w:val="num" w:pos="4472"/>
        </w:tabs>
        <w:rPr>
          <w:szCs w:val="26"/>
        </w:rPr>
      </w:pPr>
    </w:p>
    <w:p w14:paraId="55E23B30" w14:textId="77777777" w:rsidR="00F87E58" w:rsidRDefault="00F87E58" w:rsidP="00F87E58">
      <w:pPr>
        <w:pStyle w:val="texto"/>
        <w:tabs>
          <w:tab w:val="clear" w:pos="2835"/>
          <w:tab w:val="clear" w:pos="3969"/>
          <w:tab w:val="clear" w:pos="5103"/>
          <w:tab w:val="clear" w:pos="6237"/>
          <w:tab w:val="clear" w:pos="7371"/>
          <w:tab w:val="left" w:pos="480"/>
          <w:tab w:val="num" w:pos="2062"/>
          <w:tab w:val="num" w:pos="4472"/>
        </w:tabs>
        <w:rPr>
          <w:szCs w:val="26"/>
        </w:rPr>
      </w:pPr>
      <w:r w:rsidRPr="0012731A">
        <w:rPr>
          <w:noProof/>
          <w:lang w:val="es-ES" w:eastAsia="es-ES"/>
        </w:rPr>
        <w:lastRenderedPageBreak/>
        <w:drawing>
          <wp:inline distT="0" distB="0" distL="0" distR="0" wp14:anchorId="284E69BA" wp14:editId="633ABB44">
            <wp:extent cx="5191125" cy="1943100"/>
            <wp:effectExtent l="0" t="0" r="0" b="0"/>
            <wp:docPr id="8"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058451" w14:textId="77777777" w:rsidR="00F87E58" w:rsidRDefault="00F87E58" w:rsidP="00F87E58">
      <w:pPr>
        <w:pStyle w:val="texto"/>
        <w:spacing w:before="240" w:after="240"/>
      </w:pPr>
      <w:r>
        <w:t xml:space="preserve">En el siguiente cuadro se refleja a 31 de </w:t>
      </w:r>
      <w:r w:rsidRPr="00723961">
        <w:t>diciembre</w:t>
      </w:r>
      <w:r>
        <w:t xml:space="preserve"> de 2022, la situación a efectos mercantiles de los préstamos participativos en la situación patrimonial de Parquenasa: </w:t>
      </w:r>
    </w:p>
    <w:tbl>
      <w:tblPr>
        <w:tblW w:w="8789" w:type="dxa"/>
        <w:tblCellMar>
          <w:left w:w="70" w:type="dxa"/>
          <w:right w:w="70" w:type="dxa"/>
        </w:tblCellMar>
        <w:tblLook w:val="04A0" w:firstRow="1" w:lastRow="0" w:firstColumn="1" w:lastColumn="0" w:noHBand="0" w:noVBand="1"/>
      </w:tblPr>
      <w:tblGrid>
        <w:gridCol w:w="7413"/>
        <w:gridCol w:w="1376"/>
      </w:tblGrid>
      <w:tr w:rsidR="00F87E58" w:rsidRPr="00045BCE" w14:paraId="63471228" w14:textId="77777777" w:rsidTr="00F87E58">
        <w:trPr>
          <w:trHeight w:val="255"/>
        </w:trPr>
        <w:tc>
          <w:tcPr>
            <w:tcW w:w="7655" w:type="dxa"/>
            <w:tcBorders>
              <w:top w:val="single" w:sz="4" w:space="0" w:color="auto"/>
              <w:left w:val="nil"/>
              <w:bottom w:val="single" w:sz="4" w:space="0" w:color="auto"/>
              <w:right w:val="nil"/>
            </w:tcBorders>
            <w:shd w:val="clear" w:color="auto" w:fill="9CC2E5"/>
            <w:noWrap/>
            <w:vAlign w:val="bottom"/>
          </w:tcPr>
          <w:p w14:paraId="65B1F622" w14:textId="77777777" w:rsidR="00F87E58" w:rsidRPr="00045BCE" w:rsidRDefault="00F87E58" w:rsidP="00F87E58">
            <w:pPr>
              <w:pStyle w:val="cuadroCabe"/>
              <w:jc w:val="left"/>
            </w:pPr>
            <w:r w:rsidRPr="00045BCE">
              <w:t xml:space="preserve">Parque de la Naturaleza S.A. </w:t>
            </w:r>
          </w:p>
        </w:tc>
        <w:tc>
          <w:tcPr>
            <w:tcW w:w="1417" w:type="dxa"/>
            <w:tcBorders>
              <w:top w:val="single" w:sz="4" w:space="0" w:color="auto"/>
              <w:left w:val="nil"/>
              <w:bottom w:val="single" w:sz="4" w:space="0" w:color="auto"/>
              <w:right w:val="nil"/>
            </w:tcBorders>
            <w:shd w:val="clear" w:color="auto" w:fill="9CC2E5"/>
            <w:noWrap/>
            <w:vAlign w:val="bottom"/>
          </w:tcPr>
          <w:p w14:paraId="773C66F7" w14:textId="77777777" w:rsidR="00F87E58" w:rsidRPr="00045BCE" w:rsidRDefault="00F87E58" w:rsidP="00F87E58">
            <w:pPr>
              <w:pStyle w:val="cuadroCabe"/>
              <w:jc w:val="right"/>
            </w:pPr>
          </w:p>
        </w:tc>
      </w:tr>
      <w:tr w:rsidR="00F87E58" w:rsidRPr="00045BCE" w14:paraId="2F0211A9" w14:textId="77777777" w:rsidTr="00F87E58">
        <w:trPr>
          <w:trHeight w:val="198"/>
        </w:trPr>
        <w:tc>
          <w:tcPr>
            <w:tcW w:w="7655" w:type="dxa"/>
            <w:tcBorders>
              <w:top w:val="single" w:sz="4" w:space="0" w:color="auto"/>
              <w:left w:val="nil"/>
              <w:bottom w:val="single" w:sz="2" w:space="0" w:color="auto"/>
              <w:right w:val="nil"/>
            </w:tcBorders>
            <w:shd w:val="clear" w:color="auto" w:fill="auto"/>
            <w:noWrap/>
            <w:vAlign w:val="bottom"/>
            <w:hideMark/>
          </w:tcPr>
          <w:p w14:paraId="38906F42" w14:textId="77777777" w:rsidR="00F87E58" w:rsidRPr="00045BCE" w:rsidRDefault="00F87E58" w:rsidP="00F87E58">
            <w:pPr>
              <w:pStyle w:val="cuatexto"/>
              <w:jc w:val="left"/>
            </w:pPr>
            <w:r w:rsidRPr="00045BCE">
              <w:t>Capital</w:t>
            </w:r>
          </w:p>
        </w:tc>
        <w:tc>
          <w:tcPr>
            <w:tcW w:w="1417" w:type="dxa"/>
            <w:tcBorders>
              <w:top w:val="single" w:sz="4" w:space="0" w:color="auto"/>
              <w:left w:val="nil"/>
              <w:bottom w:val="single" w:sz="2" w:space="0" w:color="auto"/>
              <w:right w:val="nil"/>
            </w:tcBorders>
            <w:shd w:val="clear" w:color="auto" w:fill="auto"/>
            <w:noWrap/>
            <w:vAlign w:val="bottom"/>
            <w:hideMark/>
          </w:tcPr>
          <w:p w14:paraId="180911F1" w14:textId="77777777" w:rsidR="00F87E58" w:rsidRPr="00045BCE" w:rsidRDefault="00F87E58" w:rsidP="00F87E58">
            <w:pPr>
              <w:pStyle w:val="cuatexto"/>
              <w:jc w:val="right"/>
            </w:pPr>
            <w:r w:rsidRPr="00045BCE">
              <w:t>1.800.000</w:t>
            </w:r>
          </w:p>
        </w:tc>
      </w:tr>
      <w:tr w:rsidR="00F87E58" w:rsidRPr="00045BCE" w14:paraId="638BBEEF" w14:textId="77777777" w:rsidTr="00F87E58">
        <w:trPr>
          <w:trHeight w:val="198"/>
        </w:trPr>
        <w:tc>
          <w:tcPr>
            <w:tcW w:w="7655" w:type="dxa"/>
            <w:tcBorders>
              <w:top w:val="single" w:sz="2" w:space="0" w:color="auto"/>
              <w:left w:val="nil"/>
              <w:bottom w:val="single" w:sz="2" w:space="0" w:color="auto"/>
              <w:right w:val="nil"/>
            </w:tcBorders>
            <w:shd w:val="clear" w:color="auto" w:fill="auto"/>
            <w:noWrap/>
            <w:vAlign w:val="bottom"/>
            <w:hideMark/>
          </w:tcPr>
          <w:p w14:paraId="7D6C4254" w14:textId="77777777" w:rsidR="00F87E58" w:rsidRPr="00045BCE" w:rsidRDefault="00F87E58" w:rsidP="00F87E58">
            <w:pPr>
              <w:pStyle w:val="cuatexto"/>
              <w:jc w:val="left"/>
            </w:pPr>
            <w:r w:rsidRPr="00045BCE">
              <w:t>Reservas</w:t>
            </w:r>
            <w:r>
              <w:t xml:space="preserve"> (pérdidas acumuladas)</w:t>
            </w:r>
          </w:p>
        </w:tc>
        <w:tc>
          <w:tcPr>
            <w:tcW w:w="1417" w:type="dxa"/>
            <w:tcBorders>
              <w:top w:val="single" w:sz="2" w:space="0" w:color="auto"/>
              <w:left w:val="nil"/>
              <w:bottom w:val="single" w:sz="2" w:space="0" w:color="auto"/>
              <w:right w:val="nil"/>
            </w:tcBorders>
            <w:shd w:val="clear" w:color="auto" w:fill="auto"/>
            <w:noWrap/>
            <w:vAlign w:val="bottom"/>
            <w:hideMark/>
          </w:tcPr>
          <w:p w14:paraId="3D398AB9" w14:textId="77777777" w:rsidR="00F87E58" w:rsidRPr="00045BCE" w:rsidRDefault="00F87E58" w:rsidP="00F87E58">
            <w:pPr>
              <w:pStyle w:val="cuatexto"/>
              <w:jc w:val="right"/>
            </w:pPr>
            <w:r w:rsidRPr="00045BCE">
              <w:t>-55.120.162</w:t>
            </w:r>
          </w:p>
        </w:tc>
      </w:tr>
      <w:tr w:rsidR="00F87E58" w:rsidRPr="00045BCE" w14:paraId="69967F9A" w14:textId="77777777" w:rsidTr="00F87E58">
        <w:trPr>
          <w:trHeight w:val="198"/>
        </w:trPr>
        <w:tc>
          <w:tcPr>
            <w:tcW w:w="7655" w:type="dxa"/>
            <w:tcBorders>
              <w:top w:val="single" w:sz="2" w:space="0" w:color="auto"/>
              <w:left w:val="nil"/>
              <w:bottom w:val="single" w:sz="2" w:space="0" w:color="auto"/>
              <w:right w:val="nil"/>
            </w:tcBorders>
            <w:shd w:val="clear" w:color="auto" w:fill="auto"/>
            <w:noWrap/>
            <w:vAlign w:val="bottom"/>
            <w:hideMark/>
          </w:tcPr>
          <w:p w14:paraId="0328CDF7" w14:textId="77777777" w:rsidR="00F87E58" w:rsidRPr="00045BCE" w:rsidRDefault="00F87E58" w:rsidP="00F87E58">
            <w:pPr>
              <w:pStyle w:val="cuatexto"/>
              <w:jc w:val="left"/>
            </w:pPr>
            <w:r>
              <w:t>Resultados del ejercicio</w:t>
            </w:r>
          </w:p>
        </w:tc>
        <w:tc>
          <w:tcPr>
            <w:tcW w:w="1417" w:type="dxa"/>
            <w:tcBorders>
              <w:top w:val="single" w:sz="2" w:space="0" w:color="auto"/>
              <w:left w:val="nil"/>
              <w:bottom w:val="single" w:sz="2" w:space="0" w:color="auto"/>
              <w:right w:val="nil"/>
            </w:tcBorders>
            <w:shd w:val="clear" w:color="auto" w:fill="auto"/>
            <w:noWrap/>
            <w:vAlign w:val="bottom"/>
            <w:hideMark/>
          </w:tcPr>
          <w:p w14:paraId="4F7228DD" w14:textId="77777777" w:rsidR="00F87E58" w:rsidRPr="00045BCE" w:rsidRDefault="00F87E58" w:rsidP="00F87E58">
            <w:pPr>
              <w:pStyle w:val="cuatexto"/>
              <w:jc w:val="right"/>
            </w:pPr>
            <w:r w:rsidRPr="00045BCE">
              <w:t>-2</w:t>
            </w:r>
            <w:r>
              <w:t>.210.198</w:t>
            </w:r>
          </w:p>
        </w:tc>
      </w:tr>
      <w:tr w:rsidR="00F87E58" w:rsidRPr="00045BCE" w14:paraId="3BF1873D" w14:textId="77777777" w:rsidTr="00F87E58">
        <w:trPr>
          <w:trHeight w:val="198"/>
        </w:trPr>
        <w:tc>
          <w:tcPr>
            <w:tcW w:w="7655" w:type="dxa"/>
            <w:tcBorders>
              <w:top w:val="single" w:sz="2" w:space="0" w:color="auto"/>
              <w:left w:val="nil"/>
              <w:bottom w:val="single" w:sz="2" w:space="0" w:color="auto"/>
              <w:right w:val="nil"/>
            </w:tcBorders>
            <w:shd w:val="clear" w:color="auto" w:fill="auto"/>
            <w:noWrap/>
            <w:vAlign w:val="bottom"/>
            <w:hideMark/>
          </w:tcPr>
          <w:p w14:paraId="4DAA1534" w14:textId="77777777" w:rsidR="00F87E58" w:rsidRPr="00045BCE" w:rsidRDefault="00F87E58" w:rsidP="00F87E58">
            <w:pPr>
              <w:pStyle w:val="cuatexto"/>
              <w:jc w:val="left"/>
            </w:pPr>
            <w:r>
              <w:t>Patrimonio neto</w:t>
            </w:r>
          </w:p>
        </w:tc>
        <w:tc>
          <w:tcPr>
            <w:tcW w:w="1417" w:type="dxa"/>
            <w:tcBorders>
              <w:top w:val="single" w:sz="2" w:space="0" w:color="auto"/>
              <w:left w:val="nil"/>
              <w:bottom w:val="single" w:sz="2" w:space="0" w:color="auto"/>
              <w:right w:val="nil"/>
            </w:tcBorders>
            <w:shd w:val="clear" w:color="auto" w:fill="auto"/>
            <w:noWrap/>
            <w:vAlign w:val="bottom"/>
            <w:hideMark/>
          </w:tcPr>
          <w:p w14:paraId="10FC5910" w14:textId="77777777" w:rsidR="00F87E58" w:rsidRPr="00045BCE" w:rsidRDefault="00F87E58" w:rsidP="00F87E58">
            <w:pPr>
              <w:pStyle w:val="cuatexto"/>
              <w:jc w:val="right"/>
            </w:pPr>
            <w:r w:rsidRPr="00045BCE">
              <w:t>-55.530.360</w:t>
            </w:r>
          </w:p>
        </w:tc>
      </w:tr>
      <w:tr w:rsidR="00F87E58" w:rsidRPr="00045BCE" w14:paraId="49508691" w14:textId="77777777" w:rsidTr="00E1441F">
        <w:trPr>
          <w:trHeight w:val="198"/>
        </w:trPr>
        <w:tc>
          <w:tcPr>
            <w:tcW w:w="7655" w:type="dxa"/>
            <w:tcBorders>
              <w:top w:val="single" w:sz="2" w:space="0" w:color="auto"/>
              <w:left w:val="nil"/>
              <w:bottom w:val="single" w:sz="4" w:space="0" w:color="auto"/>
              <w:right w:val="nil"/>
            </w:tcBorders>
            <w:shd w:val="clear" w:color="auto" w:fill="auto"/>
            <w:noWrap/>
            <w:vAlign w:val="bottom"/>
          </w:tcPr>
          <w:p w14:paraId="3BDE137D" w14:textId="77777777" w:rsidR="00F87E58" w:rsidRDefault="00F87E58" w:rsidP="00F87E58">
            <w:pPr>
              <w:pStyle w:val="cuatexto"/>
              <w:jc w:val="left"/>
            </w:pPr>
            <w:r>
              <w:t>Préstamos participativos</w:t>
            </w:r>
          </w:p>
        </w:tc>
        <w:tc>
          <w:tcPr>
            <w:tcW w:w="1417" w:type="dxa"/>
            <w:tcBorders>
              <w:top w:val="single" w:sz="2" w:space="0" w:color="auto"/>
              <w:left w:val="nil"/>
              <w:bottom w:val="single" w:sz="4" w:space="0" w:color="auto"/>
              <w:right w:val="nil"/>
            </w:tcBorders>
            <w:shd w:val="clear" w:color="auto" w:fill="auto"/>
            <w:noWrap/>
            <w:vAlign w:val="bottom"/>
          </w:tcPr>
          <w:p w14:paraId="519E8491" w14:textId="77777777" w:rsidR="00F87E58" w:rsidRPr="00045BCE" w:rsidRDefault="00F87E58" w:rsidP="00F87E58">
            <w:pPr>
              <w:pStyle w:val="cuatexto"/>
              <w:jc w:val="right"/>
            </w:pPr>
            <w:r>
              <w:t>56.795.000</w:t>
            </w:r>
          </w:p>
        </w:tc>
      </w:tr>
      <w:tr w:rsidR="00F87E58" w:rsidRPr="00045BCE" w14:paraId="0E72E0E9" w14:textId="77777777" w:rsidTr="00E1441F">
        <w:trPr>
          <w:trHeight w:val="198"/>
        </w:trPr>
        <w:tc>
          <w:tcPr>
            <w:tcW w:w="7655" w:type="dxa"/>
            <w:tcBorders>
              <w:top w:val="single" w:sz="4" w:space="0" w:color="auto"/>
              <w:left w:val="nil"/>
              <w:bottom w:val="single" w:sz="4" w:space="0" w:color="auto"/>
              <w:right w:val="nil"/>
            </w:tcBorders>
            <w:shd w:val="clear" w:color="auto" w:fill="auto"/>
            <w:noWrap/>
            <w:vAlign w:val="bottom"/>
          </w:tcPr>
          <w:p w14:paraId="314744FD" w14:textId="77777777" w:rsidR="00F87E58" w:rsidRDefault="00F87E58" w:rsidP="00F87E58">
            <w:pPr>
              <w:pStyle w:val="cuatexto"/>
              <w:jc w:val="left"/>
            </w:pPr>
            <w:r>
              <w:t>Patrimonio neto computable al existir préstamos participativos</w:t>
            </w:r>
          </w:p>
        </w:tc>
        <w:tc>
          <w:tcPr>
            <w:tcW w:w="1417" w:type="dxa"/>
            <w:tcBorders>
              <w:top w:val="single" w:sz="4" w:space="0" w:color="auto"/>
              <w:left w:val="nil"/>
              <w:bottom w:val="single" w:sz="4" w:space="0" w:color="auto"/>
              <w:right w:val="nil"/>
            </w:tcBorders>
            <w:shd w:val="clear" w:color="auto" w:fill="auto"/>
            <w:noWrap/>
            <w:vAlign w:val="bottom"/>
          </w:tcPr>
          <w:p w14:paraId="162E6F5C" w14:textId="77777777" w:rsidR="00F87E58" w:rsidRDefault="00F87E58" w:rsidP="00F87E58">
            <w:pPr>
              <w:pStyle w:val="cuatexto"/>
              <w:jc w:val="right"/>
            </w:pPr>
            <w:r>
              <w:t>1.264.640</w:t>
            </w:r>
          </w:p>
        </w:tc>
      </w:tr>
    </w:tbl>
    <w:p w14:paraId="682AFEDE" w14:textId="77777777" w:rsidR="00667669" w:rsidRDefault="00F87E58" w:rsidP="00F87E58">
      <w:pPr>
        <w:pStyle w:val="texto"/>
        <w:tabs>
          <w:tab w:val="clear" w:pos="2835"/>
          <w:tab w:val="clear" w:pos="3969"/>
          <w:tab w:val="clear" w:pos="5103"/>
          <w:tab w:val="clear" w:pos="6237"/>
          <w:tab w:val="clear" w:pos="7371"/>
          <w:tab w:val="left" w:pos="480"/>
          <w:tab w:val="num" w:pos="2062"/>
          <w:tab w:val="num" w:pos="4472"/>
        </w:tabs>
        <w:spacing w:before="240"/>
        <w:rPr>
          <w:szCs w:val="26"/>
        </w:rPr>
      </w:pPr>
      <w:r>
        <w:rPr>
          <w:szCs w:val="26"/>
        </w:rPr>
        <w:t>Según se desprende el neto patrimonial computable</w:t>
      </w:r>
      <w:r w:rsidR="00667669">
        <w:rPr>
          <w:szCs w:val="26"/>
        </w:rPr>
        <w:t xml:space="preserve">, a efectos contables, </w:t>
      </w:r>
      <w:r>
        <w:rPr>
          <w:szCs w:val="26"/>
        </w:rPr>
        <w:t xml:space="preserve">no es negativo en 55,53 millones, sino positivo por 1,26 millones, </w:t>
      </w:r>
      <w:r w:rsidRPr="00AF166B">
        <w:rPr>
          <w:szCs w:val="26"/>
        </w:rPr>
        <w:t>evitando de esta form</w:t>
      </w:r>
      <w:r>
        <w:rPr>
          <w:szCs w:val="26"/>
        </w:rPr>
        <w:t>a la disolución obligatoria y posterior liquidación de la sociedad.</w:t>
      </w:r>
      <w:r w:rsidR="00E5006D">
        <w:rPr>
          <w:szCs w:val="26"/>
        </w:rPr>
        <w:t xml:space="preserve"> </w:t>
      </w:r>
    </w:p>
    <w:p w14:paraId="54807BA4" w14:textId="77777777" w:rsidR="00F87E58" w:rsidRPr="00AA16A6" w:rsidRDefault="00F87E58" w:rsidP="00F87E58">
      <w:pPr>
        <w:pStyle w:val="texto"/>
        <w:tabs>
          <w:tab w:val="clear" w:pos="2835"/>
          <w:tab w:val="clear" w:pos="3969"/>
          <w:tab w:val="clear" w:pos="5103"/>
          <w:tab w:val="clear" w:pos="6237"/>
          <w:tab w:val="clear" w:pos="7371"/>
          <w:tab w:val="left" w:pos="480"/>
          <w:tab w:val="num" w:pos="2062"/>
          <w:tab w:val="num" w:pos="4472"/>
        </w:tabs>
        <w:spacing w:before="240"/>
        <w:rPr>
          <w:szCs w:val="26"/>
        </w:rPr>
      </w:pPr>
      <w:r w:rsidRPr="00AA16A6">
        <w:rPr>
          <w:szCs w:val="26"/>
        </w:rPr>
        <w:t>No obstante, debe tenerse en cuenta que la final</w:t>
      </w:r>
      <w:r w:rsidR="00B946F5" w:rsidRPr="00AA16A6">
        <w:rPr>
          <w:szCs w:val="26"/>
        </w:rPr>
        <w:t xml:space="preserve">idad de la regulación mercantil </w:t>
      </w:r>
      <w:r w:rsidRPr="00AA16A6">
        <w:rPr>
          <w:szCs w:val="26"/>
        </w:rPr>
        <w:t xml:space="preserve">de los préstamos participativos, </w:t>
      </w:r>
      <w:r w:rsidR="00314A9B" w:rsidRPr="00AA16A6">
        <w:rPr>
          <w:szCs w:val="26"/>
        </w:rPr>
        <w:t>al computar a estos efectos como neto patrimonial</w:t>
      </w:r>
      <w:r w:rsidR="00B946F5" w:rsidRPr="00AA16A6">
        <w:rPr>
          <w:szCs w:val="26"/>
        </w:rPr>
        <w:t xml:space="preserve">, </w:t>
      </w:r>
      <w:r w:rsidRPr="00AA16A6">
        <w:rPr>
          <w:szCs w:val="26"/>
        </w:rPr>
        <w:t>es dar la oportunidad a las empresas de retrasar su disolución y dar opciones para su recuperación, pero no mantener esta situación de forma indefinida. Parquenasa lleva en esta situación 18 años.</w:t>
      </w:r>
    </w:p>
    <w:p w14:paraId="6014191E" w14:textId="77777777" w:rsidR="00F87E58" w:rsidRDefault="00F87E58" w:rsidP="00F87E58">
      <w:pPr>
        <w:pStyle w:val="texto"/>
        <w:tabs>
          <w:tab w:val="clear" w:pos="2835"/>
          <w:tab w:val="clear" w:pos="3969"/>
          <w:tab w:val="clear" w:pos="5103"/>
          <w:tab w:val="clear" w:pos="6237"/>
          <w:tab w:val="clear" w:pos="7371"/>
          <w:tab w:val="left" w:pos="480"/>
          <w:tab w:val="num" w:pos="2062"/>
          <w:tab w:val="num" w:pos="4472"/>
        </w:tabs>
        <w:rPr>
          <w:szCs w:val="26"/>
        </w:rPr>
      </w:pPr>
      <w:r>
        <w:rPr>
          <w:szCs w:val="26"/>
        </w:rPr>
        <w:t xml:space="preserve">En la medida que anualmente existen resultados negativos de explotación, las pérdidas acumuladas aumentan, por lo que, al margen de darse la situación anteriormente mencionada, no evita, en cualquier caso, que </w:t>
      </w:r>
      <w:r w:rsidRPr="00901CD8">
        <w:rPr>
          <w:szCs w:val="26"/>
        </w:rPr>
        <w:t>los préstamos particip</w:t>
      </w:r>
      <w:r>
        <w:rPr>
          <w:szCs w:val="26"/>
        </w:rPr>
        <w:t>ativos</w:t>
      </w:r>
      <w:r w:rsidRPr="00901CD8">
        <w:rPr>
          <w:szCs w:val="26"/>
        </w:rPr>
        <w:t xml:space="preserve">, como en cualquier </w:t>
      </w:r>
      <w:r>
        <w:rPr>
          <w:szCs w:val="26"/>
        </w:rPr>
        <w:t xml:space="preserve">otro préstamo, </w:t>
      </w:r>
      <w:r w:rsidRPr="00901CD8">
        <w:rPr>
          <w:szCs w:val="26"/>
        </w:rPr>
        <w:t xml:space="preserve">el prestatario debe devolverlo al prestamista; </w:t>
      </w:r>
      <w:r>
        <w:rPr>
          <w:szCs w:val="26"/>
        </w:rPr>
        <w:t xml:space="preserve">situación improbable en el caso de Parquenasa. </w:t>
      </w:r>
    </w:p>
    <w:p w14:paraId="7E148C3B" w14:textId="77777777" w:rsidR="00F87E58" w:rsidRDefault="00F87E58" w:rsidP="00F87E58">
      <w:pPr>
        <w:pStyle w:val="texto"/>
        <w:tabs>
          <w:tab w:val="clear" w:pos="2835"/>
          <w:tab w:val="clear" w:pos="3969"/>
          <w:tab w:val="clear" w:pos="5103"/>
          <w:tab w:val="clear" w:pos="6237"/>
          <w:tab w:val="clear" w:pos="7371"/>
          <w:tab w:val="left" w:pos="480"/>
          <w:tab w:val="num" w:pos="2062"/>
          <w:tab w:val="num" w:pos="4472"/>
        </w:tabs>
        <w:rPr>
          <w:szCs w:val="26"/>
        </w:rPr>
      </w:pPr>
      <w:r>
        <w:rPr>
          <w:szCs w:val="26"/>
        </w:rPr>
        <w:t xml:space="preserve">La única posibilidad de eliminar o reducir el endeudamiento asumido por Parquenasa es la amortización anticipada de los préstamos a través de su capitalización, teniendo como efecto la conversión de deuda en capital social, y permitiendo de esta forma al prestamista convertir su posición crediticia en participativa en el capital de una sociedad previa ampliación del capital social; operación en la que Sodena se ha visto limitada, tal y como detallamos posteriormente en el apartado 2.6.2 de este apéndice. </w:t>
      </w:r>
    </w:p>
    <w:p w14:paraId="7554A8B2" w14:textId="77777777" w:rsidR="00F87E58" w:rsidRDefault="00F87E58" w:rsidP="00F87E58">
      <w:pPr>
        <w:pStyle w:val="texto"/>
        <w:numPr>
          <w:ilvl w:val="0"/>
          <w:numId w:val="28"/>
        </w:numPr>
        <w:tabs>
          <w:tab w:val="clear" w:pos="2835"/>
          <w:tab w:val="clear" w:pos="3969"/>
          <w:tab w:val="clear" w:pos="5103"/>
          <w:tab w:val="clear" w:pos="6237"/>
          <w:tab w:val="clear" w:pos="7371"/>
          <w:tab w:val="num" w:pos="284"/>
          <w:tab w:val="left" w:pos="480"/>
          <w:tab w:val="num" w:pos="567"/>
          <w:tab w:val="num" w:pos="2062"/>
          <w:tab w:val="num" w:pos="4472"/>
        </w:tabs>
        <w:spacing w:after="240"/>
        <w:ind w:left="0" w:firstLine="284"/>
        <w:rPr>
          <w:szCs w:val="26"/>
        </w:rPr>
      </w:pPr>
      <w:r>
        <w:rPr>
          <w:szCs w:val="26"/>
        </w:rPr>
        <w:lastRenderedPageBreak/>
        <w:t>El resto, es decir, 22,51 millones, no figura en las cuentas anuales de Sodena como créditos que necesiten una corrección valorativa, esto es, se contemplan como créditos no afectados por pérdidas de valor, lo que supone considerarlos como recuperables.</w:t>
      </w:r>
    </w:p>
    <w:p w14:paraId="4BD898D8" w14:textId="77777777" w:rsidR="00E5006D" w:rsidRPr="00AA16A6" w:rsidRDefault="00F87E58" w:rsidP="00F87E58">
      <w:pPr>
        <w:pStyle w:val="texto"/>
      </w:pPr>
      <w:r w:rsidRPr="00AA16A6">
        <w:t xml:space="preserve">Sobre esta cuestión, destacamos </w:t>
      </w:r>
      <w:r w:rsidR="00E5006D" w:rsidRPr="00AA16A6">
        <w:t>dos cuestiones relevantes a nuestro juicio</w:t>
      </w:r>
      <w:r w:rsidR="00CB23D6" w:rsidRPr="00AA16A6">
        <w:t xml:space="preserve"> y que se desprende</w:t>
      </w:r>
      <w:r w:rsidR="00AA16A6">
        <w:t>n</w:t>
      </w:r>
      <w:r w:rsidR="00CB23D6" w:rsidRPr="00AA16A6">
        <w:t xml:space="preserve"> de los expedientes revisados: </w:t>
      </w:r>
    </w:p>
    <w:p w14:paraId="4F6C6AC3" w14:textId="77777777" w:rsidR="00E5006D" w:rsidRPr="00AA16A6" w:rsidRDefault="00E5006D" w:rsidP="00E5006D">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240"/>
        <w:ind w:left="0" w:firstLine="289"/>
        <w:rPr>
          <w:szCs w:val="26"/>
        </w:rPr>
      </w:pPr>
      <w:r w:rsidRPr="00AA16A6">
        <w:rPr>
          <w:szCs w:val="26"/>
        </w:rPr>
        <w:t xml:space="preserve">Para Sodena, en las solicitudes anuales </w:t>
      </w:r>
      <w:r w:rsidR="00667669" w:rsidRPr="00AA16A6">
        <w:rPr>
          <w:szCs w:val="26"/>
        </w:rPr>
        <w:t xml:space="preserve">al Gobierno de Navarra de autorización para la concesión de préstamos, </w:t>
      </w:r>
      <w:r w:rsidRPr="00AA16A6">
        <w:rPr>
          <w:szCs w:val="26"/>
        </w:rPr>
        <w:t>se contemplan como préstamos fallidos en su totalidad; aspecto que no se ha tenido en cuenta en l</w:t>
      </w:r>
      <w:r w:rsidR="00CB23D6" w:rsidRPr="00AA16A6">
        <w:rPr>
          <w:szCs w:val="26"/>
        </w:rPr>
        <w:t>a estimación al cierre del ejercicio contable del valor de l</w:t>
      </w:r>
      <w:r w:rsidRPr="00AA16A6">
        <w:rPr>
          <w:szCs w:val="26"/>
        </w:rPr>
        <w:t xml:space="preserve">os créditos no considerados como participativos.  </w:t>
      </w:r>
    </w:p>
    <w:p w14:paraId="0D48A1F2" w14:textId="77777777" w:rsidR="00F87E58" w:rsidRPr="00AA16A6" w:rsidRDefault="00E5006D" w:rsidP="00E1441F">
      <w:pPr>
        <w:pStyle w:val="texto"/>
        <w:numPr>
          <w:ilvl w:val="0"/>
          <w:numId w:val="9"/>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240"/>
        <w:ind w:left="0" w:firstLine="289"/>
        <w:rPr>
          <w:i/>
          <w:sz w:val="20"/>
          <w:szCs w:val="20"/>
        </w:rPr>
      </w:pPr>
      <w:r w:rsidRPr="00AA16A6">
        <w:rPr>
          <w:szCs w:val="26"/>
        </w:rPr>
        <w:t>C</w:t>
      </w:r>
      <w:r w:rsidR="00F87E58" w:rsidRPr="00AA16A6">
        <w:rPr>
          <w:szCs w:val="26"/>
        </w:rPr>
        <w:t>onstan en determinados informes preceptivos de la Intervención General (según el Decreto Foral 2016/2019 anteriormente citado), indicios claros de la no recuperabilidad de la financiación concedida, en concreto en el Informe de la Inter</w:t>
      </w:r>
      <w:r w:rsidR="00F87E58" w:rsidRPr="00AA16A6">
        <w:t>vención General de 12 de mayo de 2020</w:t>
      </w:r>
      <w:r w:rsidR="00F87E58" w:rsidRPr="00AA16A6">
        <w:rPr>
          <w:rStyle w:val="Refdenotaalpie"/>
          <w:rFonts w:eastAsia="Calibri"/>
          <w:szCs w:val="26"/>
        </w:rPr>
        <w:footnoteReference w:id="17"/>
      </w:r>
      <w:r w:rsidR="00F87E58" w:rsidRPr="00AA16A6">
        <w:t xml:space="preserve"> en el que se indica lo siguiente:  </w:t>
      </w:r>
      <w:r w:rsidR="00F87E58" w:rsidRPr="00AA16A6">
        <w:rPr>
          <w:sz w:val="20"/>
          <w:szCs w:val="20"/>
        </w:rPr>
        <w:t>“….</w:t>
      </w:r>
      <w:r w:rsidR="00F87E58" w:rsidRPr="00AA16A6">
        <w:rPr>
          <w:i/>
          <w:sz w:val="20"/>
          <w:szCs w:val="20"/>
        </w:rPr>
        <w:t xml:space="preserve"> Por ello, en la medida que no existe un plan de viabilidad que permita esperar con razonable seguridad que la entidad será capaz de devolver el principal y los intereses y dado que no se han devuelto los préstamos que vienen realizándose a la entidad desde su creación, ….” </w:t>
      </w:r>
      <w:r w:rsidR="00F87E58" w:rsidRPr="00AA16A6">
        <w:t>así como en el informe de la</w:t>
      </w:r>
      <w:r w:rsidR="00F87E58" w:rsidRPr="00AA16A6">
        <w:rPr>
          <w:i/>
          <w:sz w:val="20"/>
          <w:szCs w:val="20"/>
        </w:rPr>
        <w:t xml:space="preserve"> </w:t>
      </w:r>
      <w:r w:rsidR="00F87E58" w:rsidRPr="00AA16A6">
        <w:t>Intervención General de 8 de marzo de 2022</w:t>
      </w:r>
      <w:r w:rsidR="00F87E58" w:rsidRPr="00AA16A6">
        <w:rPr>
          <w:rStyle w:val="Refdenotaalpie"/>
          <w:rFonts w:eastAsia="Calibri"/>
          <w:szCs w:val="26"/>
        </w:rPr>
        <w:footnoteReference w:id="18"/>
      </w:r>
      <w:r w:rsidR="00F87E58" w:rsidRPr="00AA16A6">
        <w:t>, en el que se señala lo siguiente: “….</w:t>
      </w:r>
      <w:r w:rsidR="00F87E58" w:rsidRPr="00AA16A6">
        <w:rPr>
          <w:i/>
          <w:sz w:val="20"/>
          <w:szCs w:val="20"/>
        </w:rPr>
        <w:t>, o sugiriera la posibilidad de una recuperación cuya probabilidad resulta remota”.</w:t>
      </w:r>
    </w:p>
    <w:p w14:paraId="367971FE" w14:textId="77777777" w:rsidR="00CB23D6" w:rsidRPr="00AA16A6"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AA16A6">
        <w:rPr>
          <w:szCs w:val="26"/>
        </w:rPr>
        <w:t>Entendemos que los créditos no deteriorados por 22,51 millones sí que debieran haber sido objeto de la oportuna corrección valorati</w:t>
      </w:r>
      <w:r w:rsidR="00CB23D6" w:rsidRPr="00AA16A6">
        <w:rPr>
          <w:szCs w:val="26"/>
        </w:rPr>
        <w:t>va en la contabilidad, dada la existencia de evidencias objetivas de duda en su recuperabilidad.</w:t>
      </w:r>
    </w:p>
    <w:p w14:paraId="6C16F623" w14:textId="77777777" w:rsidR="00F87E58" w:rsidRDefault="00F87E58" w:rsidP="00F87E58">
      <w:pPr>
        <w:pStyle w:val="atitulo2"/>
        <w:spacing w:before="240"/>
      </w:pPr>
      <w:bookmarkStart w:id="36" w:name="_Toc146017576"/>
      <w:bookmarkStart w:id="37" w:name="_Toc149803654"/>
      <w:r>
        <w:t>2.5 Situación de los socios ante las aportaciones financieras de Sodena</w:t>
      </w:r>
      <w:bookmarkEnd w:id="36"/>
      <w:bookmarkEnd w:id="37"/>
    </w:p>
    <w:p w14:paraId="47ED86E3"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E15718">
        <w:rPr>
          <w:szCs w:val="26"/>
        </w:rPr>
        <w:t xml:space="preserve">Sobre esta cuestión, </w:t>
      </w:r>
      <w:r>
        <w:rPr>
          <w:szCs w:val="26"/>
        </w:rPr>
        <w:t>es necesario tener en cuenta los siguientes aspectos:</w:t>
      </w:r>
    </w:p>
    <w:p w14:paraId="7E5C9B23" w14:textId="77777777" w:rsidR="00F87E58" w:rsidRDefault="00F87E58" w:rsidP="00F87E58">
      <w:pPr>
        <w:pStyle w:val="texto"/>
        <w:numPr>
          <w:ilvl w:val="0"/>
          <w:numId w:val="32"/>
        </w:numPr>
        <w:tabs>
          <w:tab w:val="clear" w:pos="2835"/>
          <w:tab w:val="clear" w:pos="3969"/>
          <w:tab w:val="clear" w:pos="5103"/>
          <w:tab w:val="clear" w:pos="6237"/>
          <w:tab w:val="clear" w:pos="7371"/>
          <w:tab w:val="left" w:pos="284"/>
          <w:tab w:val="left" w:pos="426"/>
          <w:tab w:val="num" w:pos="600"/>
          <w:tab w:val="num" w:pos="720"/>
        </w:tabs>
        <w:spacing w:after="100"/>
        <w:ind w:left="0" w:firstLine="284"/>
        <w:rPr>
          <w:szCs w:val="26"/>
        </w:rPr>
      </w:pPr>
      <w:r w:rsidRPr="004E14C8">
        <w:rPr>
          <w:szCs w:val="26"/>
        </w:rPr>
        <w:t>En primer lugar, destacamos que las aportaciones financieras que Sodena ha realizado a Parquenasa han consistido en préstamos financieros, convirtiéndose desde 2005 Sodena en el único so</w:t>
      </w:r>
      <w:r>
        <w:rPr>
          <w:szCs w:val="26"/>
        </w:rPr>
        <w:t>cio prestamista de la sociedad.</w:t>
      </w:r>
    </w:p>
    <w:p w14:paraId="41B88467" w14:textId="77777777" w:rsidR="00F87E58" w:rsidRPr="004E14C8" w:rsidRDefault="00F87E58" w:rsidP="00F87E58">
      <w:pPr>
        <w:pStyle w:val="texto"/>
        <w:numPr>
          <w:ilvl w:val="0"/>
          <w:numId w:val="32"/>
        </w:numPr>
        <w:tabs>
          <w:tab w:val="clear" w:pos="2835"/>
          <w:tab w:val="clear" w:pos="3969"/>
          <w:tab w:val="clear" w:pos="5103"/>
          <w:tab w:val="clear" w:pos="6237"/>
          <w:tab w:val="clear" w:pos="7371"/>
          <w:tab w:val="left" w:pos="284"/>
          <w:tab w:val="left" w:pos="426"/>
          <w:tab w:val="num" w:pos="600"/>
          <w:tab w:val="num" w:pos="720"/>
        </w:tabs>
        <w:spacing w:after="100"/>
        <w:ind w:left="0" w:firstLine="284"/>
        <w:rPr>
          <w:szCs w:val="26"/>
        </w:rPr>
      </w:pPr>
      <w:r w:rsidRPr="004E14C8">
        <w:rPr>
          <w:szCs w:val="26"/>
        </w:rPr>
        <w:t>En segundo lugar, esta situación tiene su punto de partida en la existencia de los contratos de financiación de fechas 31 de enero y 30 de diciembre de 2005 firmados por Sodena y Parquenasa, los cuales están en vigor, obligan a las partes firmantes y son válidos conforme a la legislación mercantil</w:t>
      </w:r>
    </w:p>
    <w:p w14:paraId="5EBC3277" w14:textId="77777777" w:rsidR="00F87E58" w:rsidRPr="002F0602"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2F0602">
        <w:rPr>
          <w:szCs w:val="26"/>
        </w:rPr>
        <w:lastRenderedPageBreak/>
        <w:t>En consecuencia, en nuestra opinión, no existe motivo legal alguno que pueda fundamentar una reclamación de las cantidades prestadas al resto de los socios, ni a los iniciales ni a los posteriores que adquirieron sus participaciones, dado que es de esencia en una sociedad anónima que los socios no responden personalmente de las deudas sociales, tal como se recoge en el artículo 1 del Real Decreto Legislativo 1/2010, de 2 de julio, por el que se aprueba el texto refundido de la Ley de Sociedades de Capital.</w:t>
      </w:r>
    </w:p>
    <w:p w14:paraId="74E8F145" w14:textId="77777777" w:rsidR="00F87E58" w:rsidRPr="006B7173" w:rsidRDefault="00F87E58" w:rsidP="00F87E58">
      <w:pPr>
        <w:pStyle w:val="atitulo2"/>
        <w:spacing w:before="240"/>
      </w:pPr>
      <w:bookmarkStart w:id="38" w:name="_Toc146017577"/>
      <w:bookmarkStart w:id="39" w:name="_Toc149803655"/>
      <w:r>
        <w:t>2.6 Capitalización de los créditos y posibles repercusiones de una hipotética conversión de Parquenasa en sociedad pública.</w:t>
      </w:r>
      <w:bookmarkEnd w:id="38"/>
      <w:bookmarkEnd w:id="39"/>
    </w:p>
    <w:p w14:paraId="277CCF71" w14:textId="77777777" w:rsidR="00F87E58" w:rsidRPr="00532AC5" w:rsidRDefault="00F87E58" w:rsidP="00F87E58">
      <w:pPr>
        <w:autoSpaceDE w:val="0"/>
        <w:autoSpaceDN w:val="0"/>
        <w:adjustRightInd w:val="0"/>
        <w:spacing w:after="160"/>
        <w:ind w:firstLine="280"/>
        <w:rPr>
          <w:rFonts w:ascii="Arial" w:hAnsi="Arial" w:cs="Arial"/>
          <w:i/>
          <w:color w:val="000000"/>
          <w:sz w:val="26"/>
          <w:szCs w:val="26"/>
        </w:rPr>
      </w:pPr>
      <w:bookmarkStart w:id="40" w:name="_Toc19535166"/>
      <w:r>
        <w:rPr>
          <w:rFonts w:ascii="Arial" w:hAnsi="Arial" w:cs="Arial"/>
          <w:i/>
          <w:color w:val="000000"/>
          <w:sz w:val="26"/>
          <w:szCs w:val="26"/>
        </w:rPr>
        <w:t xml:space="preserve">2.6.1 </w:t>
      </w:r>
      <w:r w:rsidRPr="00532AC5">
        <w:rPr>
          <w:rFonts w:ascii="Arial" w:hAnsi="Arial" w:cs="Arial"/>
          <w:i/>
          <w:color w:val="000000"/>
          <w:sz w:val="26"/>
          <w:szCs w:val="26"/>
        </w:rPr>
        <w:t>Capitalización de los créditos ante el contrato de financiación entre Sodena y Parquenasa de 30 de diciembre de 2005</w:t>
      </w:r>
    </w:p>
    <w:p w14:paraId="7A2EE0C3"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szCs w:val="26"/>
        </w:rPr>
        <w:t>En este contrato, actualmente vigente, debe tenerse en cuenta el siguiente contenido de la cláusula quinta que reproducimos textualmente:</w:t>
      </w:r>
    </w:p>
    <w:p w14:paraId="73719A50" w14:textId="77777777" w:rsidR="00F87E58" w:rsidRPr="00C17061"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i/>
          <w:sz w:val="20"/>
          <w:szCs w:val="20"/>
        </w:rPr>
      </w:pPr>
      <w:r w:rsidRPr="00C17061">
        <w:rPr>
          <w:i/>
          <w:sz w:val="20"/>
          <w:szCs w:val="20"/>
        </w:rPr>
        <w:t xml:space="preserve">“En cualquier momento durante la vigencia del presente contrato, SODENA, podrá si así lo considera en todo o en parte: </w:t>
      </w:r>
    </w:p>
    <w:p w14:paraId="6839EA78" w14:textId="77777777" w:rsidR="00F87E58" w:rsidRPr="00C17061" w:rsidRDefault="00F87E58" w:rsidP="00F87E58">
      <w:pPr>
        <w:pStyle w:val="Prrafodelista"/>
        <w:numPr>
          <w:ilvl w:val="0"/>
          <w:numId w:val="25"/>
        </w:numPr>
        <w:tabs>
          <w:tab w:val="left" w:pos="567"/>
        </w:tabs>
        <w:autoSpaceDE w:val="0"/>
        <w:autoSpaceDN w:val="0"/>
        <w:adjustRightInd w:val="0"/>
        <w:spacing w:after="120"/>
        <w:ind w:left="0" w:firstLine="284"/>
        <w:jc w:val="both"/>
        <w:rPr>
          <w:i/>
          <w:color w:val="000000"/>
          <w:sz w:val="20"/>
          <w:szCs w:val="20"/>
        </w:rPr>
      </w:pPr>
      <w:r w:rsidRPr="00C17061">
        <w:rPr>
          <w:i/>
          <w:color w:val="000000"/>
          <w:sz w:val="20"/>
          <w:szCs w:val="20"/>
        </w:rPr>
        <w:t>Transformar los créditos frente a la sociedad en préstamos participativos.</w:t>
      </w:r>
    </w:p>
    <w:p w14:paraId="10E4DDBB" w14:textId="77777777" w:rsidR="00F87E58" w:rsidRPr="00C17061" w:rsidRDefault="00F87E58" w:rsidP="00F87E58">
      <w:pPr>
        <w:pStyle w:val="Prrafodelista"/>
        <w:numPr>
          <w:ilvl w:val="0"/>
          <w:numId w:val="25"/>
        </w:numPr>
        <w:tabs>
          <w:tab w:val="left" w:pos="567"/>
        </w:tabs>
        <w:autoSpaceDE w:val="0"/>
        <w:autoSpaceDN w:val="0"/>
        <w:adjustRightInd w:val="0"/>
        <w:spacing w:after="120"/>
        <w:ind w:left="0" w:firstLine="284"/>
        <w:jc w:val="both"/>
        <w:rPr>
          <w:i/>
          <w:color w:val="000000"/>
          <w:sz w:val="20"/>
          <w:szCs w:val="20"/>
        </w:rPr>
      </w:pPr>
      <w:r w:rsidRPr="00C17061">
        <w:rPr>
          <w:i/>
          <w:color w:val="000000"/>
          <w:sz w:val="20"/>
          <w:szCs w:val="20"/>
        </w:rPr>
        <w:t>Capitalizar los créditos, en este último caso con sujeción a las siguientes condiciones:</w:t>
      </w:r>
    </w:p>
    <w:p w14:paraId="371B0422" w14:textId="77777777" w:rsidR="00F87E58" w:rsidRPr="00C17061"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i/>
          <w:sz w:val="20"/>
          <w:szCs w:val="20"/>
        </w:rPr>
      </w:pPr>
      <w:r w:rsidRPr="00C17061">
        <w:rPr>
          <w:i/>
          <w:sz w:val="20"/>
          <w:szCs w:val="20"/>
        </w:rPr>
        <w:t>Haya tenido lugar la reducción de capital social prevista en el contrato de financiación de enero 2005</w:t>
      </w:r>
      <w:r w:rsidRPr="00C17061">
        <w:rPr>
          <w:rStyle w:val="Refdenotaalpie"/>
          <w:rFonts w:eastAsia="Calibri"/>
          <w:sz w:val="20"/>
          <w:szCs w:val="20"/>
        </w:rPr>
        <w:footnoteReference w:id="19"/>
      </w:r>
      <w:r w:rsidRPr="00C17061">
        <w:rPr>
          <w:i/>
          <w:sz w:val="20"/>
          <w:szCs w:val="20"/>
        </w:rPr>
        <w:t>.</w:t>
      </w:r>
    </w:p>
    <w:p w14:paraId="227A64D8" w14:textId="77777777" w:rsidR="00F87E58" w:rsidRPr="00C17061"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i/>
          <w:sz w:val="20"/>
          <w:szCs w:val="20"/>
        </w:rPr>
      </w:pPr>
      <w:r w:rsidRPr="00C17061">
        <w:rPr>
          <w:i/>
          <w:color w:val="000000"/>
          <w:sz w:val="20"/>
          <w:szCs w:val="20"/>
        </w:rPr>
        <w:t xml:space="preserve">Sodena no </w:t>
      </w:r>
      <w:r w:rsidRPr="00C17061">
        <w:rPr>
          <w:i/>
          <w:sz w:val="20"/>
          <w:szCs w:val="20"/>
        </w:rPr>
        <w:t>adquiera tras esa capitalización una mayoría de la sociedad.</w:t>
      </w:r>
    </w:p>
    <w:p w14:paraId="4C7B79CD" w14:textId="77777777" w:rsidR="00F87E58" w:rsidRPr="00C17061" w:rsidRDefault="00F87E58" w:rsidP="00F87E58">
      <w:pPr>
        <w:pStyle w:val="texto"/>
        <w:numPr>
          <w:ilvl w:val="0"/>
          <w:numId w:val="32"/>
        </w:numPr>
        <w:tabs>
          <w:tab w:val="clear" w:pos="2835"/>
          <w:tab w:val="clear" w:pos="3969"/>
          <w:tab w:val="clear" w:pos="5103"/>
          <w:tab w:val="clear" w:pos="6237"/>
          <w:tab w:val="clear" w:pos="7371"/>
          <w:tab w:val="left" w:pos="284"/>
          <w:tab w:val="left" w:pos="426"/>
        </w:tabs>
        <w:spacing w:after="100"/>
        <w:ind w:left="0" w:firstLine="284"/>
        <w:rPr>
          <w:i/>
          <w:color w:val="000000"/>
          <w:sz w:val="20"/>
          <w:szCs w:val="20"/>
        </w:rPr>
      </w:pPr>
      <w:r w:rsidRPr="00C17061">
        <w:rPr>
          <w:i/>
          <w:sz w:val="20"/>
          <w:szCs w:val="20"/>
        </w:rPr>
        <w:t>Que la capitalización fuera aprobada por la Junta General de la sociedad con los trámites</w:t>
      </w:r>
      <w:r w:rsidRPr="00C17061">
        <w:rPr>
          <w:i/>
          <w:color w:val="000000"/>
          <w:sz w:val="20"/>
          <w:szCs w:val="20"/>
        </w:rPr>
        <w:t xml:space="preserve"> legales y estatutarios”.</w:t>
      </w:r>
    </w:p>
    <w:p w14:paraId="37FC8451" w14:textId="77777777" w:rsidR="00F87E58" w:rsidRPr="00AA16A6"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szCs w:val="26"/>
        </w:rPr>
        <w:t xml:space="preserve">Al respecto, destacamos que, debido a la vigencia de esta cláusula, no ha sido posible la capitalización de la totalidad de los préstamos participativos por 56,80 millones que figuran en las cuentas anuales de Sodena, ni siquiera en una cuantía </w:t>
      </w:r>
      <w:r w:rsidRPr="00AA16A6">
        <w:rPr>
          <w:szCs w:val="26"/>
        </w:rPr>
        <w:t xml:space="preserve">que le permitieses ostentar la mayoría absoluta en el capital social (más del 50 por ciento) ya que Sodena se ha encontrado ante </w:t>
      </w:r>
      <w:r w:rsidR="00D843C7" w:rsidRPr="00AA16A6">
        <w:rPr>
          <w:szCs w:val="26"/>
        </w:rPr>
        <w:t xml:space="preserve">las siguientes limitaciones: </w:t>
      </w:r>
    </w:p>
    <w:p w14:paraId="6D6CDEE8" w14:textId="77777777" w:rsidR="00F87E58" w:rsidRPr="0057079F" w:rsidRDefault="00D843C7" w:rsidP="00F87E58">
      <w:pPr>
        <w:pStyle w:val="texto"/>
        <w:numPr>
          <w:ilvl w:val="0"/>
          <w:numId w:val="30"/>
        </w:numPr>
        <w:tabs>
          <w:tab w:val="clear" w:pos="2835"/>
          <w:tab w:val="clear" w:pos="3969"/>
          <w:tab w:val="clear" w:pos="5103"/>
          <w:tab w:val="clear" w:pos="6237"/>
          <w:tab w:val="clear" w:pos="7371"/>
          <w:tab w:val="left" w:pos="284"/>
          <w:tab w:val="left" w:pos="567"/>
          <w:tab w:val="num" w:pos="720"/>
          <w:tab w:val="num" w:pos="786"/>
          <w:tab w:val="num" w:pos="1320"/>
          <w:tab w:val="num" w:pos="2062"/>
          <w:tab w:val="num" w:pos="4472"/>
        </w:tabs>
        <w:spacing w:after="240"/>
        <w:ind w:left="0" w:firstLine="284"/>
        <w:rPr>
          <w:szCs w:val="26"/>
        </w:rPr>
      </w:pPr>
      <w:r w:rsidRPr="00AA16A6">
        <w:rPr>
          <w:szCs w:val="26"/>
        </w:rPr>
        <w:t>La i</w:t>
      </w:r>
      <w:r w:rsidR="00F87E58" w:rsidRPr="00AA16A6">
        <w:rPr>
          <w:szCs w:val="26"/>
        </w:rPr>
        <w:t xml:space="preserve">mposibilidad de superar el 50 por ciento del capital de la sociedad, por </w:t>
      </w:r>
      <w:r w:rsidR="00F87E58" w:rsidRPr="0057079F">
        <w:rPr>
          <w:szCs w:val="26"/>
        </w:rPr>
        <w:t>lo que solo podría capitalizar préstamos participativos hasta alcanzar como máximo la mitad del capital social, en concreto 90.000 euros</w:t>
      </w:r>
      <w:r w:rsidR="00F87E58">
        <w:rPr>
          <w:szCs w:val="26"/>
        </w:rPr>
        <w:t xml:space="preserve">, dado que ya participaba en un 45 por ciento. </w:t>
      </w:r>
      <w:r w:rsidR="00F87E58" w:rsidRPr="0057079F">
        <w:rPr>
          <w:szCs w:val="26"/>
        </w:rPr>
        <w:t>El resto hasta alcanzar 78,2</w:t>
      </w:r>
      <w:r w:rsidR="00F87E58">
        <w:rPr>
          <w:szCs w:val="26"/>
        </w:rPr>
        <w:t>0</w:t>
      </w:r>
      <w:r w:rsidR="00F87E58" w:rsidRPr="0057079F">
        <w:rPr>
          <w:szCs w:val="26"/>
        </w:rPr>
        <w:t xml:space="preserve"> millones, serían irrecuperables dada la </w:t>
      </w:r>
      <w:r w:rsidR="00F87E58">
        <w:rPr>
          <w:szCs w:val="26"/>
        </w:rPr>
        <w:t xml:space="preserve">situación </w:t>
      </w:r>
      <w:r w:rsidR="00F87E58" w:rsidRPr="0057079F">
        <w:rPr>
          <w:szCs w:val="26"/>
        </w:rPr>
        <w:t xml:space="preserve">financiera de Parquenasa </w:t>
      </w:r>
      <w:r w:rsidR="00F87E58">
        <w:rPr>
          <w:szCs w:val="26"/>
        </w:rPr>
        <w:t xml:space="preserve">en </w:t>
      </w:r>
      <w:r w:rsidR="00F87E58" w:rsidRPr="0057079F">
        <w:rPr>
          <w:szCs w:val="26"/>
        </w:rPr>
        <w:t xml:space="preserve">su devolución. </w:t>
      </w:r>
    </w:p>
    <w:tbl>
      <w:tblPr>
        <w:tblW w:w="8789" w:type="dxa"/>
        <w:tblCellMar>
          <w:left w:w="70" w:type="dxa"/>
          <w:right w:w="70" w:type="dxa"/>
        </w:tblCellMar>
        <w:tblLook w:val="04A0" w:firstRow="1" w:lastRow="0" w:firstColumn="1" w:lastColumn="0" w:noHBand="0" w:noVBand="1"/>
      </w:tblPr>
      <w:tblGrid>
        <w:gridCol w:w="1418"/>
        <w:gridCol w:w="1417"/>
        <w:gridCol w:w="3544"/>
        <w:gridCol w:w="2410"/>
      </w:tblGrid>
      <w:tr w:rsidR="00F87E58" w:rsidRPr="00302F48" w14:paraId="260B8929" w14:textId="77777777" w:rsidTr="00C17061">
        <w:trPr>
          <w:trHeight w:val="255"/>
        </w:trPr>
        <w:tc>
          <w:tcPr>
            <w:tcW w:w="1418" w:type="dxa"/>
            <w:tcBorders>
              <w:top w:val="single" w:sz="4" w:space="0" w:color="auto"/>
              <w:left w:val="nil"/>
              <w:bottom w:val="single" w:sz="4" w:space="0" w:color="auto"/>
              <w:right w:val="nil"/>
            </w:tcBorders>
            <w:shd w:val="clear" w:color="auto" w:fill="9CC2E5"/>
            <w:noWrap/>
            <w:vAlign w:val="bottom"/>
          </w:tcPr>
          <w:p w14:paraId="04B04F10" w14:textId="77777777" w:rsidR="00F87E58" w:rsidRPr="00302F48" w:rsidRDefault="00F87E58" w:rsidP="00F87E58">
            <w:pPr>
              <w:pStyle w:val="cuadroCabe"/>
              <w:jc w:val="left"/>
              <w:rPr>
                <w:rFonts w:cs="Arial"/>
              </w:rPr>
            </w:pPr>
            <w:r>
              <w:rPr>
                <w:rFonts w:cs="Arial"/>
              </w:rPr>
              <w:t>Capital Social</w:t>
            </w:r>
          </w:p>
        </w:tc>
        <w:tc>
          <w:tcPr>
            <w:tcW w:w="1417" w:type="dxa"/>
            <w:tcBorders>
              <w:top w:val="single" w:sz="4" w:space="0" w:color="auto"/>
              <w:left w:val="nil"/>
              <w:bottom w:val="single" w:sz="4" w:space="0" w:color="auto"/>
              <w:right w:val="nil"/>
            </w:tcBorders>
            <w:shd w:val="clear" w:color="auto" w:fill="9CC2E5"/>
            <w:noWrap/>
            <w:vAlign w:val="bottom"/>
          </w:tcPr>
          <w:p w14:paraId="7AD5D820" w14:textId="77777777" w:rsidR="00F87E58" w:rsidRPr="00302F48" w:rsidRDefault="00F87E58" w:rsidP="00F87E58">
            <w:pPr>
              <w:pStyle w:val="cuadroCabe"/>
              <w:jc w:val="right"/>
              <w:rPr>
                <w:rFonts w:cs="Arial"/>
                <w:color w:val="000000"/>
              </w:rPr>
            </w:pPr>
            <w:r>
              <w:rPr>
                <w:rFonts w:cs="Arial"/>
                <w:color w:val="000000"/>
              </w:rPr>
              <w:t>45 % Sodena</w:t>
            </w:r>
          </w:p>
        </w:tc>
        <w:tc>
          <w:tcPr>
            <w:tcW w:w="3544" w:type="dxa"/>
            <w:tcBorders>
              <w:top w:val="single" w:sz="4" w:space="0" w:color="auto"/>
              <w:left w:val="nil"/>
              <w:bottom w:val="single" w:sz="4" w:space="0" w:color="auto"/>
              <w:right w:val="nil"/>
            </w:tcBorders>
            <w:shd w:val="clear" w:color="auto" w:fill="9CC2E5"/>
            <w:noWrap/>
            <w:vAlign w:val="bottom"/>
          </w:tcPr>
          <w:p w14:paraId="78D1301E" w14:textId="77777777" w:rsidR="00F87E58" w:rsidRPr="00302F48" w:rsidRDefault="00F87E58" w:rsidP="00C17061">
            <w:pPr>
              <w:pStyle w:val="cuadroCabe"/>
              <w:jc w:val="right"/>
              <w:rPr>
                <w:rFonts w:cs="Arial"/>
                <w:color w:val="000000"/>
              </w:rPr>
            </w:pPr>
            <w:r>
              <w:rPr>
                <w:rFonts w:cs="Arial"/>
                <w:color w:val="000000"/>
              </w:rPr>
              <w:t>5% límite máximo de capitalización</w:t>
            </w:r>
          </w:p>
        </w:tc>
        <w:tc>
          <w:tcPr>
            <w:tcW w:w="2410" w:type="dxa"/>
            <w:tcBorders>
              <w:top w:val="single" w:sz="4" w:space="0" w:color="auto"/>
              <w:left w:val="nil"/>
              <w:bottom w:val="single" w:sz="4" w:space="0" w:color="auto"/>
              <w:right w:val="nil"/>
            </w:tcBorders>
            <w:shd w:val="clear" w:color="auto" w:fill="9CC2E5"/>
            <w:noWrap/>
            <w:vAlign w:val="bottom"/>
          </w:tcPr>
          <w:p w14:paraId="0C2FEFB4" w14:textId="77777777" w:rsidR="00F87E58" w:rsidRPr="00302F48" w:rsidRDefault="00F87E58" w:rsidP="00F87E58">
            <w:pPr>
              <w:pStyle w:val="cuadroCabe"/>
              <w:jc w:val="right"/>
              <w:rPr>
                <w:rFonts w:cs="Arial"/>
                <w:color w:val="000000"/>
              </w:rPr>
            </w:pPr>
            <w:r>
              <w:rPr>
                <w:rFonts w:cs="Arial"/>
                <w:color w:val="000000"/>
              </w:rPr>
              <w:t>50% participación Sodena</w:t>
            </w:r>
          </w:p>
        </w:tc>
      </w:tr>
      <w:tr w:rsidR="00F87E58" w:rsidRPr="00211412" w14:paraId="6054C600" w14:textId="77777777" w:rsidTr="00C17061">
        <w:trPr>
          <w:trHeight w:val="198"/>
        </w:trPr>
        <w:tc>
          <w:tcPr>
            <w:tcW w:w="1418" w:type="dxa"/>
            <w:tcBorders>
              <w:top w:val="single" w:sz="4" w:space="0" w:color="auto"/>
              <w:left w:val="nil"/>
              <w:bottom w:val="single" w:sz="4" w:space="0" w:color="auto"/>
              <w:right w:val="nil"/>
            </w:tcBorders>
            <w:shd w:val="clear" w:color="auto" w:fill="auto"/>
            <w:noWrap/>
            <w:vAlign w:val="bottom"/>
          </w:tcPr>
          <w:p w14:paraId="2399A949" w14:textId="77777777" w:rsidR="00F87E58" w:rsidRPr="00211412" w:rsidRDefault="00F87E58" w:rsidP="00F87E58">
            <w:pPr>
              <w:pStyle w:val="cuatexto"/>
              <w:jc w:val="left"/>
            </w:pPr>
            <w:r>
              <w:t>1.800.000</w:t>
            </w:r>
          </w:p>
        </w:tc>
        <w:tc>
          <w:tcPr>
            <w:tcW w:w="1417" w:type="dxa"/>
            <w:tcBorders>
              <w:top w:val="single" w:sz="4" w:space="0" w:color="auto"/>
              <w:left w:val="nil"/>
              <w:bottom w:val="single" w:sz="4" w:space="0" w:color="auto"/>
              <w:right w:val="nil"/>
            </w:tcBorders>
            <w:shd w:val="clear" w:color="auto" w:fill="auto"/>
            <w:noWrap/>
            <w:vAlign w:val="bottom"/>
          </w:tcPr>
          <w:p w14:paraId="5900229F" w14:textId="77777777" w:rsidR="00F87E58" w:rsidRPr="00211412" w:rsidRDefault="00F87E58" w:rsidP="00F87E58">
            <w:pPr>
              <w:pStyle w:val="cuatexto"/>
              <w:jc w:val="right"/>
            </w:pPr>
            <w:r>
              <w:t>810.000</w:t>
            </w:r>
          </w:p>
        </w:tc>
        <w:tc>
          <w:tcPr>
            <w:tcW w:w="3544" w:type="dxa"/>
            <w:tcBorders>
              <w:top w:val="single" w:sz="4" w:space="0" w:color="auto"/>
              <w:left w:val="nil"/>
              <w:bottom w:val="single" w:sz="4" w:space="0" w:color="auto"/>
              <w:right w:val="nil"/>
            </w:tcBorders>
            <w:shd w:val="clear" w:color="auto" w:fill="auto"/>
            <w:noWrap/>
            <w:vAlign w:val="bottom"/>
          </w:tcPr>
          <w:p w14:paraId="753D0414" w14:textId="77777777" w:rsidR="00F87E58" w:rsidRPr="00211412" w:rsidRDefault="00F87E58" w:rsidP="00C17061">
            <w:pPr>
              <w:pStyle w:val="cuatexto"/>
              <w:jc w:val="right"/>
            </w:pPr>
            <w:r>
              <w:t>90.000</w:t>
            </w:r>
          </w:p>
        </w:tc>
        <w:tc>
          <w:tcPr>
            <w:tcW w:w="2410" w:type="dxa"/>
            <w:tcBorders>
              <w:top w:val="single" w:sz="4" w:space="0" w:color="auto"/>
              <w:left w:val="nil"/>
              <w:bottom w:val="single" w:sz="4" w:space="0" w:color="auto"/>
              <w:right w:val="nil"/>
            </w:tcBorders>
            <w:shd w:val="clear" w:color="auto" w:fill="auto"/>
            <w:noWrap/>
            <w:vAlign w:val="bottom"/>
          </w:tcPr>
          <w:p w14:paraId="40D256B2" w14:textId="77777777" w:rsidR="00F87E58" w:rsidRPr="00211412" w:rsidRDefault="00F87E58" w:rsidP="00F87E58">
            <w:pPr>
              <w:pStyle w:val="cuatexto"/>
              <w:jc w:val="right"/>
            </w:pPr>
            <w:r>
              <w:t>900.000</w:t>
            </w:r>
          </w:p>
        </w:tc>
      </w:tr>
    </w:tbl>
    <w:p w14:paraId="2F3CD7F3" w14:textId="77777777" w:rsidR="00F87E58" w:rsidRDefault="00F87E58" w:rsidP="00F87E58">
      <w:pPr>
        <w:pStyle w:val="texto"/>
        <w:tabs>
          <w:tab w:val="clear" w:pos="2835"/>
          <w:tab w:val="clear" w:pos="3969"/>
          <w:tab w:val="clear" w:pos="5103"/>
          <w:tab w:val="clear" w:pos="6237"/>
          <w:tab w:val="clear" w:pos="7371"/>
          <w:tab w:val="left" w:pos="284"/>
          <w:tab w:val="left" w:pos="567"/>
          <w:tab w:val="num" w:pos="1320"/>
          <w:tab w:val="num" w:pos="2062"/>
          <w:tab w:val="num" w:pos="4472"/>
        </w:tabs>
        <w:rPr>
          <w:szCs w:val="26"/>
        </w:rPr>
      </w:pPr>
    </w:p>
    <w:tbl>
      <w:tblPr>
        <w:tblW w:w="8789" w:type="dxa"/>
        <w:tblCellMar>
          <w:left w:w="70" w:type="dxa"/>
          <w:right w:w="70" w:type="dxa"/>
        </w:tblCellMar>
        <w:tblLook w:val="04A0" w:firstRow="1" w:lastRow="0" w:firstColumn="1" w:lastColumn="0" w:noHBand="0" w:noVBand="1"/>
      </w:tblPr>
      <w:tblGrid>
        <w:gridCol w:w="1560"/>
        <w:gridCol w:w="5386"/>
        <w:gridCol w:w="1843"/>
      </w:tblGrid>
      <w:tr w:rsidR="00F87E58" w:rsidRPr="00302F48" w14:paraId="30419D74" w14:textId="77777777" w:rsidTr="00C17061">
        <w:trPr>
          <w:trHeight w:val="255"/>
        </w:trPr>
        <w:tc>
          <w:tcPr>
            <w:tcW w:w="1560" w:type="dxa"/>
            <w:tcBorders>
              <w:top w:val="single" w:sz="4" w:space="0" w:color="auto"/>
              <w:left w:val="nil"/>
              <w:bottom w:val="single" w:sz="4" w:space="0" w:color="auto"/>
              <w:right w:val="nil"/>
            </w:tcBorders>
            <w:shd w:val="clear" w:color="auto" w:fill="9CC2E5"/>
            <w:noWrap/>
            <w:vAlign w:val="bottom"/>
          </w:tcPr>
          <w:p w14:paraId="4C3558F9" w14:textId="77777777" w:rsidR="00F87E58" w:rsidRPr="00302F48" w:rsidRDefault="00F87E58" w:rsidP="00F87E58">
            <w:pPr>
              <w:pStyle w:val="cuadroCabe"/>
              <w:jc w:val="left"/>
              <w:rPr>
                <w:rFonts w:cs="Arial"/>
              </w:rPr>
            </w:pPr>
            <w:r>
              <w:rPr>
                <w:rFonts w:cs="Arial"/>
              </w:rPr>
              <w:t>Deuda total de Parquenasa</w:t>
            </w:r>
          </w:p>
        </w:tc>
        <w:tc>
          <w:tcPr>
            <w:tcW w:w="5386" w:type="dxa"/>
            <w:tcBorders>
              <w:top w:val="single" w:sz="4" w:space="0" w:color="auto"/>
              <w:left w:val="nil"/>
              <w:bottom w:val="single" w:sz="4" w:space="0" w:color="auto"/>
              <w:right w:val="nil"/>
            </w:tcBorders>
            <w:shd w:val="clear" w:color="auto" w:fill="9CC2E5"/>
            <w:noWrap/>
            <w:vAlign w:val="bottom"/>
          </w:tcPr>
          <w:p w14:paraId="35A31E2D" w14:textId="77777777" w:rsidR="00F87E58" w:rsidRDefault="00F87E58" w:rsidP="00C17061">
            <w:pPr>
              <w:pStyle w:val="cuadroCabe"/>
              <w:ind w:firstLine="1064"/>
              <w:jc w:val="right"/>
              <w:rPr>
                <w:rFonts w:cs="Arial"/>
                <w:color w:val="000000"/>
              </w:rPr>
            </w:pPr>
            <w:r>
              <w:rPr>
                <w:rFonts w:cs="Arial"/>
                <w:color w:val="000000"/>
              </w:rPr>
              <w:t>Importe amortizado anticipadamente</w:t>
            </w:r>
          </w:p>
          <w:p w14:paraId="4DC97665" w14:textId="77777777" w:rsidR="00F87E58" w:rsidRPr="00302F48" w:rsidRDefault="00F87E58" w:rsidP="00C17061">
            <w:pPr>
              <w:pStyle w:val="cuadroCabe"/>
              <w:jc w:val="right"/>
              <w:rPr>
                <w:rFonts w:cs="Arial"/>
                <w:color w:val="000000"/>
              </w:rPr>
            </w:pPr>
            <w:r>
              <w:rPr>
                <w:rFonts w:cs="Arial"/>
                <w:color w:val="000000"/>
              </w:rPr>
              <w:t>mediante capitalización</w:t>
            </w:r>
          </w:p>
        </w:tc>
        <w:tc>
          <w:tcPr>
            <w:tcW w:w="1843" w:type="dxa"/>
            <w:tcBorders>
              <w:top w:val="single" w:sz="4" w:space="0" w:color="auto"/>
              <w:left w:val="nil"/>
              <w:bottom w:val="single" w:sz="4" w:space="0" w:color="auto"/>
              <w:right w:val="nil"/>
            </w:tcBorders>
            <w:shd w:val="clear" w:color="auto" w:fill="9CC2E5"/>
            <w:noWrap/>
            <w:vAlign w:val="bottom"/>
          </w:tcPr>
          <w:p w14:paraId="44CFD68F" w14:textId="77777777" w:rsidR="00F87E58" w:rsidRDefault="00F87E58" w:rsidP="00F87E58">
            <w:pPr>
              <w:pStyle w:val="cuadroCabe"/>
              <w:jc w:val="right"/>
              <w:rPr>
                <w:rFonts w:cs="Arial"/>
                <w:color w:val="000000"/>
              </w:rPr>
            </w:pPr>
            <w:r>
              <w:rPr>
                <w:rFonts w:cs="Arial"/>
                <w:color w:val="000000"/>
              </w:rPr>
              <w:t>Deuda pendiente</w:t>
            </w:r>
          </w:p>
          <w:p w14:paraId="74670BEE" w14:textId="77777777" w:rsidR="00F87E58" w:rsidRPr="00302F48" w:rsidRDefault="00F87E58" w:rsidP="00F87E58">
            <w:pPr>
              <w:pStyle w:val="cuadroCabe"/>
              <w:jc w:val="right"/>
              <w:rPr>
                <w:rFonts w:cs="Arial"/>
                <w:color w:val="000000"/>
              </w:rPr>
            </w:pPr>
            <w:r>
              <w:rPr>
                <w:rFonts w:cs="Arial"/>
                <w:color w:val="000000"/>
              </w:rPr>
              <w:t>de Parquenasa</w:t>
            </w:r>
          </w:p>
        </w:tc>
      </w:tr>
      <w:tr w:rsidR="00F87E58" w:rsidRPr="00211412" w14:paraId="330A1757" w14:textId="77777777" w:rsidTr="00C17061">
        <w:trPr>
          <w:trHeight w:val="198"/>
        </w:trPr>
        <w:tc>
          <w:tcPr>
            <w:tcW w:w="1560" w:type="dxa"/>
            <w:tcBorders>
              <w:top w:val="single" w:sz="4" w:space="0" w:color="auto"/>
              <w:left w:val="nil"/>
              <w:bottom w:val="single" w:sz="2" w:space="0" w:color="auto"/>
              <w:right w:val="nil"/>
            </w:tcBorders>
            <w:shd w:val="clear" w:color="auto" w:fill="auto"/>
            <w:noWrap/>
            <w:vAlign w:val="bottom"/>
          </w:tcPr>
          <w:p w14:paraId="60422582" w14:textId="77777777" w:rsidR="00F87E58" w:rsidRPr="00211412" w:rsidRDefault="00F87E58" w:rsidP="00F87E58">
            <w:pPr>
              <w:pStyle w:val="cuatexto"/>
              <w:jc w:val="left"/>
            </w:pPr>
            <w:r>
              <w:t>78.292.154</w:t>
            </w:r>
          </w:p>
        </w:tc>
        <w:tc>
          <w:tcPr>
            <w:tcW w:w="5386" w:type="dxa"/>
            <w:tcBorders>
              <w:top w:val="single" w:sz="4" w:space="0" w:color="auto"/>
              <w:left w:val="nil"/>
              <w:bottom w:val="single" w:sz="2" w:space="0" w:color="auto"/>
              <w:right w:val="nil"/>
            </w:tcBorders>
            <w:shd w:val="clear" w:color="auto" w:fill="auto"/>
            <w:noWrap/>
            <w:vAlign w:val="bottom"/>
          </w:tcPr>
          <w:p w14:paraId="64A5D92C" w14:textId="77777777" w:rsidR="00F87E58" w:rsidRPr="00211412" w:rsidRDefault="00F87E58" w:rsidP="00C17061">
            <w:pPr>
              <w:pStyle w:val="cuatexto"/>
              <w:jc w:val="right"/>
            </w:pPr>
            <w:r>
              <w:t>90.000</w:t>
            </w:r>
          </w:p>
        </w:tc>
        <w:tc>
          <w:tcPr>
            <w:tcW w:w="1843" w:type="dxa"/>
            <w:tcBorders>
              <w:top w:val="single" w:sz="4" w:space="0" w:color="auto"/>
              <w:left w:val="nil"/>
              <w:bottom w:val="single" w:sz="2" w:space="0" w:color="auto"/>
              <w:right w:val="nil"/>
            </w:tcBorders>
            <w:shd w:val="clear" w:color="auto" w:fill="auto"/>
            <w:noWrap/>
            <w:vAlign w:val="bottom"/>
          </w:tcPr>
          <w:p w14:paraId="49894ADF" w14:textId="77777777" w:rsidR="00F87E58" w:rsidRPr="00211412" w:rsidRDefault="00F87E58" w:rsidP="00F87E58">
            <w:pPr>
              <w:pStyle w:val="cuatexto"/>
              <w:jc w:val="right"/>
            </w:pPr>
            <w:r>
              <w:t>78.202.154</w:t>
            </w:r>
          </w:p>
        </w:tc>
      </w:tr>
    </w:tbl>
    <w:p w14:paraId="252E45A4" w14:textId="77777777" w:rsidR="00F87E58" w:rsidRPr="00AA16A6" w:rsidRDefault="00D843C7" w:rsidP="00F87E58">
      <w:pPr>
        <w:pStyle w:val="texto"/>
        <w:numPr>
          <w:ilvl w:val="0"/>
          <w:numId w:val="30"/>
        </w:numPr>
        <w:tabs>
          <w:tab w:val="clear" w:pos="2835"/>
          <w:tab w:val="clear" w:pos="3969"/>
          <w:tab w:val="clear" w:pos="5103"/>
          <w:tab w:val="clear" w:pos="6237"/>
          <w:tab w:val="clear" w:pos="7371"/>
          <w:tab w:val="left" w:pos="284"/>
          <w:tab w:val="left" w:pos="567"/>
          <w:tab w:val="num" w:pos="720"/>
          <w:tab w:val="num" w:pos="786"/>
          <w:tab w:val="num" w:pos="1320"/>
          <w:tab w:val="num" w:pos="2062"/>
          <w:tab w:val="num" w:pos="4472"/>
        </w:tabs>
        <w:ind w:left="0" w:firstLine="284"/>
        <w:rPr>
          <w:szCs w:val="26"/>
        </w:rPr>
      </w:pPr>
      <w:r w:rsidRPr="00AA16A6">
        <w:rPr>
          <w:szCs w:val="26"/>
        </w:rPr>
        <w:lastRenderedPageBreak/>
        <w:t>La</w:t>
      </w:r>
      <w:r w:rsidR="00F87E58" w:rsidRPr="00AA16A6">
        <w:rPr>
          <w:szCs w:val="26"/>
        </w:rPr>
        <w:t xml:space="preserve"> necesidad de ser aprobada por la Junta General.</w:t>
      </w:r>
    </w:p>
    <w:p w14:paraId="7B3260AB" w14:textId="77777777" w:rsidR="00667669" w:rsidRPr="00AA16A6" w:rsidRDefault="00667669" w:rsidP="00667669">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AA16A6">
        <w:rPr>
          <w:szCs w:val="26"/>
        </w:rPr>
        <w:t xml:space="preserve">Por otro lado, indicamos tal y como hemos reflejado en el apartado 2.2.1 de este apéndice, la necesaria </w:t>
      </w:r>
      <w:r w:rsidR="00D843C7" w:rsidRPr="00AA16A6">
        <w:rPr>
          <w:szCs w:val="26"/>
        </w:rPr>
        <w:t>aprobación por parte del Gobierno de Navarra</w:t>
      </w:r>
      <w:r w:rsidRPr="00AA16A6">
        <w:rPr>
          <w:szCs w:val="26"/>
        </w:rPr>
        <w:t xml:space="preserve"> </w:t>
      </w:r>
      <w:r w:rsidR="00D843C7" w:rsidRPr="00AA16A6">
        <w:rPr>
          <w:szCs w:val="26"/>
        </w:rPr>
        <w:t>conforme a la Ley Foral 1/1984, de 2 de enero, sobre creación de la Sociedad de Desarrollo de Navarra</w:t>
      </w:r>
      <w:r w:rsidRPr="00AA16A6">
        <w:rPr>
          <w:szCs w:val="26"/>
        </w:rPr>
        <w:t xml:space="preserve">, </w:t>
      </w:r>
      <w:r w:rsidR="00E5006D" w:rsidRPr="00AA16A6">
        <w:rPr>
          <w:szCs w:val="26"/>
        </w:rPr>
        <w:t>para que Sodena pudiera haber adquirido más del 45 por ciento del capital social de Parquenasa</w:t>
      </w:r>
      <w:r w:rsidRPr="00AA16A6">
        <w:rPr>
          <w:szCs w:val="26"/>
        </w:rPr>
        <w:t xml:space="preserve">. </w:t>
      </w:r>
    </w:p>
    <w:p w14:paraId="56B373E2"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szCs w:val="26"/>
        </w:rPr>
        <w:t xml:space="preserve">Siendo Sodena el único socio que ha aportado financiación para mantener la actividad de Senda Viva, no es razonable que no haya ostentado la mayoría del capital social. Esta situación no ha cambiado tras la venta de las participaciones a Nicdo, puesto que el porcentaje de participación pública en el capital social en Parquenasa, sigue siendo minoritaria. </w:t>
      </w:r>
    </w:p>
    <w:p w14:paraId="3D71975E"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szCs w:val="26"/>
        </w:rPr>
        <w:t xml:space="preserve">Pese a esta posición minoritaria, los riesgos asumidos en Parquenasa, y su capacidad para participar en las decisiones de explotación y financieras en Parquenasa, son las razones por las que de conformidad con el artículo </w:t>
      </w:r>
      <w:r w:rsidRPr="00AF166B">
        <w:rPr>
          <w:szCs w:val="26"/>
        </w:rPr>
        <w:t>2</w:t>
      </w:r>
      <w:r>
        <w:rPr>
          <w:szCs w:val="26"/>
        </w:rPr>
        <w:t>.2</w:t>
      </w:r>
      <w:r w:rsidRPr="00AF166B">
        <w:rPr>
          <w:szCs w:val="26"/>
        </w:rPr>
        <w:t xml:space="preserve"> del Real Decreto 1159/2010</w:t>
      </w:r>
      <w:r>
        <w:rPr>
          <w:rStyle w:val="Refdenotaalpie"/>
          <w:rFonts w:eastAsia="Calibri"/>
          <w:szCs w:val="26"/>
        </w:rPr>
        <w:footnoteReference w:id="20"/>
      </w:r>
      <w:r w:rsidRPr="00AF166B">
        <w:rPr>
          <w:szCs w:val="26"/>
        </w:rPr>
        <w:t xml:space="preserve">, </w:t>
      </w:r>
      <w:r>
        <w:rPr>
          <w:szCs w:val="26"/>
        </w:rPr>
        <w:t xml:space="preserve">surge la presunción legal de control en la sociedad, obligando a consolidar las cuentas de Parquenasa en las cuentas anuales consolidadas de la CPEN. </w:t>
      </w:r>
    </w:p>
    <w:p w14:paraId="49C8CB10" w14:textId="77777777" w:rsidR="00F87E58" w:rsidRPr="00F011A2"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szCs w:val="26"/>
        </w:rPr>
        <w:t xml:space="preserve">Entendemos que esta presunción legal desde el punto de vista contable, en el </w:t>
      </w:r>
      <w:r w:rsidRPr="00F011A2">
        <w:rPr>
          <w:szCs w:val="26"/>
        </w:rPr>
        <w:t>fondo, pone de manifiesto la existencia</w:t>
      </w:r>
      <w:r w:rsidR="0050163F">
        <w:rPr>
          <w:szCs w:val="26"/>
        </w:rPr>
        <w:t xml:space="preserve"> </w:t>
      </w:r>
      <w:r w:rsidRPr="00F011A2">
        <w:rPr>
          <w:szCs w:val="26"/>
        </w:rPr>
        <w:t xml:space="preserve">de un control de facto sobre la sociedad, que podría entenderse de hecho como absoluto, dado que, si se suspende la financiación pública, la sociedad se disolvería. </w:t>
      </w:r>
      <w:r w:rsidR="00E37848" w:rsidRPr="00F011A2">
        <w:rPr>
          <w:szCs w:val="26"/>
        </w:rPr>
        <w:t xml:space="preserve">La existencia y </w:t>
      </w:r>
      <w:r w:rsidR="008C5BF4">
        <w:rPr>
          <w:szCs w:val="26"/>
        </w:rPr>
        <w:t xml:space="preserve">confluencia de </w:t>
      </w:r>
      <w:r w:rsidR="00E37848" w:rsidRPr="00F011A2">
        <w:rPr>
          <w:szCs w:val="26"/>
        </w:rPr>
        <w:t>marcos regulatorios distintos</w:t>
      </w:r>
      <w:r w:rsidR="00481856" w:rsidRPr="00F011A2">
        <w:rPr>
          <w:szCs w:val="26"/>
        </w:rPr>
        <w:t xml:space="preserve"> (</w:t>
      </w:r>
      <w:r w:rsidR="008C5BF4">
        <w:rPr>
          <w:szCs w:val="26"/>
        </w:rPr>
        <w:t xml:space="preserve">en el ámbito </w:t>
      </w:r>
      <w:r w:rsidR="00481856" w:rsidRPr="00F011A2">
        <w:rPr>
          <w:szCs w:val="26"/>
        </w:rPr>
        <w:t>contable y jurídico-administrativo)</w:t>
      </w:r>
      <w:r w:rsidR="00E37848" w:rsidRPr="00F011A2">
        <w:rPr>
          <w:szCs w:val="26"/>
        </w:rPr>
        <w:t xml:space="preserve">, </w:t>
      </w:r>
      <w:r w:rsidR="00481856" w:rsidRPr="00F011A2">
        <w:rPr>
          <w:szCs w:val="26"/>
        </w:rPr>
        <w:t xml:space="preserve">y atendiendo a la prevalencia del fondo sobre la forma, no evita </w:t>
      </w:r>
      <w:r w:rsidR="00E37848" w:rsidRPr="00F011A2">
        <w:rPr>
          <w:szCs w:val="26"/>
        </w:rPr>
        <w:t xml:space="preserve">contemplar una situación en la que </w:t>
      </w:r>
      <w:r w:rsidRPr="00F011A2">
        <w:rPr>
          <w:szCs w:val="26"/>
        </w:rPr>
        <w:t>el control de facto lo ostenta el socio público a pesar de participar en un 45 por ciento, y el control legal los socios privados, al ostentar el 55 por ciento del capital, situación, a nuestro juicio, totalmente co</w:t>
      </w:r>
      <w:r w:rsidR="00E37848" w:rsidRPr="00F011A2">
        <w:rPr>
          <w:szCs w:val="26"/>
        </w:rPr>
        <w:t xml:space="preserve">ntradictoria, y que debe resolverse. </w:t>
      </w:r>
    </w:p>
    <w:p w14:paraId="3722FD74" w14:textId="77777777" w:rsidR="00F87E58" w:rsidRDefault="00F87E58" w:rsidP="00F87E58">
      <w:pPr>
        <w:pStyle w:val="atitulo3"/>
        <w:spacing w:before="240"/>
      </w:pPr>
      <w:r>
        <w:t>2.6.2 Repercusiones de la conversión de Parquenasa como sociedad pública</w:t>
      </w:r>
    </w:p>
    <w:p w14:paraId="54622068"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szCs w:val="26"/>
        </w:rPr>
        <w:t>La Ley Foral 13/2007, de 4 de abril, de la Hacienda Pública de Navarra, y la Ley Foral 11/2019, de 11 de marzo, de la Administración de la Comunidad Foral de N</w:t>
      </w:r>
      <w:r w:rsidRPr="00154A7C">
        <w:rPr>
          <w:szCs w:val="26"/>
        </w:rPr>
        <w:t>avarra y del sector público institucional foral</w:t>
      </w:r>
      <w:r>
        <w:rPr>
          <w:szCs w:val="26"/>
        </w:rPr>
        <w:t xml:space="preserve">, consideran las sociedades públicas como integrantes del sector público foral. Ambas leyes forales se remiten a la Ley Foral </w:t>
      </w:r>
      <w:r w:rsidRPr="00154A7C">
        <w:rPr>
          <w:szCs w:val="26"/>
        </w:rPr>
        <w:t>14/2007, de 4 de a</w:t>
      </w:r>
      <w:r>
        <w:rPr>
          <w:szCs w:val="26"/>
        </w:rPr>
        <w:t>bril, del Patrimonio de Navarra, para la definición de sociedad pública.</w:t>
      </w:r>
    </w:p>
    <w:p w14:paraId="53822ABE"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i/>
          <w:szCs w:val="26"/>
        </w:rPr>
      </w:pPr>
      <w:r>
        <w:rPr>
          <w:szCs w:val="26"/>
        </w:rPr>
        <w:lastRenderedPageBreak/>
        <w:t>Según la citada ley foral “</w:t>
      </w:r>
      <w:r w:rsidRPr="00154A7C">
        <w:rPr>
          <w:i/>
          <w:szCs w:val="26"/>
        </w:rPr>
        <w:t xml:space="preserve">Son sociedades públicas de la Comunidad Foral de Navarra y sus Organismos públicos aquellas sociedades en las que la participación, directa o indirecta, de la Administración de la Comunidad Foral y/o de sus Organismos públicos represente la mayoría absoluta de su capital social. </w:t>
      </w:r>
    </w:p>
    <w:p w14:paraId="43AEA99E" w14:textId="77777777" w:rsidR="00F87E58" w:rsidRPr="00045BCE"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154A7C">
        <w:rPr>
          <w:i/>
          <w:szCs w:val="26"/>
        </w:rPr>
        <w:t>Son también sociedades públicas aquellas en las que la Administración de la Comunidad Foral de Navarra y/o sus Organismos públicos dispongan de capacidad para nombrar más de la mitad de los miembros de sus órganos de administración, de dirección o de vigilancia; o dispongan de la mayoría de los votos correspondientes a las participaciones emitidas por la sociedad</w:t>
      </w:r>
      <w:r>
        <w:rPr>
          <w:szCs w:val="26"/>
        </w:rPr>
        <w:t>”</w:t>
      </w:r>
      <w:r w:rsidR="00C17061">
        <w:rPr>
          <w:szCs w:val="26"/>
        </w:rPr>
        <w:t>.</w:t>
      </w:r>
    </w:p>
    <w:p w14:paraId="1EADF023" w14:textId="77777777" w:rsidR="00F87E58" w:rsidRPr="00154A7C"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154A7C">
        <w:rPr>
          <w:szCs w:val="26"/>
        </w:rPr>
        <w:t xml:space="preserve">Por </w:t>
      </w:r>
      <w:r>
        <w:rPr>
          <w:szCs w:val="26"/>
        </w:rPr>
        <w:t xml:space="preserve">lo </w:t>
      </w:r>
      <w:r w:rsidRPr="00154A7C">
        <w:rPr>
          <w:szCs w:val="26"/>
        </w:rPr>
        <w:t>tanto</w:t>
      </w:r>
      <w:r>
        <w:rPr>
          <w:szCs w:val="26"/>
        </w:rPr>
        <w:t>,</w:t>
      </w:r>
      <w:r w:rsidRPr="00154A7C">
        <w:rPr>
          <w:szCs w:val="26"/>
        </w:rPr>
        <w:t xml:space="preserve"> las sociedades públicas lo son en función de tres criterios no acumulativos:</w:t>
      </w:r>
    </w:p>
    <w:p w14:paraId="11E22B1C" w14:textId="77777777" w:rsidR="00F87E58" w:rsidRPr="00154A7C"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154A7C">
        <w:rPr>
          <w:szCs w:val="26"/>
        </w:rPr>
        <w:t>a) Control del capital social: titularidad directa o indirecta de la mayo</w:t>
      </w:r>
      <w:r>
        <w:rPr>
          <w:szCs w:val="26"/>
        </w:rPr>
        <w:t>ría absoluta del capital social (porcentaje superior al 50 por ciento)</w:t>
      </w:r>
      <w:r w:rsidR="00C17061">
        <w:rPr>
          <w:szCs w:val="26"/>
        </w:rPr>
        <w:t>.</w:t>
      </w:r>
    </w:p>
    <w:p w14:paraId="2C9C9416" w14:textId="77777777" w:rsidR="00F87E58" w:rsidRPr="00154A7C"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154A7C">
        <w:rPr>
          <w:szCs w:val="26"/>
        </w:rPr>
        <w:t>b) Control orgánico: nombramiento de más de la mitad de los miembros de sus órganos de gobierno o dirección.</w:t>
      </w:r>
    </w:p>
    <w:p w14:paraId="0DE9CB57"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154A7C">
        <w:rPr>
          <w:szCs w:val="26"/>
        </w:rPr>
        <w:t>c) Control de funcionamiento: mayoría de votos por las participaciones emitidas por la sociedad.</w:t>
      </w:r>
    </w:p>
    <w:p w14:paraId="5D2A76AF"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pacing w:val="0"/>
          <w:szCs w:val="26"/>
        </w:rPr>
      </w:pPr>
      <w:r w:rsidRPr="00AF166B">
        <w:rPr>
          <w:spacing w:val="0"/>
          <w:szCs w:val="26"/>
        </w:rPr>
        <w:t>Ninguno de estos requisitos se da en la participación de Sodena en Parquenasa, por lo que no es sociedad pública.</w:t>
      </w:r>
      <w:r>
        <w:rPr>
          <w:spacing w:val="0"/>
          <w:szCs w:val="26"/>
        </w:rPr>
        <w:t xml:space="preserve"> </w:t>
      </w:r>
    </w:p>
    <w:p w14:paraId="41180C9D"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spacing w:val="0"/>
          <w:szCs w:val="26"/>
        </w:rPr>
        <w:t>E</w:t>
      </w:r>
      <w:r>
        <w:rPr>
          <w:szCs w:val="26"/>
        </w:rPr>
        <w:t>l hecho de que Sodena haya sido administrador único de la sociedad, y actualmente Nicdo, es una situación que se aprobó por la Junta General de Parquenasa, donde la mayoría la ostentan tres socios privados. Ni Sodena, ni Nicdo, han dispuesto de capacidad para nombrar la mayoría de miembros en los órganos de gobierno o dirección.</w:t>
      </w:r>
    </w:p>
    <w:p w14:paraId="52A8B23C"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sidRPr="001A5E73">
        <w:rPr>
          <w:b/>
          <w:szCs w:val="26"/>
        </w:rPr>
        <w:t>En definitiva</w:t>
      </w:r>
      <w:r>
        <w:rPr>
          <w:szCs w:val="26"/>
        </w:rPr>
        <w:t xml:space="preserve">, Parquenasa sigue siendo una sociedad mercantil privada. Sobre </w:t>
      </w:r>
      <w:r w:rsidRPr="00AA16A6">
        <w:rPr>
          <w:szCs w:val="26"/>
        </w:rPr>
        <w:t xml:space="preserve">esta cuestión, dado que la parte pública en el accionariado de la sociedad, considera que la actividad que gestiona la sociedad es un proyecto estratégico, y están asumiendo la totalidad de </w:t>
      </w:r>
      <w:r w:rsidR="00314A9B" w:rsidRPr="00AA16A6">
        <w:rPr>
          <w:szCs w:val="26"/>
        </w:rPr>
        <w:t xml:space="preserve">la financiación y </w:t>
      </w:r>
      <w:r w:rsidRPr="00AA16A6">
        <w:rPr>
          <w:szCs w:val="26"/>
        </w:rPr>
        <w:t xml:space="preserve">los riesgos, no es coherente que se gestione mediante una sociedad privada. A juicio de esta Cámara, se muestra </w:t>
      </w:r>
      <w:r>
        <w:rPr>
          <w:szCs w:val="26"/>
        </w:rPr>
        <w:t>difícil contemplar que un inversor privado que basa sus decisiones financieras por criterios de rentabilidad de su inversión, inyecte periódicamente financiación en la sociedad sin un horizonte de retorno.</w:t>
      </w:r>
    </w:p>
    <w:p w14:paraId="2CCA816A" w14:textId="77777777" w:rsidR="00F87E58"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szCs w:val="26"/>
        </w:rPr>
        <w:t xml:space="preserve">No es objeto de este informe el valorar una decisión que se consideró estratégica por parte de Sodena en 2005, y que sigue siendo el motivo de la necesidad de seguir dotando de financiación a una sociedad mercantil privada. No obstante, esta Cámara, sí que considera que los proyectos que puedan instrumentarse en colaboración con el sector privado, deben contemplar una distribución equilibrada de riesgos y beneficios potenciales, de manera que no sea el sector público quien asuma la totalidad de los riesgos. </w:t>
      </w:r>
    </w:p>
    <w:p w14:paraId="6FD37C46" w14:textId="77777777" w:rsidR="00F87E58" w:rsidRPr="002B46E4" w:rsidRDefault="00F87E58" w:rsidP="00F87E58">
      <w:pPr>
        <w:pStyle w:val="texto"/>
        <w:tabs>
          <w:tab w:val="clear" w:pos="2835"/>
          <w:tab w:val="clear" w:pos="3969"/>
          <w:tab w:val="clear" w:pos="5103"/>
          <w:tab w:val="clear" w:pos="6237"/>
          <w:tab w:val="clear" w:pos="7371"/>
          <w:tab w:val="left" w:pos="480"/>
          <w:tab w:val="num" w:pos="600"/>
          <w:tab w:val="num" w:pos="720"/>
          <w:tab w:val="num" w:pos="786"/>
          <w:tab w:val="num" w:pos="1320"/>
          <w:tab w:val="num" w:pos="2062"/>
          <w:tab w:val="num" w:pos="4472"/>
        </w:tabs>
        <w:rPr>
          <w:szCs w:val="26"/>
        </w:rPr>
      </w:pPr>
      <w:r>
        <w:rPr>
          <w:szCs w:val="26"/>
        </w:rPr>
        <w:lastRenderedPageBreak/>
        <w:t xml:space="preserve">En el supuesto </w:t>
      </w:r>
      <w:r w:rsidRPr="002B46E4">
        <w:rPr>
          <w:szCs w:val="26"/>
        </w:rPr>
        <w:t xml:space="preserve">que se decidiese convertir </w:t>
      </w:r>
      <w:r>
        <w:rPr>
          <w:szCs w:val="26"/>
        </w:rPr>
        <w:t xml:space="preserve">a </w:t>
      </w:r>
      <w:r w:rsidRPr="002B46E4">
        <w:rPr>
          <w:szCs w:val="26"/>
        </w:rPr>
        <w:t xml:space="preserve">Parquenasa en una sociedad pública, y </w:t>
      </w:r>
      <w:r>
        <w:rPr>
          <w:szCs w:val="26"/>
        </w:rPr>
        <w:t xml:space="preserve">por lo tanto perteneciente al sector público empresarial de la Administración de la Comunidad Foral de Navarra, </w:t>
      </w:r>
      <w:r w:rsidRPr="002B46E4">
        <w:rPr>
          <w:szCs w:val="26"/>
        </w:rPr>
        <w:t>estaría sometida al cumplimiento de determinadas normas de derecho público, entre las que cabe citar las siguientes:</w:t>
      </w:r>
    </w:p>
    <w:p w14:paraId="1F536F2F" w14:textId="77777777" w:rsidR="00F87E58" w:rsidRPr="001A5E73"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Ley Fo</w:t>
      </w:r>
      <w:r w:rsidRPr="00B45554">
        <w:rPr>
          <w:szCs w:val="26"/>
        </w:rPr>
        <w:t>ral 19/1996, de 4 de noviembre, de incompat</w:t>
      </w:r>
      <w:r>
        <w:rPr>
          <w:szCs w:val="26"/>
        </w:rPr>
        <w:t>ibilidades de los miembros del Gobierno de Navarra y de los Altos Cargos de la Administración de la Comunidad Foral de N</w:t>
      </w:r>
      <w:r w:rsidRPr="00B45554">
        <w:rPr>
          <w:szCs w:val="26"/>
        </w:rPr>
        <w:t>avarra</w:t>
      </w:r>
      <w:r>
        <w:rPr>
          <w:szCs w:val="26"/>
        </w:rPr>
        <w:t>.</w:t>
      </w:r>
    </w:p>
    <w:p w14:paraId="5EDD2B53"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Ley Foral 13/2007, de 4 de abril, de la Hacienda Pública de Navarra</w:t>
      </w:r>
    </w:p>
    <w:p w14:paraId="65D3F368" w14:textId="77777777" w:rsidR="00F87E58" w:rsidRPr="001A5E73"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Ley Foral 14/2007, de 14 de abril, de Patrimonio de Navarra.</w:t>
      </w:r>
    </w:p>
    <w:p w14:paraId="0F2DB7F9"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Ley Foral 2/2018, de 13 de abril, de Contratos Públicos.</w:t>
      </w:r>
    </w:p>
    <w:p w14:paraId="67F7811B"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Ley Foral 5/2018, de 17 de mayo, de Transparencia, acceso a la información pública y buen gobierno.</w:t>
      </w:r>
    </w:p>
    <w:p w14:paraId="1D20C4C0" w14:textId="77777777" w:rsidR="00F87E58" w:rsidRPr="00884174"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sidRPr="005052AD">
        <w:rPr>
          <w:szCs w:val="26"/>
        </w:rPr>
        <w:t xml:space="preserve">Ley </w:t>
      </w:r>
      <w:r>
        <w:rPr>
          <w:szCs w:val="26"/>
        </w:rPr>
        <w:t>F</w:t>
      </w:r>
      <w:r w:rsidRPr="005052AD">
        <w:rPr>
          <w:szCs w:val="26"/>
        </w:rPr>
        <w:t xml:space="preserve">oral 11/2019, de 11 de marzo, de la </w:t>
      </w:r>
      <w:r>
        <w:rPr>
          <w:szCs w:val="26"/>
        </w:rPr>
        <w:t>Administración de la Comunidad Foral de N</w:t>
      </w:r>
      <w:r w:rsidRPr="005052AD">
        <w:rPr>
          <w:szCs w:val="26"/>
        </w:rPr>
        <w:t>avarra y del sector público institucional foral</w:t>
      </w:r>
      <w:r>
        <w:rPr>
          <w:szCs w:val="26"/>
        </w:rPr>
        <w:t>.</w:t>
      </w:r>
    </w:p>
    <w:p w14:paraId="0D28A85C" w14:textId="77777777" w:rsidR="00F87E58"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rPr>
          <w:szCs w:val="26"/>
        </w:rPr>
      </w:pPr>
      <w:r>
        <w:rPr>
          <w:szCs w:val="26"/>
        </w:rPr>
        <w:t>Ley Orgánica 2/2012, de 27 de abril, de Estabilidad Presupuestaria y Sostenibilidad Financiera.</w:t>
      </w:r>
    </w:p>
    <w:p w14:paraId="6BCF8425" w14:textId="77777777" w:rsidR="00F87E58" w:rsidRPr="00886F83" w:rsidRDefault="00F87E58" w:rsidP="00F87E58">
      <w:pPr>
        <w:pStyle w:val="texto"/>
        <w:numPr>
          <w:ilvl w:val="0"/>
          <w:numId w:val="11"/>
        </w:numPr>
        <w:tabs>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ind w:left="0" w:firstLine="289"/>
      </w:pPr>
      <w:r w:rsidRPr="009D74B6">
        <w:rPr>
          <w:szCs w:val="26"/>
        </w:rPr>
        <w:t>Disposiciones en materia de personal contenidas en las leyes anuales de presupuestos generales del Estado.</w:t>
      </w:r>
      <w:bookmarkEnd w:id="40"/>
    </w:p>
    <w:p w14:paraId="130D7E86" w14:textId="77777777" w:rsidR="00156B78" w:rsidRDefault="00156B78">
      <w:pPr>
        <w:spacing w:after="0"/>
        <w:ind w:firstLine="0"/>
        <w:jc w:val="left"/>
        <w:rPr>
          <w:rFonts w:ascii="Arial" w:hAnsi="Arial"/>
          <w:i/>
          <w:iCs/>
          <w:color w:val="000000"/>
          <w:spacing w:val="10"/>
          <w:kern w:val="28"/>
          <w:sz w:val="25"/>
          <w:szCs w:val="26"/>
        </w:rPr>
      </w:pPr>
      <w:r>
        <w:br w:type="page"/>
      </w:r>
    </w:p>
    <w:p w14:paraId="00AFEEC9" w14:textId="77777777" w:rsidR="00156B78" w:rsidRPr="000D06D2" w:rsidRDefault="00156B78" w:rsidP="000D06D2">
      <w:pPr>
        <w:pStyle w:val="atitulo1"/>
      </w:pPr>
      <w:bookmarkStart w:id="41" w:name="_Toc129330332"/>
      <w:bookmarkStart w:id="42" w:name="_Toc130198158"/>
      <w:bookmarkStart w:id="43" w:name="_Toc146195637"/>
      <w:bookmarkStart w:id="44" w:name="_Toc149803656"/>
      <w:r w:rsidRPr="000D06D2">
        <w:lastRenderedPageBreak/>
        <w:t>Alegaciones formuladas al Informe Provisional</w:t>
      </w:r>
      <w:bookmarkEnd w:id="41"/>
      <w:bookmarkEnd w:id="42"/>
      <w:bookmarkEnd w:id="43"/>
      <w:bookmarkEnd w:id="44"/>
    </w:p>
    <w:p w14:paraId="47E85967" w14:textId="5E0BE91A"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D.ª M.ª Eugenia Lecumberri Alli</w:t>
      </w:r>
      <w:r w:rsidRPr="005318CE">
        <w:rPr>
          <w:rFonts w:ascii="Calibri" w:eastAsia="Calibri" w:hAnsi="Calibri" w:cs="Calibri"/>
          <w:color w:val="000000"/>
          <w:kern w:val="2"/>
          <w:sz w:val="22"/>
          <w:szCs w:val="22"/>
          <w:lang w:val="es-ES" w:eastAsia="es-ES"/>
          <w14:ligatures w14:val="standardContextual"/>
        </w:rPr>
        <w:t>, mayor de edad, en nombre y representación de “</w:t>
      </w:r>
      <w:r w:rsidRPr="005318CE">
        <w:rPr>
          <w:rFonts w:ascii="Calibri" w:eastAsia="Calibri" w:hAnsi="Calibri" w:cs="Calibri"/>
          <w:b/>
          <w:color w:val="000000"/>
          <w:kern w:val="2"/>
          <w:sz w:val="22"/>
          <w:szCs w:val="22"/>
          <w:lang w:val="es-ES" w:eastAsia="es-ES"/>
          <w14:ligatures w14:val="standardContextual"/>
        </w:rPr>
        <w:t>Sociedad de Desarrollo de Navarra, S.L.</w:t>
      </w:r>
      <w:r w:rsidRPr="005318CE">
        <w:rPr>
          <w:rFonts w:ascii="Calibri" w:eastAsia="Calibri" w:hAnsi="Calibri" w:cs="Calibri"/>
          <w:color w:val="000000"/>
          <w:kern w:val="2"/>
          <w:sz w:val="22"/>
          <w:szCs w:val="22"/>
          <w:lang w:val="es-ES" w:eastAsia="es-ES"/>
          <w14:ligatures w14:val="standardContextual"/>
        </w:rPr>
        <w:t>” (en adelante, “</w:t>
      </w:r>
      <w:r w:rsidRPr="005318CE">
        <w:rPr>
          <w:rFonts w:ascii="Calibri" w:eastAsia="Calibri" w:hAnsi="Calibri" w:cs="Calibri"/>
          <w:b/>
          <w:color w:val="000000"/>
          <w:kern w:val="2"/>
          <w:sz w:val="22"/>
          <w:szCs w:val="22"/>
          <w:lang w:val="es-ES" w:eastAsia="es-ES"/>
          <w14:ligatures w14:val="standardContextual"/>
        </w:rPr>
        <w:t>Sodena</w:t>
      </w:r>
      <w:r w:rsidRPr="005318CE">
        <w:rPr>
          <w:rFonts w:ascii="Calibri" w:eastAsia="Calibri" w:hAnsi="Calibri" w:cs="Calibri"/>
          <w:color w:val="000000"/>
          <w:kern w:val="2"/>
          <w:sz w:val="22"/>
          <w:szCs w:val="22"/>
          <w:lang w:val="es-ES" w:eastAsia="es-ES"/>
          <w14:ligatures w14:val="standardContextual"/>
        </w:rPr>
        <w:t xml:space="preserve">”), legalmente domiciliada en Pamplona (31003 Navarra), Avenida de Carlos III, número 36, 1º derecha, y provista de N.I.F. B/71/069868; y </w:t>
      </w:r>
      <w:r w:rsidRPr="005318CE">
        <w:rPr>
          <w:rFonts w:ascii="Calibri" w:eastAsia="Calibri" w:hAnsi="Calibri" w:cs="Calibri"/>
          <w:b/>
          <w:color w:val="000000"/>
          <w:kern w:val="2"/>
          <w:sz w:val="22"/>
          <w:szCs w:val="22"/>
          <w:lang w:val="es-ES" w:eastAsia="es-ES"/>
          <w14:ligatures w14:val="standardContextual"/>
        </w:rPr>
        <w:t>D. Francisco Fernández Nistal</w:t>
      </w:r>
      <w:r w:rsidRPr="005318CE">
        <w:rPr>
          <w:rFonts w:ascii="Calibri" w:eastAsia="Calibri" w:hAnsi="Calibri" w:cs="Calibri"/>
          <w:color w:val="000000"/>
          <w:kern w:val="2"/>
          <w:sz w:val="22"/>
          <w:szCs w:val="22"/>
          <w:lang w:val="es-ES" w:eastAsia="es-ES"/>
          <w14:ligatures w14:val="standardContextual"/>
        </w:rPr>
        <w:t>, mayor de edad, en nombre y representación de “</w:t>
      </w:r>
      <w:r w:rsidRPr="005318CE">
        <w:rPr>
          <w:rFonts w:ascii="Calibri" w:eastAsia="Calibri" w:hAnsi="Calibri" w:cs="Calibri"/>
          <w:b/>
          <w:color w:val="000000"/>
          <w:kern w:val="2"/>
          <w:sz w:val="22"/>
          <w:szCs w:val="22"/>
          <w:lang w:val="es-ES" w:eastAsia="es-ES"/>
          <w14:ligatures w14:val="standardContextual"/>
        </w:rPr>
        <w:t>Corporación Pública Empresarial de Navarra, S.L.</w:t>
      </w:r>
      <w:r w:rsidRPr="005318CE">
        <w:rPr>
          <w:rFonts w:ascii="Calibri" w:eastAsia="Calibri" w:hAnsi="Calibri" w:cs="Calibri"/>
          <w:color w:val="000000"/>
          <w:kern w:val="2"/>
          <w:sz w:val="22"/>
          <w:szCs w:val="22"/>
          <w:lang w:val="es-ES" w:eastAsia="es-ES"/>
          <w14:ligatures w14:val="standardContextual"/>
        </w:rPr>
        <w:t>” (en adelante, “</w:t>
      </w:r>
      <w:r w:rsidRPr="005318CE">
        <w:rPr>
          <w:rFonts w:ascii="Calibri" w:eastAsia="Calibri" w:hAnsi="Calibri" w:cs="Calibri"/>
          <w:b/>
          <w:color w:val="000000"/>
          <w:kern w:val="2"/>
          <w:sz w:val="22"/>
          <w:szCs w:val="22"/>
          <w:lang w:val="es-ES" w:eastAsia="es-ES"/>
          <w14:ligatures w14:val="standardContextual"/>
        </w:rPr>
        <w:t>CPEN</w:t>
      </w:r>
      <w:r w:rsidRPr="005318CE">
        <w:rPr>
          <w:rFonts w:ascii="Calibri" w:eastAsia="Calibri" w:hAnsi="Calibri" w:cs="Calibri"/>
          <w:color w:val="000000"/>
          <w:kern w:val="2"/>
          <w:sz w:val="22"/>
          <w:szCs w:val="22"/>
          <w:lang w:val="es-ES" w:eastAsia="es-ES"/>
          <w14:ligatures w14:val="standardContextual"/>
        </w:rPr>
        <w:t xml:space="preserve">”), legalmente domiciliada en Pamplona (31001 Navarra), Paseo de Pablo Sarasate, número 38, 2º derecha, y provista de N.I.F. B/71/018360, ante esa Cámara de Comptos comparecen y, como mejor proceda, </w:t>
      </w:r>
      <w:r w:rsidRPr="005318CE">
        <w:rPr>
          <w:rFonts w:ascii="Calibri" w:eastAsia="Calibri" w:hAnsi="Calibri" w:cs="Calibri"/>
          <w:b/>
          <w:color w:val="000000"/>
          <w:kern w:val="2"/>
          <w:sz w:val="22"/>
          <w:szCs w:val="22"/>
          <w:lang w:val="es-ES" w:eastAsia="es-ES"/>
          <w14:ligatures w14:val="standardContextual"/>
        </w:rPr>
        <w:t>DICEN</w:t>
      </w:r>
      <w:r w:rsidRPr="005318CE">
        <w:rPr>
          <w:rFonts w:ascii="Calibri" w:eastAsia="Calibri" w:hAnsi="Calibri" w:cs="Calibri"/>
          <w:color w:val="000000"/>
          <w:kern w:val="2"/>
          <w:sz w:val="22"/>
          <w:szCs w:val="22"/>
          <w:lang w:val="es-ES" w:eastAsia="es-ES"/>
          <w14:ligatures w14:val="standardContextual"/>
        </w:rPr>
        <w:t xml:space="preserve">:  </w:t>
      </w:r>
    </w:p>
    <w:p w14:paraId="37BAA06E" w14:textId="77777777" w:rsidR="005318CE" w:rsidRPr="005318CE" w:rsidRDefault="005318CE" w:rsidP="005318CE">
      <w:pPr>
        <w:spacing w:after="282" w:line="287" w:lineRule="auto"/>
        <w:ind w:left="719"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I.-</w:t>
      </w:r>
      <w:r w:rsidRPr="005318CE">
        <w:rPr>
          <w:rFonts w:ascii="Calibri" w:eastAsia="Calibri" w:hAnsi="Calibri" w:cs="Calibri"/>
          <w:color w:val="000000"/>
          <w:kern w:val="2"/>
          <w:sz w:val="22"/>
          <w:szCs w:val="22"/>
          <w:lang w:val="es-ES" w:eastAsia="es-ES"/>
          <w14:ligatures w14:val="standardContextual"/>
        </w:rPr>
        <w:t xml:space="preserve"> Que, con fecha 23 de octubre de 2023, se ha notificado a Sodena y CPEN la Resolución nº 2023-0158, dictada en esa misma fecha por el Sr. Presidente de la Cámara de Comptos, por la que se aprueba el informe provisional de fiscalización sobre “Aportaciones financieras realizadas por Sodena a Parquenasa” (en adelante, el “</w:t>
      </w:r>
      <w:r w:rsidRPr="005318CE">
        <w:rPr>
          <w:rFonts w:ascii="Calibri" w:eastAsia="Calibri" w:hAnsi="Calibri" w:cs="Calibri"/>
          <w:b/>
          <w:color w:val="000000"/>
          <w:kern w:val="2"/>
          <w:sz w:val="22"/>
          <w:szCs w:val="22"/>
          <w:lang w:val="es-ES" w:eastAsia="es-ES"/>
          <w14:ligatures w14:val="standardContextual"/>
        </w:rPr>
        <w:t>Informe Provisional</w:t>
      </w:r>
      <w:r w:rsidRPr="005318CE">
        <w:rPr>
          <w:rFonts w:ascii="Calibri" w:eastAsia="Calibri" w:hAnsi="Calibri" w:cs="Calibri"/>
          <w:color w:val="000000"/>
          <w:kern w:val="2"/>
          <w:sz w:val="22"/>
          <w:szCs w:val="22"/>
          <w:lang w:val="es-ES" w:eastAsia="es-ES"/>
          <w14:ligatures w14:val="standardContextual"/>
        </w:rPr>
        <w:t>”); y ello a los efectos de “</w:t>
      </w:r>
      <w:r w:rsidRPr="005318CE">
        <w:rPr>
          <w:rFonts w:ascii="Calibri" w:eastAsia="Calibri" w:hAnsi="Calibri" w:cs="Calibri"/>
          <w:i/>
          <w:color w:val="000000"/>
          <w:kern w:val="2"/>
          <w:sz w:val="22"/>
          <w:szCs w:val="22"/>
          <w:lang w:val="es-ES" w:eastAsia="es-ES"/>
          <w14:ligatures w14:val="standardContextual"/>
        </w:rPr>
        <w:t>dar traslado de dicho informe al organismo fiscalizado para su examen y, en su caso, formulación de alegaciones hasta el día 31 de octubre</w:t>
      </w:r>
      <w:r w:rsidRPr="005318CE">
        <w:rPr>
          <w:rFonts w:ascii="Calibri" w:eastAsia="Calibri" w:hAnsi="Calibri" w:cs="Calibri"/>
          <w:color w:val="000000"/>
          <w:kern w:val="2"/>
          <w:sz w:val="22"/>
          <w:szCs w:val="22"/>
          <w:lang w:val="es-ES" w:eastAsia="es-ES"/>
          <w14:ligatures w14:val="standardContextual"/>
        </w:rPr>
        <w:t xml:space="preserve">”.  </w:t>
      </w:r>
    </w:p>
    <w:p w14:paraId="0DA977E7" w14:textId="77777777" w:rsidR="005318CE" w:rsidRPr="005318CE" w:rsidRDefault="005318CE" w:rsidP="005318CE">
      <w:pPr>
        <w:spacing w:after="282" w:line="287" w:lineRule="auto"/>
        <w:ind w:left="719"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II.-</w:t>
      </w:r>
      <w:r w:rsidRPr="005318CE">
        <w:rPr>
          <w:rFonts w:ascii="Calibri" w:eastAsia="Calibri" w:hAnsi="Calibri" w:cs="Calibri"/>
          <w:color w:val="000000"/>
          <w:kern w:val="2"/>
          <w:sz w:val="22"/>
          <w:szCs w:val="22"/>
          <w:lang w:val="es-ES" w:eastAsia="es-ES"/>
          <w14:ligatures w14:val="standardContextual"/>
        </w:rPr>
        <w:t xml:space="preserve"> Que, en la representación que ostentamos, dentro del plazo señalado al efecto y a los efectos anteriormente expuestos, por medio del presente escrito se ponen en conocimiento de esa Cámara de Comptos a la que nos dirigimos, las siguientes  </w:t>
      </w:r>
    </w:p>
    <w:p w14:paraId="39698786" w14:textId="77777777" w:rsidR="005318CE" w:rsidRPr="005318CE" w:rsidRDefault="005318CE" w:rsidP="005318CE">
      <w:pPr>
        <w:spacing w:after="311" w:line="259" w:lineRule="auto"/>
        <w:ind w:left="704" w:firstLine="0"/>
        <w:jc w:val="center"/>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ALEGACIONES</w:t>
      </w:r>
      <w:r w:rsidRPr="005318CE">
        <w:rPr>
          <w:rFonts w:ascii="Calibri" w:eastAsia="Calibri" w:hAnsi="Calibri" w:cs="Calibri"/>
          <w:color w:val="000000"/>
          <w:kern w:val="2"/>
          <w:sz w:val="22"/>
          <w:szCs w:val="22"/>
          <w:lang w:val="es-ES" w:eastAsia="es-ES"/>
          <w14:ligatures w14:val="standardContextual"/>
        </w:rPr>
        <w:t xml:space="preserve"> </w:t>
      </w:r>
    </w:p>
    <w:p w14:paraId="2080F8C6" w14:textId="77777777" w:rsidR="005318CE" w:rsidRPr="005318CE" w:rsidRDefault="005318CE" w:rsidP="005318CE">
      <w:pPr>
        <w:keepNext/>
        <w:keepLines/>
        <w:spacing w:after="311" w:line="259" w:lineRule="auto"/>
        <w:ind w:left="1" w:firstLine="0"/>
        <w:jc w:val="left"/>
        <w:outlineLvl w:val="0"/>
        <w:rPr>
          <w:rFonts w:ascii="Calibri" w:eastAsia="Calibri" w:hAnsi="Calibri" w:cs="Calibri"/>
          <w:b/>
          <w:color w:val="000000"/>
          <w:kern w:val="2"/>
          <w:sz w:val="22"/>
          <w:szCs w:val="22"/>
          <w:u w:val="single" w:color="000000"/>
          <w:lang w:val="es-ES" w:eastAsia="es-ES"/>
          <w14:ligatures w14:val="standardContextual"/>
        </w:rPr>
      </w:pPr>
      <w:r w:rsidRPr="005318CE">
        <w:rPr>
          <w:rFonts w:ascii="Calibri" w:eastAsia="Calibri" w:hAnsi="Calibri" w:cs="Calibri"/>
          <w:b/>
          <w:color w:val="000000"/>
          <w:kern w:val="2"/>
          <w:sz w:val="22"/>
          <w:szCs w:val="22"/>
          <w:u w:val="single" w:color="000000"/>
          <w:lang w:val="es-ES" w:eastAsia="es-ES"/>
          <w14:ligatures w14:val="standardContextual"/>
        </w:rPr>
        <w:t>PREVIA</w:t>
      </w:r>
      <w:r w:rsidRPr="005318CE">
        <w:rPr>
          <w:rFonts w:ascii="Calibri" w:eastAsia="Calibri" w:hAnsi="Calibri" w:cs="Calibri"/>
          <w:b/>
          <w:color w:val="000000"/>
          <w:kern w:val="2"/>
          <w:sz w:val="22"/>
          <w:szCs w:val="22"/>
          <w:u w:color="000000"/>
          <w:lang w:val="es-ES" w:eastAsia="es-ES"/>
          <w14:ligatures w14:val="standardContextual"/>
        </w:rPr>
        <w:t xml:space="preserve">.- </w:t>
      </w:r>
    </w:p>
    <w:p w14:paraId="0ED47649"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A efectos meramente aclaratorios, se deja constancia de que, a lo largo del presente escrito, se emplearán los términos “</w:t>
      </w:r>
      <w:r w:rsidRPr="005318CE">
        <w:rPr>
          <w:rFonts w:ascii="Calibri" w:eastAsia="Calibri" w:hAnsi="Calibri" w:cs="Calibri"/>
          <w:b/>
          <w:color w:val="000000"/>
          <w:kern w:val="2"/>
          <w:sz w:val="22"/>
          <w:szCs w:val="22"/>
          <w:lang w:val="es-ES" w:eastAsia="es-ES"/>
          <w14:ligatures w14:val="standardContextual"/>
        </w:rPr>
        <w:t>Parquenasa</w:t>
      </w:r>
      <w:r w:rsidRPr="005318CE">
        <w:rPr>
          <w:rFonts w:ascii="Calibri" w:eastAsia="Calibri" w:hAnsi="Calibri" w:cs="Calibri"/>
          <w:color w:val="000000"/>
          <w:kern w:val="2"/>
          <w:sz w:val="22"/>
          <w:szCs w:val="22"/>
          <w:lang w:val="es-ES" w:eastAsia="es-ES"/>
          <w14:ligatures w14:val="standardContextual"/>
        </w:rPr>
        <w:t xml:space="preserve"> y/o la </w:t>
      </w:r>
      <w:r w:rsidRPr="005318CE">
        <w:rPr>
          <w:rFonts w:ascii="Calibri" w:eastAsia="Calibri" w:hAnsi="Calibri" w:cs="Calibri"/>
          <w:b/>
          <w:color w:val="000000"/>
          <w:kern w:val="2"/>
          <w:sz w:val="22"/>
          <w:szCs w:val="22"/>
          <w:lang w:val="es-ES" w:eastAsia="es-ES"/>
          <w14:ligatures w14:val="standardContextual"/>
        </w:rPr>
        <w:t>Sociedad</w:t>
      </w:r>
      <w:r w:rsidRPr="005318CE">
        <w:rPr>
          <w:rFonts w:ascii="Calibri" w:eastAsia="Calibri" w:hAnsi="Calibri" w:cs="Calibri"/>
          <w:color w:val="000000"/>
          <w:kern w:val="2"/>
          <w:sz w:val="22"/>
          <w:szCs w:val="22"/>
          <w:lang w:val="es-ES" w:eastAsia="es-ES"/>
          <w14:ligatures w14:val="standardContextual"/>
        </w:rPr>
        <w:t>”, para hacer referencia a la compañía mercanl “Parque de la Naturaleza de Navarra, S.A.”; y, “</w:t>
      </w:r>
      <w:r w:rsidRPr="005318CE">
        <w:rPr>
          <w:rFonts w:ascii="Calibri" w:eastAsia="Calibri" w:hAnsi="Calibri" w:cs="Calibri"/>
          <w:b/>
          <w:color w:val="000000"/>
          <w:kern w:val="2"/>
          <w:sz w:val="22"/>
          <w:szCs w:val="22"/>
          <w:lang w:val="es-ES" w:eastAsia="es-ES"/>
          <w14:ligatures w14:val="standardContextual"/>
        </w:rPr>
        <w:t>Sendaviva</w:t>
      </w:r>
      <w:r w:rsidRPr="005318CE">
        <w:rPr>
          <w:rFonts w:ascii="Calibri" w:eastAsia="Calibri" w:hAnsi="Calibri" w:cs="Calibri"/>
          <w:color w:val="000000"/>
          <w:kern w:val="2"/>
          <w:sz w:val="22"/>
          <w:szCs w:val="22"/>
          <w:lang w:val="es-ES" w:eastAsia="es-ES"/>
          <w14:ligatures w14:val="standardContextual"/>
        </w:rPr>
        <w:t xml:space="preserve">”, para hacer referencia al parque de la naturaleza sito en el término municipal de Arguedas (Navarra).  </w:t>
      </w:r>
    </w:p>
    <w:p w14:paraId="07CA8466"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Asimismo,</w:t>
      </w:r>
      <w:r w:rsidRPr="005318CE">
        <w:rPr>
          <w:rFonts w:ascii="Calibri" w:eastAsia="Calibri" w:hAnsi="Calibri" w:cs="Calibri"/>
          <w:b/>
          <w:color w:val="000000"/>
          <w:kern w:val="2"/>
          <w:sz w:val="22"/>
          <w:szCs w:val="22"/>
          <w:lang w:val="es-ES" w:eastAsia="es-ES"/>
          <w14:ligatures w14:val="standardContextual"/>
        </w:rPr>
        <w:t xml:space="preserve"> </w:t>
      </w:r>
      <w:r w:rsidRPr="005318CE">
        <w:rPr>
          <w:rFonts w:ascii="Calibri" w:eastAsia="Calibri" w:hAnsi="Calibri" w:cs="Calibri"/>
          <w:color w:val="000000"/>
          <w:kern w:val="2"/>
          <w:sz w:val="22"/>
          <w:szCs w:val="22"/>
          <w:lang w:val="es-ES" w:eastAsia="es-ES"/>
          <w14:ligatures w14:val="standardContextual"/>
        </w:rPr>
        <w:t>en atención a cuanto se expondrá en este escrito,</w:t>
      </w:r>
      <w:r w:rsidRPr="005318CE">
        <w:rPr>
          <w:rFonts w:ascii="Calibri" w:eastAsia="Calibri" w:hAnsi="Calibri" w:cs="Calibri"/>
          <w:b/>
          <w:color w:val="000000"/>
          <w:kern w:val="2"/>
          <w:sz w:val="22"/>
          <w:szCs w:val="22"/>
          <w:lang w:val="es-ES" w:eastAsia="es-ES"/>
          <w14:ligatures w14:val="standardContextual"/>
        </w:rPr>
        <w:t xml:space="preserve"> </w:t>
      </w:r>
      <w:r w:rsidRPr="005318CE">
        <w:rPr>
          <w:rFonts w:ascii="Calibri" w:eastAsia="Calibri" w:hAnsi="Calibri" w:cs="Calibri"/>
          <w:color w:val="000000"/>
          <w:kern w:val="2"/>
          <w:sz w:val="22"/>
          <w:szCs w:val="22"/>
          <w:lang w:val="es-ES" w:eastAsia="es-ES"/>
          <w14:ligatures w14:val="standardContextual"/>
        </w:rPr>
        <w:t xml:space="preserve">se someterá a la mejor consideración de la Cámara de Comptos la modificación, en el informe definitivo que se emita posteriormente en relación con las “Aportaciones financieras realizadas por Sodena a Parquenasa”, de diversas menciones ahora contenidas en el Informe Provisional.  </w:t>
      </w:r>
    </w:p>
    <w:p w14:paraId="7F45E12B"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A tal efecto, en el presente escrito, se incluirán </w:t>
      </w:r>
      <w:r w:rsidRPr="005318CE">
        <w:rPr>
          <w:rFonts w:ascii="Calibri" w:eastAsia="Calibri" w:hAnsi="Calibri" w:cs="Calibri"/>
          <w:color w:val="4472C4"/>
          <w:kern w:val="2"/>
          <w:sz w:val="22"/>
          <w:szCs w:val="22"/>
          <w:u w:val="single" w:color="4472C4"/>
          <w:lang w:val="es-ES" w:eastAsia="es-ES"/>
          <w14:ligatures w14:val="standardContextual"/>
        </w:rPr>
        <w:t>en azul subrayado</w:t>
      </w:r>
      <w:r w:rsidRPr="005318CE">
        <w:rPr>
          <w:rFonts w:ascii="Calibri" w:eastAsia="Calibri" w:hAnsi="Calibri" w:cs="Calibri"/>
          <w:color w:val="44546A"/>
          <w:kern w:val="2"/>
          <w:sz w:val="22"/>
          <w:szCs w:val="22"/>
          <w:lang w:val="es-ES" w:eastAsia="es-ES"/>
          <w14:ligatures w14:val="standardContextual"/>
        </w:rPr>
        <w:t xml:space="preserve"> [</w:t>
      </w:r>
      <w:r w:rsidRPr="005318CE">
        <w:rPr>
          <w:rFonts w:ascii="Calibri" w:eastAsia="Calibri" w:hAnsi="Calibri" w:cs="Calibri"/>
          <w:i/>
          <w:color w:val="000000"/>
          <w:kern w:val="2"/>
          <w:sz w:val="22"/>
          <w:szCs w:val="22"/>
          <w:lang w:val="es-ES" w:eastAsia="es-ES"/>
          <w14:ligatures w14:val="standardContextual"/>
        </w:rPr>
        <w:t>INCLUIR</w:t>
      </w:r>
      <w:r w:rsidRPr="005318CE">
        <w:rPr>
          <w:rFonts w:ascii="Calibri" w:eastAsia="Calibri" w:hAnsi="Calibri" w:cs="Calibri"/>
          <w:color w:val="44546A"/>
          <w:kern w:val="2"/>
          <w:sz w:val="22"/>
          <w:szCs w:val="22"/>
          <w:lang w:val="es-ES" w:eastAsia="es-ES"/>
          <w14:ligatures w14:val="standardContextual"/>
        </w:rPr>
        <w:t xml:space="preserve">] </w:t>
      </w:r>
      <w:r w:rsidRPr="005318CE">
        <w:rPr>
          <w:rFonts w:ascii="Calibri" w:eastAsia="Calibri" w:hAnsi="Calibri" w:cs="Calibri"/>
          <w:color w:val="000000"/>
          <w:kern w:val="2"/>
          <w:sz w:val="22"/>
          <w:szCs w:val="22"/>
          <w:lang w:val="es-ES" w:eastAsia="es-ES"/>
          <w14:ligatures w14:val="standardContextual"/>
        </w:rPr>
        <w:t xml:space="preserve">las propuestas de texto que se sugiere insertar y, </w:t>
      </w:r>
      <w:r w:rsidRPr="005318CE">
        <w:rPr>
          <w:rFonts w:ascii="Calibri" w:eastAsia="Calibri" w:hAnsi="Calibri" w:cs="Calibri"/>
          <w:color w:val="70AD47"/>
          <w:kern w:val="2"/>
          <w:sz w:val="22"/>
          <w:szCs w:val="22"/>
          <w:u w:val="single" w:color="70AD47"/>
          <w:lang w:val="es-ES" w:eastAsia="es-ES"/>
          <w14:ligatures w14:val="standardContextual"/>
        </w:rPr>
        <w:t>en verde subrayado</w:t>
      </w:r>
      <w:r w:rsidRPr="005318CE">
        <w:rPr>
          <w:rFonts w:ascii="Calibri" w:eastAsia="Calibri" w:hAnsi="Calibri" w:cs="Calibri"/>
          <w:color w:val="000000"/>
          <w:kern w:val="2"/>
          <w:sz w:val="22"/>
          <w:szCs w:val="22"/>
          <w:lang w:val="es-ES" w:eastAsia="es-ES"/>
          <w14:ligatures w14:val="standardContextual"/>
        </w:rPr>
        <w:t>, aquéllas que se sugiere eliminar [</w:t>
      </w:r>
      <w:r w:rsidRPr="005318CE">
        <w:rPr>
          <w:rFonts w:ascii="Calibri" w:eastAsia="Calibri" w:hAnsi="Calibri" w:cs="Calibri"/>
          <w:i/>
          <w:color w:val="000000"/>
          <w:kern w:val="2"/>
          <w:sz w:val="22"/>
          <w:szCs w:val="22"/>
          <w:lang w:val="es-ES" w:eastAsia="es-ES"/>
          <w14:ligatures w14:val="standardContextual"/>
        </w:rPr>
        <w:t>ELIMINAR</w:t>
      </w:r>
      <w:r w:rsidRPr="005318CE">
        <w:rPr>
          <w:rFonts w:ascii="Calibri" w:eastAsia="Calibri" w:hAnsi="Calibri" w:cs="Calibri"/>
          <w:color w:val="000000"/>
          <w:kern w:val="2"/>
          <w:sz w:val="22"/>
          <w:szCs w:val="22"/>
          <w:lang w:val="es-ES" w:eastAsia="es-ES"/>
          <w14:ligatures w14:val="standardContextual"/>
        </w:rPr>
        <w:t xml:space="preserve">].  </w:t>
      </w:r>
    </w:p>
    <w:p w14:paraId="36DC1D97" w14:textId="77777777" w:rsidR="005318CE" w:rsidRPr="005318CE" w:rsidRDefault="005318CE" w:rsidP="005318CE">
      <w:pPr>
        <w:spacing w:after="0" w:line="259" w:lineRule="auto"/>
        <w:ind w:left="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35680425" w14:textId="77777777" w:rsidR="005318CE" w:rsidRPr="005318CE" w:rsidRDefault="005318CE" w:rsidP="005318CE">
      <w:pPr>
        <w:keepNext/>
        <w:keepLines/>
        <w:spacing w:after="308" w:line="259" w:lineRule="auto"/>
        <w:ind w:left="-4" w:hanging="10"/>
        <w:jc w:val="left"/>
        <w:outlineLvl w:val="1"/>
        <w:rPr>
          <w:rFonts w:ascii="Calibri" w:eastAsia="Calibri" w:hAnsi="Calibri" w:cs="Calibri"/>
          <w:b/>
          <w:color w:val="000000"/>
          <w:kern w:val="2"/>
          <w:sz w:val="22"/>
          <w:szCs w:val="22"/>
          <w:lang w:val="es-ES" w:eastAsia="es-ES"/>
          <w14:ligatures w14:val="standardContextual"/>
        </w:rPr>
      </w:pPr>
      <w:r w:rsidRPr="005318CE">
        <w:rPr>
          <w:rFonts w:ascii="Calibri" w:eastAsia="Calibri" w:hAnsi="Calibri" w:cs="Calibri"/>
          <w:b/>
          <w:color w:val="000000"/>
          <w:kern w:val="2"/>
          <w:sz w:val="22"/>
          <w:szCs w:val="22"/>
          <w:u w:val="single" w:color="000000"/>
          <w:lang w:val="es-ES" w:eastAsia="es-ES"/>
          <w14:ligatures w14:val="standardContextual"/>
        </w:rPr>
        <w:lastRenderedPageBreak/>
        <w:t>PRIMERA</w:t>
      </w:r>
      <w:r w:rsidRPr="005318CE">
        <w:rPr>
          <w:rFonts w:ascii="Calibri" w:eastAsia="Calibri" w:hAnsi="Calibri" w:cs="Calibri"/>
          <w:b/>
          <w:color w:val="000000"/>
          <w:kern w:val="2"/>
          <w:sz w:val="22"/>
          <w:szCs w:val="22"/>
          <w:lang w:val="es-ES" w:eastAsia="es-ES"/>
          <w14:ligatures w14:val="standardContextual"/>
        </w:rPr>
        <w:t xml:space="preserve">.- ACERCA DE LA CONTABILIZACIÓN DE LOS PRÉSTAMOS OTORGADOS POR PARTE DE SODENA A PARQUENASA  </w:t>
      </w:r>
    </w:p>
    <w:p w14:paraId="7273D48F"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El Informe Provisional, en el apartado III “Conclusiones y recomendaciones”, epígrafe B), (págs. 6 y 7), recoge la cuantía y situación contable en Sodena de los préstamos otorgados por ésta a Parquenasa, indicando que tienen un valor contable que asciende a un total de 22,51M € (una vez deducidos los importes deteriorados), según resulta de las cuentas anuales de Sodena correspondientes al ejercicio 2022; apuntando asimismo diversas consideraciones acerca de su contabilización.  </w:t>
      </w:r>
    </w:p>
    <w:p w14:paraId="60AE58F9"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Si bien el Informe Provisional en su página 9 no recoge recomendación específica alguna referida al criterio de contabilización de los préstamos concedidos por Sodena a Parquenasa, a lo largo del mismo se realizan determinadas manifestaciones con relación a la valoración y tratamiento contable de dichos préstamos. Por este motivo, se realiza la presente alegación.  </w:t>
      </w:r>
    </w:p>
    <w:p w14:paraId="1B983F5F" w14:textId="77777777" w:rsidR="005318CE" w:rsidRPr="005318CE" w:rsidRDefault="005318CE" w:rsidP="005318CE">
      <w:pPr>
        <w:spacing w:after="278" w:line="287" w:lineRule="auto"/>
        <w:ind w:left="11" w:right="-12"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Así, en el Apéndice 2 del mismo Informe Provisional [apartado 2.4.c), págs. 27 y ss.]en el que se analiza pormenorizadamente la cuantía y reflejo contable de Parquenasa en las cuentas de Sodena del ejercicio cerrado a 31 de diciembre de 2022, en la pág. 31, se señala que “(…) </w:t>
      </w:r>
      <w:r w:rsidRPr="005318CE">
        <w:rPr>
          <w:rFonts w:ascii="Calibri" w:eastAsia="Calibri" w:hAnsi="Calibri" w:cs="Calibri"/>
          <w:i/>
          <w:color w:val="000000"/>
          <w:kern w:val="2"/>
          <w:sz w:val="22"/>
          <w:szCs w:val="22"/>
          <w:lang w:val="es-ES" w:eastAsia="es-ES"/>
          <w14:ligatures w14:val="standardContextual"/>
        </w:rPr>
        <w:t>22,51 millones no figuran en las cuentas anuales de Sodena como créditos que necesiten una corrección valorativa, esto es, se contemplan como créditos no afectados por pérdidas de valor, lo que supone considerarlos como recuperables</w:t>
      </w:r>
      <w:r w:rsidRPr="005318CE">
        <w:rPr>
          <w:rFonts w:ascii="Calibri" w:eastAsia="Calibri" w:hAnsi="Calibri" w:cs="Calibri"/>
          <w:color w:val="000000"/>
          <w:kern w:val="2"/>
          <w:sz w:val="22"/>
          <w:szCs w:val="22"/>
          <w:lang w:val="es-ES" w:eastAsia="es-ES"/>
          <w14:ligatures w14:val="standardContextual"/>
        </w:rPr>
        <w:t xml:space="preserve">”.  </w:t>
      </w:r>
    </w:p>
    <w:p w14:paraId="3AC3DD1A" w14:textId="77777777" w:rsidR="005318CE" w:rsidRPr="005318CE" w:rsidRDefault="005318CE" w:rsidP="005318CE">
      <w:pPr>
        <w:spacing w:after="278" w:line="287" w:lineRule="auto"/>
        <w:ind w:left="11" w:right="-12"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Y, tras remitirse a determinados informes preceptivos de la Intervención General (a los que Sodena no ha tenido acceso, excepción hecha del de fecha 8 de marzo de 2022), se afirma expresamente: “</w:t>
      </w:r>
      <w:r w:rsidRPr="005318CE">
        <w:rPr>
          <w:rFonts w:ascii="Calibri" w:eastAsia="Calibri" w:hAnsi="Calibri" w:cs="Calibri"/>
          <w:i/>
          <w:color w:val="000000"/>
          <w:kern w:val="2"/>
          <w:sz w:val="22"/>
          <w:szCs w:val="22"/>
          <w:lang w:val="es-ES" w:eastAsia="es-ES"/>
          <w14:ligatures w14:val="standardContextual"/>
        </w:rPr>
        <w:t>Entendemos que los créditos no deteriorados por 22,51 millones sí que debieran haber sido objeto de la oportuna corrección valorativa en la contabilidad, dada la existencia de evidencias objetivas de duda en su recuperabilidad</w:t>
      </w:r>
      <w:r w:rsidRPr="005318CE">
        <w:rPr>
          <w:rFonts w:ascii="Calibri" w:eastAsia="Calibri" w:hAnsi="Calibri" w:cs="Calibri"/>
          <w:color w:val="000000"/>
          <w:kern w:val="2"/>
          <w:sz w:val="22"/>
          <w:szCs w:val="22"/>
          <w:lang w:val="es-ES" w:eastAsia="es-ES"/>
          <w14:ligatures w14:val="standardContextual"/>
        </w:rPr>
        <w:t xml:space="preserve">”.  </w:t>
      </w:r>
    </w:p>
    <w:p w14:paraId="07061420"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En contestación a esas manifestaciones, interesa hacer constar las siguientes alegaciones:  </w:t>
      </w:r>
    </w:p>
    <w:p w14:paraId="0F3ED5C3" w14:textId="77777777" w:rsidR="005318CE" w:rsidRPr="005318CE" w:rsidRDefault="005318CE" w:rsidP="005318CE">
      <w:pPr>
        <w:spacing w:after="0" w:line="288" w:lineRule="auto"/>
        <w:ind w:left="73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(a).-</w:t>
      </w:r>
      <w:r w:rsidRPr="005318CE">
        <w:rPr>
          <w:rFonts w:ascii="Calibri" w:eastAsia="Calibri" w:hAnsi="Calibri" w:cs="Calibri"/>
          <w:color w:val="000000"/>
          <w:kern w:val="2"/>
          <w:sz w:val="22"/>
          <w:szCs w:val="22"/>
          <w:lang w:val="es-ES" w:eastAsia="es-ES"/>
          <w14:ligatures w14:val="standardContextual"/>
        </w:rPr>
        <w:t xml:space="preserve"> En primer lugar, Parquenasa, bajo normativa contable, debe considerar sus activos materiales como “no generadores de flujos de efectivo” al amparo de lo establecido en la norma cuarta de la Orden EHA/733/2010, de 25 de marzo, por la que se aprueban aspectos contables que operan en determinadas circunstancias (en adelante, la “</w:t>
      </w:r>
      <w:r w:rsidRPr="005318CE">
        <w:rPr>
          <w:rFonts w:ascii="Calibri" w:eastAsia="Calibri" w:hAnsi="Calibri" w:cs="Calibri"/>
          <w:b/>
          <w:color w:val="000000"/>
          <w:kern w:val="2"/>
          <w:sz w:val="22"/>
          <w:szCs w:val="22"/>
          <w:lang w:val="es-ES" w:eastAsia="es-ES"/>
          <w14:ligatures w14:val="standardContextual"/>
        </w:rPr>
        <w:t>Orden EHA/733/2010</w:t>
      </w:r>
      <w:r w:rsidRPr="005318CE">
        <w:rPr>
          <w:rFonts w:ascii="Calibri" w:eastAsia="Calibri" w:hAnsi="Calibri" w:cs="Calibri"/>
          <w:color w:val="000000"/>
          <w:kern w:val="2"/>
          <w:sz w:val="22"/>
          <w:szCs w:val="22"/>
          <w:lang w:val="es-ES" w:eastAsia="es-ES"/>
          <w14:ligatures w14:val="standardContextual"/>
        </w:rPr>
        <w:t xml:space="preserve">”), en relación con los criterios para evaluar la existencia de deterioro de valor de estos activos. </w:t>
      </w:r>
    </w:p>
    <w:p w14:paraId="789B4DE9" w14:textId="77777777" w:rsidR="005318CE" w:rsidRPr="005318CE" w:rsidRDefault="005318CE" w:rsidP="005318CE">
      <w:pPr>
        <w:spacing w:after="31"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7908ED0F" w14:textId="77777777" w:rsidR="005318CE" w:rsidRPr="005318CE" w:rsidRDefault="005318CE" w:rsidP="005318CE">
      <w:pPr>
        <w:spacing w:after="280" w:line="288" w:lineRule="auto"/>
        <w:ind w:left="73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(b).-</w:t>
      </w:r>
      <w:r w:rsidRPr="005318CE">
        <w:rPr>
          <w:rFonts w:ascii="Calibri" w:eastAsia="Calibri" w:hAnsi="Calibri" w:cs="Calibri"/>
          <w:color w:val="000000"/>
          <w:kern w:val="2"/>
          <w:sz w:val="22"/>
          <w:szCs w:val="22"/>
          <w:lang w:val="es-ES" w:eastAsia="es-ES"/>
          <w14:ligatures w14:val="standardContextual"/>
        </w:rPr>
        <w:t xml:space="preserve"> Aunque no se cuestiona que Parquenasa es una sociedad privada, Parquenasa considera que estas normas son de obligada aplicación en su valoración contable del deterioro de sus activos por ser, a efectos contables, una entidad integrante del sector público autonómico, ya que (i) Sodena/NICDO </w:t>
      </w:r>
      <w:r w:rsidRPr="005318CE">
        <w:rPr>
          <w:rFonts w:ascii="Calibri" w:eastAsia="Calibri" w:hAnsi="Calibri" w:cs="Calibri"/>
          <w:color w:val="000000"/>
          <w:kern w:val="2"/>
          <w:sz w:val="22"/>
          <w:szCs w:val="22"/>
          <w:vertAlign w:val="superscript"/>
          <w:lang w:val="es-ES" w:eastAsia="es-ES"/>
          <w14:ligatures w14:val="standardContextual"/>
        </w:rPr>
        <w:t xml:space="preserve">(1)  </w:t>
      </w:r>
      <w:r w:rsidRPr="005318CE">
        <w:rPr>
          <w:rFonts w:ascii="Calibri" w:eastAsia="Calibri" w:hAnsi="Calibri" w:cs="Calibri"/>
          <w:color w:val="000000"/>
          <w:kern w:val="2"/>
          <w:sz w:val="22"/>
          <w:szCs w:val="22"/>
          <w:lang w:val="es-ES" w:eastAsia="es-ES"/>
          <w14:ligatures w14:val="standardContextual"/>
        </w:rPr>
        <w:t xml:space="preserve">han ejercido y ejercen la administración única de la Sociedad supervisando su gestión, lo que implica el ejercicio de control sobre la misma; (ii) </w:t>
      </w:r>
      <w:r w:rsidRPr="005318CE">
        <w:rPr>
          <w:rFonts w:ascii="Calibri" w:eastAsia="Calibri" w:hAnsi="Calibri" w:cs="Calibri"/>
          <w:color w:val="000000"/>
          <w:kern w:val="2"/>
          <w:sz w:val="22"/>
          <w:szCs w:val="22"/>
          <w:lang w:val="es-ES" w:eastAsia="es-ES"/>
          <w14:ligatures w14:val="standardContextual"/>
        </w:rPr>
        <w:lastRenderedPageBreak/>
        <w:t xml:space="preserve">Sodena y, ahora, el Gobierno de Navarra, asumen la totalidad del riesgo financiero desde 2005; (iii) considerando asimismo la existencia del pacto de accionistas de dicha fecha; y, (iv) adicionalmente, a través de CPEN, y de nuevo a efectos contables, forma parte del sector público empresarial autonómico. De hecho, así lo vienen contemplando las CCAA Consolidadas de CPEN y, más en concreto, las de los ejercicios 2022 y 2021: </w:t>
      </w:r>
    </w:p>
    <w:p w14:paraId="667B5DBF" w14:textId="77777777" w:rsidR="005318CE" w:rsidRPr="005318CE" w:rsidRDefault="005318CE" w:rsidP="005318CE">
      <w:pPr>
        <w:spacing w:after="278" w:line="287" w:lineRule="auto"/>
        <w:ind w:left="1427" w:right="-12"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w:t>
      </w:r>
      <w:r w:rsidRPr="005318CE">
        <w:rPr>
          <w:rFonts w:ascii="Calibri" w:eastAsia="Calibri" w:hAnsi="Calibri" w:cs="Calibri"/>
          <w:i/>
          <w:color w:val="000000"/>
          <w:kern w:val="2"/>
          <w:sz w:val="22"/>
          <w:szCs w:val="22"/>
          <w:lang w:val="es-ES" w:eastAsia="es-ES"/>
          <w14:ligatures w14:val="standardContextual"/>
        </w:rPr>
        <w:t>En este sentido, específicamente ha sido considerada como sociedad dependiente Parque de la Naturaleza, S.A. A pesar de que la participación efectiva del Grupo en la Sociedad asciende a un 45 % al cierre de los ejercicios 2022 y 2021, se ha presumido que existe control sobre la misma en función de la participación del Grupo en los riesgos y resultados de la entidad</w:t>
      </w:r>
      <w:r w:rsidRPr="005318CE">
        <w:rPr>
          <w:rFonts w:ascii="Calibri" w:eastAsia="Calibri" w:hAnsi="Calibri" w:cs="Calibri"/>
          <w:color w:val="000000"/>
          <w:kern w:val="2"/>
          <w:sz w:val="22"/>
          <w:szCs w:val="22"/>
          <w:lang w:val="es-ES" w:eastAsia="es-ES"/>
          <w14:ligatures w14:val="standardContextual"/>
        </w:rPr>
        <w:t xml:space="preserve">”. </w:t>
      </w:r>
    </w:p>
    <w:p w14:paraId="25C8479F" w14:textId="77777777" w:rsidR="005318CE" w:rsidRPr="005318CE" w:rsidRDefault="005318CE" w:rsidP="005318CE">
      <w:pPr>
        <w:spacing w:after="90" w:line="259" w:lineRule="auto"/>
        <w:ind w:left="716" w:right="-10"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18"/>
          <w:szCs w:val="22"/>
          <w:vertAlign w:val="superscript"/>
          <w:lang w:val="es-ES" w:eastAsia="es-ES"/>
          <w14:ligatures w14:val="standardContextual"/>
        </w:rPr>
        <w:t xml:space="preserve">(1) </w:t>
      </w:r>
      <w:r w:rsidRPr="005318CE">
        <w:rPr>
          <w:rFonts w:ascii="Calibri" w:eastAsia="Calibri" w:hAnsi="Calibri" w:cs="Calibri"/>
          <w:color w:val="000000"/>
          <w:kern w:val="2"/>
          <w:sz w:val="18"/>
          <w:szCs w:val="22"/>
          <w:lang w:val="es-ES" w:eastAsia="es-ES"/>
          <w14:ligatures w14:val="standardContextual"/>
        </w:rPr>
        <w:t xml:space="preserve">En tanto ambas han venido y/o vienen desempeñando dicho cargo de administradora única de </w:t>
      </w:r>
    </w:p>
    <w:p w14:paraId="0F70736F" w14:textId="77777777" w:rsidR="005318CE" w:rsidRPr="005318CE" w:rsidRDefault="005318CE" w:rsidP="005318CE">
      <w:pPr>
        <w:spacing w:after="22" w:line="259" w:lineRule="auto"/>
        <w:ind w:left="716" w:right="-10"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18"/>
          <w:szCs w:val="22"/>
          <w:lang w:val="es-ES" w:eastAsia="es-ES"/>
          <w14:ligatures w14:val="standardContextual"/>
        </w:rPr>
        <w:t xml:space="preserve">Parquenasa. En particular, Sodena, desde su designación el 15 de junio de 2005 y hasta su renuncia el 2 de febrero de 2023; y NICDO, desde su nombramiento en esta última fecha (2 de febrero de 2023) y hasta la actualidad. </w:t>
      </w:r>
    </w:p>
    <w:p w14:paraId="6809268A" w14:textId="77777777" w:rsidR="005318CE" w:rsidRPr="005318CE" w:rsidRDefault="005318CE" w:rsidP="005318CE">
      <w:pPr>
        <w:spacing w:after="63" w:line="259" w:lineRule="auto"/>
        <w:ind w:left="720"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18"/>
          <w:szCs w:val="22"/>
          <w:lang w:val="es-ES" w:eastAsia="es-ES"/>
          <w14:ligatures w14:val="standardContextual"/>
        </w:rPr>
        <w:t xml:space="preserve"> </w:t>
      </w:r>
    </w:p>
    <w:p w14:paraId="42186555" w14:textId="77777777" w:rsidR="005318CE" w:rsidRPr="005318CE" w:rsidRDefault="005318CE" w:rsidP="005318CE">
      <w:pPr>
        <w:spacing w:after="0" w:line="288" w:lineRule="auto"/>
        <w:ind w:left="73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 xml:space="preserve">(c).- </w:t>
      </w:r>
      <w:r w:rsidRPr="005318CE">
        <w:rPr>
          <w:rFonts w:ascii="Calibri" w:eastAsia="Calibri" w:hAnsi="Calibri" w:cs="Calibri"/>
          <w:color w:val="000000"/>
          <w:kern w:val="2"/>
          <w:sz w:val="22"/>
          <w:szCs w:val="22"/>
          <w:lang w:val="es-ES" w:eastAsia="es-ES"/>
          <w14:ligatures w14:val="standardContextual"/>
        </w:rPr>
        <w:t xml:space="preserve">La norma primera de la EHA/733/2010 define los activos no generadores de flujos como sigue:  </w:t>
      </w:r>
    </w:p>
    <w:p w14:paraId="3CF4489E" w14:textId="77777777" w:rsidR="005318CE" w:rsidRPr="005318CE" w:rsidRDefault="005318CE" w:rsidP="005318CE">
      <w:pPr>
        <w:spacing w:after="31"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0292ADF8" w14:textId="77777777" w:rsidR="005318CE" w:rsidRPr="005318CE" w:rsidRDefault="005318CE" w:rsidP="005318CE">
      <w:pPr>
        <w:spacing w:after="2" w:line="287" w:lineRule="auto"/>
        <w:ind w:left="1429" w:right="569"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w:t>
      </w:r>
      <w:r w:rsidRPr="005318CE">
        <w:rPr>
          <w:rFonts w:ascii="Calibri" w:eastAsia="Calibri" w:hAnsi="Calibri" w:cs="Calibri"/>
          <w:i/>
          <w:color w:val="000000"/>
          <w:kern w:val="2"/>
          <w:sz w:val="22"/>
          <w:szCs w:val="22"/>
          <w:lang w:val="es-ES" w:eastAsia="es-ES"/>
          <w14:ligatures w14:val="standardContextual"/>
        </w:rPr>
        <w:t>e) Activos no generadores de flujos de efectivo: elementos del inmovilizado material, intangible, e inversiones inmobiliarias que se poseen con una finalidad distinta a la de generar un rendimiento comercial, como pueden ser los flujos económicos sociales que generan dichos activos y que benefician a la colectividad, esto es, su beneficio social o potencial de servicio</w:t>
      </w:r>
      <w:r w:rsidRPr="005318CE">
        <w:rPr>
          <w:rFonts w:ascii="Calibri" w:eastAsia="Calibri" w:hAnsi="Calibri" w:cs="Calibri"/>
          <w:color w:val="000000"/>
          <w:kern w:val="2"/>
          <w:sz w:val="22"/>
          <w:szCs w:val="22"/>
          <w:lang w:val="es-ES" w:eastAsia="es-ES"/>
          <w14:ligatures w14:val="standardContextual"/>
        </w:rPr>
        <w:t xml:space="preserve">”. </w:t>
      </w:r>
    </w:p>
    <w:p w14:paraId="5028AB08" w14:textId="77777777" w:rsidR="005318CE" w:rsidRPr="005318CE" w:rsidRDefault="005318CE" w:rsidP="005318CE">
      <w:pPr>
        <w:spacing w:after="31"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433624A1" w14:textId="77777777" w:rsidR="005318CE" w:rsidRPr="005318CE" w:rsidRDefault="005318CE" w:rsidP="005318CE">
      <w:pPr>
        <w:spacing w:after="0" w:line="288" w:lineRule="auto"/>
        <w:ind w:left="73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(d).-</w:t>
      </w:r>
      <w:r w:rsidRPr="005318CE">
        <w:rPr>
          <w:rFonts w:ascii="Calibri" w:eastAsia="Calibri" w:hAnsi="Calibri" w:cs="Calibri"/>
          <w:color w:val="000000"/>
          <w:kern w:val="2"/>
          <w:sz w:val="22"/>
          <w:szCs w:val="22"/>
          <w:lang w:val="es-ES" w:eastAsia="es-ES"/>
          <w14:ligatures w14:val="standardContextual"/>
        </w:rPr>
        <w:t xml:space="preserve"> A los efectos de la norma contable transcrita, hay que señalar que los estudios anuales de impacto socioeconómico de Sendaviva, a los que más tarde se hace referencia y que se vienen realizando desde el año 2007 por consultoras especializadas, ponen de manifiesto una valoración de su repercusión del proyecto en términos socioeconómicos. Dichos informes se encargan de valorar los beneficios económicos que reportan a la sociedad en términos de renta y empleo, lo cual encaja con la definición de Activos no generadores de flujos de efectivo establecida en la norma transcrita. </w:t>
      </w:r>
    </w:p>
    <w:p w14:paraId="0F28135A" w14:textId="77777777" w:rsidR="005318CE" w:rsidRPr="005318CE" w:rsidRDefault="005318CE" w:rsidP="005318CE">
      <w:pPr>
        <w:spacing w:after="31"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0F7B1587" w14:textId="77777777" w:rsidR="005318CE" w:rsidRPr="005318CE" w:rsidRDefault="005318CE" w:rsidP="005318CE">
      <w:pPr>
        <w:spacing w:after="0" w:line="288" w:lineRule="auto"/>
        <w:ind w:left="73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(e).-</w:t>
      </w:r>
      <w:r w:rsidRPr="005318CE">
        <w:rPr>
          <w:rFonts w:ascii="Calibri" w:eastAsia="Calibri" w:hAnsi="Calibri" w:cs="Calibri"/>
          <w:color w:val="000000"/>
          <w:kern w:val="2"/>
          <w:sz w:val="22"/>
          <w:szCs w:val="22"/>
          <w:lang w:val="es-ES" w:eastAsia="es-ES"/>
          <w14:ligatures w14:val="standardContextual"/>
        </w:rPr>
        <w:t xml:space="preserve"> Por lo tanto, a la hora de valorar el posible deterioro de sus activos, Parquenasa no analiza la posible pérdida de valor basada en criterios de carácter comercial, sino en el potencial de servicio que generan. Y tal y como indica la Orden EHA/733/2010, si existen indicios de deterioro, el valor recuperable es el mayor del valor en uso y el valor razonable. El valor en uso es el valor actual del activo manteniendo su potencial de servicio y se determina por referencia al coste de reposición depreciado. Y es así como se están valorando los activos en Parquenasa. </w:t>
      </w:r>
    </w:p>
    <w:p w14:paraId="095C20D4" w14:textId="77777777" w:rsidR="005318CE" w:rsidRPr="005318CE" w:rsidRDefault="005318CE" w:rsidP="005318CE">
      <w:pPr>
        <w:spacing w:after="0" w:line="288" w:lineRule="auto"/>
        <w:ind w:left="73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lastRenderedPageBreak/>
        <w:t>(f).-</w:t>
      </w:r>
      <w:r w:rsidRPr="005318CE">
        <w:rPr>
          <w:rFonts w:ascii="Calibri" w:eastAsia="Calibri" w:hAnsi="Calibri" w:cs="Calibri"/>
          <w:color w:val="000000"/>
          <w:kern w:val="2"/>
          <w:sz w:val="22"/>
          <w:szCs w:val="22"/>
          <w:lang w:val="es-ES" w:eastAsia="es-ES"/>
          <w14:ligatures w14:val="standardContextual"/>
        </w:rPr>
        <w:t xml:space="preserve"> La aplicación de la citada norma contable viene siendo admitida y corroborada por las firmas de auditoría de cuentas de Parquenasa desde su constución en 2001, los cuales, consideran los criterios indicados en la Orden EHA/733/2010, a los efectos de evaluar, por parte de Parquenasa, la existencia o no de deterioro de valor de dichos activos, no habiendo sido nunca cualificada su opinión con una salvedad. </w:t>
      </w:r>
    </w:p>
    <w:p w14:paraId="2E642B13" w14:textId="77777777" w:rsidR="005318CE" w:rsidRPr="005318CE" w:rsidRDefault="005318CE" w:rsidP="005318CE">
      <w:pPr>
        <w:spacing w:after="31"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53D54B5F" w14:textId="418A6A08" w:rsidR="005318CE" w:rsidRPr="005318CE" w:rsidRDefault="005318CE" w:rsidP="005318CE">
      <w:pPr>
        <w:spacing w:after="0" w:line="288" w:lineRule="auto"/>
        <w:ind w:left="73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(g).-</w:t>
      </w:r>
      <w:r w:rsidRPr="005318CE">
        <w:rPr>
          <w:rFonts w:ascii="Calibri" w:eastAsia="Calibri" w:hAnsi="Calibri" w:cs="Calibri"/>
          <w:color w:val="000000"/>
          <w:kern w:val="2"/>
          <w:sz w:val="22"/>
          <w:szCs w:val="22"/>
          <w:lang w:val="es-ES" w:eastAsia="es-ES"/>
          <w14:ligatures w14:val="standardContextual"/>
        </w:rPr>
        <w:t xml:space="preserve"> En relación con el valor recuperable de los préstamos contabilizados en Sodena, ésta se basa en el propio tratamiento contable que Parquenasa realiza respecto a sus ac</w:t>
      </w:r>
      <w:r>
        <w:rPr>
          <w:rFonts w:ascii="Calibri" w:eastAsia="Calibri" w:hAnsi="Calibri" w:cs="Calibri"/>
          <w:color w:val="000000"/>
          <w:kern w:val="2"/>
          <w:sz w:val="22"/>
          <w:szCs w:val="22"/>
          <w:lang w:val="es-ES" w:eastAsia="es-ES"/>
          <w14:ligatures w14:val="standardContextual"/>
        </w:rPr>
        <w:t>ti</w:t>
      </w:r>
      <w:r w:rsidRPr="005318CE">
        <w:rPr>
          <w:rFonts w:ascii="Calibri" w:eastAsia="Calibri" w:hAnsi="Calibri" w:cs="Calibri"/>
          <w:color w:val="000000"/>
          <w:kern w:val="2"/>
          <w:sz w:val="22"/>
          <w:szCs w:val="22"/>
          <w:lang w:val="es-ES" w:eastAsia="es-ES"/>
          <w14:ligatures w14:val="standardContextual"/>
        </w:rPr>
        <w:t xml:space="preserve">vos materiales, al considerarlos como no generadores de flujo de efectivo, tal y como se indica en las propias cuentas anuales de Parquenasa.  </w:t>
      </w:r>
    </w:p>
    <w:p w14:paraId="38B962B0" w14:textId="77777777" w:rsidR="005318CE" w:rsidRPr="005318CE" w:rsidRDefault="005318CE" w:rsidP="005318CE">
      <w:pPr>
        <w:spacing w:after="31"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3B0BD859" w14:textId="77777777" w:rsidR="005318CE" w:rsidRPr="005318CE" w:rsidRDefault="005318CE" w:rsidP="005318CE">
      <w:pPr>
        <w:spacing w:after="0" w:line="288" w:lineRule="auto"/>
        <w:ind w:left="73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(h).-</w:t>
      </w:r>
      <w:r w:rsidRPr="005318CE">
        <w:rPr>
          <w:rFonts w:ascii="Calibri" w:eastAsia="Calibri" w:hAnsi="Calibri" w:cs="Calibri"/>
          <w:color w:val="000000"/>
          <w:kern w:val="2"/>
          <w:sz w:val="22"/>
          <w:szCs w:val="22"/>
          <w:lang w:val="es-ES" w:eastAsia="es-ES"/>
          <w14:ligatures w14:val="standardContextual"/>
        </w:rPr>
        <w:t xml:space="preserve"> Es por ello por lo que, teniendo en cuenta todo lo anterior, Sodena realiza su análisis de deterioro considerando el mencionado valor recuperable de dichos activos de Parquenasa, así como el valor contable de otros activos y pasivos existentes en ésta (distintos a los préstamos concedidos por Sodena), considerando que el valor neto contable de dichos préstamos se corresponde con su valor recuperable estimado y, por tanto, sin realizar correcciones valorativas adicionales a las ya practicadas. Dicho valor está reflejado en sus cuentas anuales año a año y en base al mismo se realizan las correcciones valorativas en Sodena. </w:t>
      </w:r>
    </w:p>
    <w:p w14:paraId="5077A313" w14:textId="77777777" w:rsidR="005318CE" w:rsidRPr="005318CE" w:rsidRDefault="005318CE" w:rsidP="005318CE">
      <w:pPr>
        <w:spacing w:after="31"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18B7FA74" w14:textId="77777777" w:rsidR="005318CE" w:rsidRPr="005318CE" w:rsidRDefault="005318CE" w:rsidP="005318CE">
      <w:pPr>
        <w:spacing w:after="280" w:line="288" w:lineRule="auto"/>
        <w:ind w:left="73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(i).-</w:t>
      </w:r>
      <w:r w:rsidRPr="005318CE">
        <w:rPr>
          <w:rFonts w:ascii="Calibri" w:eastAsia="Calibri" w:hAnsi="Calibri" w:cs="Calibri"/>
          <w:color w:val="000000"/>
          <w:kern w:val="2"/>
          <w:sz w:val="22"/>
          <w:szCs w:val="22"/>
          <w:lang w:val="es-ES" w:eastAsia="es-ES"/>
          <w14:ligatures w14:val="standardContextual"/>
        </w:rPr>
        <w:t xml:space="preserve"> Este criterio es y ha sido asumido como correcto por 3 firmas de auditoría de reconocido prestigio, que han venido verificando las cuentas anuales de Sodena y CPEN desde que se otorgó la primera financiación a Parquenasa (no emitiendo ningún tipo de salvedad en el Informe de auditoría de las cuentas anuales de Sodena ni de CPEN desde el momento en que comenzó a aplicar dicho criterio de valoración). </w:t>
      </w:r>
    </w:p>
    <w:p w14:paraId="650FF2DB" w14:textId="77777777" w:rsidR="005318CE" w:rsidRPr="005318CE" w:rsidRDefault="005318CE" w:rsidP="005318CE">
      <w:pPr>
        <w:spacing w:after="278" w:line="287" w:lineRule="auto"/>
        <w:ind w:left="704" w:right="-12"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(j).-</w:t>
      </w:r>
      <w:r w:rsidRPr="005318CE">
        <w:rPr>
          <w:rFonts w:ascii="Calibri" w:eastAsia="Calibri" w:hAnsi="Calibri" w:cs="Calibri"/>
          <w:color w:val="000000"/>
          <w:kern w:val="2"/>
          <w:sz w:val="22"/>
          <w:szCs w:val="22"/>
          <w:lang w:val="es-ES" w:eastAsia="es-ES"/>
          <w14:ligatures w14:val="standardContextual"/>
        </w:rPr>
        <w:t>Por último, importa citar que el informe emitido por la Cámara de Comptos el 13 de octubre de 2014, denominado “Inversiones financieras de la Sociedad de Desarrollo de Navarra (Sodena) en empresas participadas. 2002 a 2013”, abordó, entre otras, las aportaciones efectuadas por Sodena a Parquenasa; afirmando en la pág. 12: “</w:t>
      </w:r>
      <w:r w:rsidRPr="005318CE">
        <w:rPr>
          <w:rFonts w:ascii="Calibri" w:eastAsia="Calibri" w:hAnsi="Calibri" w:cs="Calibri"/>
          <w:i/>
          <w:color w:val="000000"/>
          <w:kern w:val="2"/>
          <w:sz w:val="22"/>
          <w:szCs w:val="22"/>
          <w:lang w:val="es-ES" w:eastAsia="es-ES"/>
          <w14:ligatures w14:val="standardContextual"/>
        </w:rPr>
        <w:t xml:space="preserve">Las cuentas anuales de Sodena de los años 2002 a 2013 reflejan, en todos sus aspectos significativos, las operaciones financieras de participación en el capital de empresas y de concesión de préstamos de la sociedad pública a empresas participadas en dicho periodo, y la información contenida en el informe de gestión sobre dichas operaciones es acorde con la reflejada en las cuentas anuales de cada ejercicio”. </w:t>
      </w:r>
      <w:r w:rsidRPr="005318CE">
        <w:rPr>
          <w:rFonts w:ascii="Calibri" w:eastAsia="Calibri" w:hAnsi="Calibri" w:cs="Calibri"/>
          <w:color w:val="000000"/>
          <w:kern w:val="2"/>
          <w:sz w:val="22"/>
          <w:szCs w:val="22"/>
          <w:lang w:val="es-ES" w:eastAsia="es-ES"/>
          <w14:ligatures w14:val="standardContextual"/>
        </w:rPr>
        <w:t xml:space="preserve"> </w:t>
      </w:r>
    </w:p>
    <w:p w14:paraId="2FE496AC" w14:textId="77777777" w:rsidR="005318CE" w:rsidRPr="005318CE" w:rsidRDefault="005318CE" w:rsidP="005318CE">
      <w:pPr>
        <w:spacing w:after="282" w:line="287" w:lineRule="auto"/>
        <w:ind w:left="718"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Así pues, la Cámara de Comptos, en línea con las recomendaciones incluidas en el Informe Provisional (pag.9), en el citado informe de 2014 y en relación con Parquenasa, nada apuntó acerca de la conveniencia o necesidad de registrar corrección valorativa alguna en las cuentas anuales de Sodena.   </w:t>
      </w:r>
    </w:p>
    <w:p w14:paraId="6F751987" w14:textId="77777777" w:rsidR="005318CE" w:rsidRPr="005318CE" w:rsidRDefault="005318CE" w:rsidP="005318CE">
      <w:pPr>
        <w:spacing w:after="0" w:line="259" w:lineRule="auto"/>
        <w:ind w:left="750" w:firstLine="0"/>
        <w:jc w:val="center"/>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lastRenderedPageBreak/>
        <w:t xml:space="preserve"> </w:t>
      </w:r>
    </w:p>
    <w:p w14:paraId="7A613019" w14:textId="60D151EC"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En consecuencia, con base en las explicaciones hasta ahora aportadas en la presente alegación, resulta evidente que la valoración de los préstamos concedidos por Sodena a Parquenasa se ha realizado de forma correcta y en estricta aplicación de la normativa contable (Orden EHA/733/2010, antes citada), siendo la aplicación de esta normativa de obligado cumplimiento con independencia de la existencia y confluencia de marcos regulatorios dis</w:t>
      </w:r>
      <w:r>
        <w:rPr>
          <w:rFonts w:ascii="Calibri" w:eastAsia="Calibri" w:hAnsi="Calibri" w:cs="Calibri"/>
          <w:color w:val="000000"/>
          <w:kern w:val="2"/>
          <w:sz w:val="22"/>
          <w:szCs w:val="22"/>
          <w:lang w:val="es-ES" w:eastAsia="es-ES"/>
          <w14:ligatures w14:val="standardContextual"/>
        </w:rPr>
        <w:t>ti</w:t>
      </w:r>
      <w:r w:rsidRPr="005318CE">
        <w:rPr>
          <w:rFonts w:ascii="Calibri" w:eastAsia="Calibri" w:hAnsi="Calibri" w:cs="Calibri"/>
          <w:color w:val="000000"/>
          <w:kern w:val="2"/>
          <w:sz w:val="22"/>
          <w:szCs w:val="22"/>
          <w:lang w:val="es-ES" w:eastAsia="es-ES"/>
          <w14:ligatures w14:val="standardContextual"/>
        </w:rPr>
        <w:t xml:space="preserve">ntos (en el ámbito contable y jurídico administrativo), tal como recoge el propio Informe Provisional, en la pág. 33.  </w:t>
      </w:r>
    </w:p>
    <w:p w14:paraId="7D7F2A30"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Respecto a la consideración de “fallidos”, indicada en las solicitudes de autorización de Sodena tramitadas ante el Gobierno de Navarra, se califican de este modo por la dificultad en su recuperabilidad. Pero tal y como se ha subrayado anteriormente, el criterio para el cálculo del deterioro de los préstamos viene definido por la normativa contable y no por la consideración comercial que se tenga de dichos préstamos, como recuperables o no. </w:t>
      </w:r>
    </w:p>
    <w:p w14:paraId="12825E10" w14:textId="216C1C44"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Así pues, hay que concluir, desde la autonomía de la norma</w:t>
      </w:r>
      <w:r>
        <w:rPr>
          <w:rFonts w:ascii="Calibri" w:eastAsia="Calibri" w:hAnsi="Calibri" w:cs="Calibri"/>
          <w:color w:val="000000"/>
          <w:kern w:val="2"/>
          <w:sz w:val="22"/>
          <w:szCs w:val="22"/>
          <w:lang w:val="es-ES" w:eastAsia="es-ES"/>
          <w14:ligatures w14:val="standardContextual"/>
        </w:rPr>
        <w:t>ti</w:t>
      </w:r>
      <w:r w:rsidRPr="005318CE">
        <w:rPr>
          <w:rFonts w:ascii="Calibri" w:eastAsia="Calibri" w:hAnsi="Calibri" w:cs="Calibri"/>
          <w:color w:val="000000"/>
          <w:kern w:val="2"/>
          <w:sz w:val="22"/>
          <w:szCs w:val="22"/>
          <w:lang w:val="es-ES" w:eastAsia="es-ES"/>
          <w14:ligatures w14:val="standardContextual"/>
        </w:rPr>
        <w:t xml:space="preserve">va contable, que dichos préstamos tienen un valor contable de 22,51M € y están correctamente contabilizados, lo que han verificado las firmas de auditoría de cuentas de Sodena, Parquenasa y CPEN, como se ha indicado anteriormente.  </w:t>
      </w:r>
    </w:p>
    <w:p w14:paraId="2E5F5192"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A la vista de lo expuesto, se somete a la mejor consideración de la Cámara de Comptos que, en el informe definitivo que se emita posteriormente, se modifiquen los siguientes puntos, ahora incluidos en el Informe Provisional:  </w:t>
      </w:r>
    </w:p>
    <w:p w14:paraId="19C92C00" w14:textId="77777777" w:rsidR="005318CE" w:rsidRPr="005318CE" w:rsidRDefault="005318CE" w:rsidP="005318CE">
      <w:pPr>
        <w:numPr>
          <w:ilvl w:val="0"/>
          <w:numId w:val="48"/>
        </w:numPr>
        <w:spacing w:after="0" w:line="287" w:lineRule="auto"/>
        <w:ind w:right="-12" w:hanging="36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En el apartado “</w:t>
      </w:r>
      <w:r w:rsidRPr="005318CE">
        <w:rPr>
          <w:rFonts w:ascii="Calibri" w:eastAsia="Calibri" w:hAnsi="Calibri" w:cs="Calibri"/>
          <w:color w:val="000000"/>
          <w:kern w:val="2"/>
          <w:sz w:val="22"/>
          <w:szCs w:val="22"/>
          <w:u w:val="single" w:color="000000"/>
          <w:lang w:val="es-ES" w:eastAsia="es-ES"/>
          <w14:ligatures w14:val="standardContextual"/>
        </w:rPr>
        <w:t>III. Conclusiones y recomendaciones”, epígrafe B (pág. 7</w:t>
      </w:r>
      <w:r w:rsidRPr="005318CE">
        <w:rPr>
          <w:rFonts w:ascii="Calibri" w:eastAsia="Calibri" w:hAnsi="Calibri" w:cs="Calibri"/>
          <w:color w:val="000000"/>
          <w:kern w:val="2"/>
          <w:sz w:val="22"/>
          <w:szCs w:val="22"/>
          <w:lang w:val="es-ES" w:eastAsia="es-ES"/>
          <w14:ligatures w14:val="standardContextual"/>
        </w:rPr>
        <w:t xml:space="preserve">): “● </w:t>
      </w:r>
      <w:r w:rsidRPr="005318CE">
        <w:rPr>
          <w:rFonts w:ascii="Calibri" w:eastAsia="Calibri" w:hAnsi="Calibri" w:cs="Calibri"/>
          <w:i/>
          <w:color w:val="000000"/>
          <w:kern w:val="2"/>
          <w:sz w:val="22"/>
          <w:szCs w:val="22"/>
          <w:lang w:val="es-ES" w:eastAsia="es-ES"/>
          <w14:ligatures w14:val="standardContextual"/>
        </w:rPr>
        <w:t xml:space="preserve">En las solicitudes anuales de autorización para la concesión de préstamos, Sodena considera que son préstamos que se dotan como fallidos en su totalidad, [INCLUIR] </w:t>
      </w:r>
      <w:r w:rsidRPr="005318CE">
        <w:rPr>
          <w:rFonts w:ascii="Calibri" w:eastAsia="Calibri" w:hAnsi="Calibri" w:cs="Calibri"/>
          <w:i/>
          <w:color w:val="4472C4"/>
          <w:kern w:val="2"/>
          <w:sz w:val="22"/>
          <w:szCs w:val="22"/>
          <w:u w:val="single" w:color="4472C4"/>
          <w:lang w:val="es-ES" w:eastAsia="es-ES"/>
          <w14:ligatures w14:val="standardContextual"/>
        </w:rPr>
        <w:t>sin perjuicio de</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los criterios para su contabilización</w:t>
      </w:r>
      <w:r w:rsidRPr="005318CE">
        <w:rPr>
          <w:rFonts w:ascii="Calibri" w:eastAsia="Calibri" w:hAnsi="Calibri" w:cs="Calibri"/>
          <w:i/>
          <w:color w:val="000000"/>
          <w:kern w:val="2"/>
          <w:sz w:val="22"/>
          <w:szCs w:val="22"/>
          <w:lang w:val="es-ES" w:eastAsia="es-ES"/>
          <w14:ligatures w14:val="standardContextual"/>
        </w:rPr>
        <w:t xml:space="preserve">. [ELIMINAR] </w:t>
      </w:r>
      <w:r w:rsidRPr="005318CE">
        <w:rPr>
          <w:rFonts w:ascii="Calibri" w:eastAsia="Calibri" w:hAnsi="Calibri" w:cs="Calibri"/>
          <w:i/>
          <w:color w:val="70AD47"/>
          <w:kern w:val="2"/>
          <w:sz w:val="22"/>
          <w:szCs w:val="22"/>
          <w:u w:val="single" w:color="70AD47"/>
          <w:lang w:val="es-ES" w:eastAsia="es-ES"/>
          <w14:ligatures w14:val="standardContextual"/>
        </w:rPr>
        <w:t>Sobre esta cuestión, llama la atención</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que siguen figurando créditos recuperables por importe de 22,51 millones, a pesar de su</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consideración como fallidos en las citadas solicitudes, la ausencia de un plan de</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viabilidad que tenga como objetivo su devolución y la propia situación financiera de</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Parquenasa</w:t>
      </w:r>
      <w:r w:rsidRPr="005318CE">
        <w:rPr>
          <w:rFonts w:ascii="Calibri" w:eastAsia="Calibri" w:hAnsi="Calibri" w:cs="Calibri"/>
          <w:color w:val="000000"/>
          <w:kern w:val="2"/>
          <w:sz w:val="22"/>
          <w:szCs w:val="22"/>
          <w:lang w:val="es-ES" w:eastAsia="es-ES"/>
          <w14:ligatures w14:val="standardContextual"/>
        </w:rPr>
        <w:t xml:space="preserve">”. </w:t>
      </w:r>
    </w:p>
    <w:p w14:paraId="55A9CD4C" w14:textId="77777777" w:rsidR="005318CE" w:rsidRPr="005318CE" w:rsidRDefault="005318CE" w:rsidP="005318CE">
      <w:pPr>
        <w:spacing w:after="33"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6E35B985" w14:textId="77777777" w:rsidR="005318CE" w:rsidRPr="005318CE" w:rsidRDefault="005318CE" w:rsidP="005318CE">
      <w:pPr>
        <w:numPr>
          <w:ilvl w:val="0"/>
          <w:numId w:val="48"/>
        </w:numPr>
        <w:spacing w:after="0" w:line="287" w:lineRule="auto"/>
        <w:ind w:right="-12" w:hanging="36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En la </w:t>
      </w:r>
      <w:r w:rsidRPr="005318CE">
        <w:rPr>
          <w:rFonts w:ascii="Calibri" w:eastAsia="Calibri" w:hAnsi="Calibri" w:cs="Calibri"/>
          <w:color w:val="000000"/>
          <w:kern w:val="2"/>
          <w:sz w:val="22"/>
          <w:szCs w:val="22"/>
          <w:u w:val="single" w:color="000000"/>
          <w:lang w:val="es-ES" w:eastAsia="es-ES"/>
          <w14:ligatures w14:val="standardContextual"/>
        </w:rPr>
        <w:t>pág. 28, apartado a</w:t>
      </w:r>
      <w:r w:rsidRPr="005318CE">
        <w:rPr>
          <w:rFonts w:ascii="Calibri" w:eastAsia="Calibri" w:hAnsi="Calibri" w:cs="Calibri"/>
          <w:color w:val="000000"/>
          <w:kern w:val="2"/>
          <w:sz w:val="22"/>
          <w:szCs w:val="22"/>
          <w:lang w:val="es-ES" w:eastAsia="es-ES"/>
          <w14:ligatures w14:val="standardContextual"/>
        </w:rPr>
        <w:t>), “a</w:t>
      </w:r>
      <w:r w:rsidRPr="005318CE">
        <w:rPr>
          <w:rFonts w:ascii="Calibri" w:eastAsia="Calibri" w:hAnsi="Calibri" w:cs="Calibri"/>
          <w:i/>
          <w:color w:val="000000"/>
          <w:kern w:val="2"/>
          <w:sz w:val="22"/>
          <w:szCs w:val="22"/>
          <w:lang w:val="es-ES" w:eastAsia="es-ES"/>
          <w14:ligatures w14:val="standardContextual"/>
        </w:rPr>
        <w:t xml:space="preserve">) Un importe de 55,78 millones figura como préstamos deteriorados, al considerarse por Sodena, en las solicitudes anuales de autorización al Gobierno de Navarra para la concesión de los préstamos, como fallidos, [INCLUIR] </w:t>
      </w:r>
      <w:r w:rsidRPr="005318CE">
        <w:rPr>
          <w:rFonts w:ascii="Calibri" w:eastAsia="Calibri" w:hAnsi="Calibri" w:cs="Calibri"/>
          <w:i/>
          <w:color w:val="4472C4"/>
          <w:kern w:val="2"/>
          <w:sz w:val="22"/>
          <w:szCs w:val="22"/>
          <w:u w:val="single" w:color="4472C4"/>
          <w:lang w:val="es-ES" w:eastAsia="es-ES"/>
          <w14:ligatures w14:val="standardContextual"/>
        </w:rPr>
        <w:t>sin</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perjuicio de los criterios para su contabilización</w:t>
      </w:r>
      <w:r w:rsidRPr="005318CE">
        <w:rPr>
          <w:rFonts w:ascii="Calibri" w:eastAsia="Calibri" w:hAnsi="Calibri" w:cs="Calibri"/>
          <w:i/>
          <w:color w:val="000000"/>
          <w:kern w:val="2"/>
          <w:sz w:val="22"/>
          <w:szCs w:val="22"/>
          <w:lang w:val="es-ES" w:eastAsia="es-ES"/>
          <w14:ligatures w14:val="standardContextual"/>
        </w:rPr>
        <w:t>. El deterioro anual se ha venido estimando y contabilizando en función de la evolución de las pérdidas anuales de Parquenasa</w:t>
      </w:r>
      <w:r w:rsidRPr="005318CE">
        <w:rPr>
          <w:rFonts w:ascii="Calibri" w:eastAsia="Calibri" w:hAnsi="Calibri" w:cs="Calibri"/>
          <w:color w:val="000000"/>
          <w:kern w:val="2"/>
          <w:sz w:val="22"/>
          <w:szCs w:val="22"/>
          <w:lang w:val="es-ES" w:eastAsia="es-ES"/>
          <w14:ligatures w14:val="standardContextual"/>
        </w:rPr>
        <w:t xml:space="preserve"> (…)”. </w:t>
      </w:r>
    </w:p>
    <w:p w14:paraId="1E1B0626" w14:textId="77777777" w:rsidR="005318CE" w:rsidRPr="005318CE" w:rsidRDefault="005318CE" w:rsidP="005318CE">
      <w:pPr>
        <w:spacing w:after="33"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0DC7A9C3" w14:textId="77777777" w:rsidR="005318CE" w:rsidRPr="005318CE" w:rsidRDefault="005318CE" w:rsidP="005318CE">
      <w:pPr>
        <w:numPr>
          <w:ilvl w:val="0"/>
          <w:numId w:val="48"/>
        </w:numPr>
        <w:spacing w:after="278" w:line="287" w:lineRule="auto"/>
        <w:ind w:right="-12" w:hanging="36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En la </w:t>
      </w:r>
      <w:r w:rsidRPr="005318CE">
        <w:rPr>
          <w:rFonts w:ascii="Calibri" w:eastAsia="Calibri" w:hAnsi="Calibri" w:cs="Calibri"/>
          <w:color w:val="000000"/>
          <w:kern w:val="2"/>
          <w:sz w:val="22"/>
          <w:szCs w:val="22"/>
          <w:u w:val="single" w:color="000000"/>
          <w:lang w:val="es-ES" w:eastAsia="es-ES"/>
          <w14:ligatures w14:val="standardContextual"/>
        </w:rPr>
        <w:t>pág. 31, apartado c), párrafo 1º</w:t>
      </w:r>
      <w:r w:rsidRPr="005318CE">
        <w:rPr>
          <w:rFonts w:ascii="Calibri" w:eastAsia="Calibri" w:hAnsi="Calibri" w:cs="Calibri"/>
          <w:color w:val="000000"/>
          <w:kern w:val="2"/>
          <w:sz w:val="22"/>
          <w:szCs w:val="22"/>
          <w:lang w:val="es-ES" w:eastAsia="es-ES"/>
          <w14:ligatures w14:val="standardContextual"/>
        </w:rPr>
        <w:t>: “</w:t>
      </w:r>
      <w:r w:rsidRPr="005318CE">
        <w:rPr>
          <w:rFonts w:ascii="Calibri" w:eastAsia="Calibri" w:hAnsi="Calibri" w:cs="Calibri"/>
          <w:i/>
          <w:color w:val="000000"/>
          <w:kern w:val="2"/>
          <w:sz w:val="22"/>
          <w:szCs w:val="22"/>
          <w:lang w:val="es-ES" w:eastAsia="es-ES"/>
          <w14:ligatures w14:val="standardContextual"/>
        </w:rPr>
        <w:t xml:space="preserve">c) El resto, es decir, 22,51 millones, [ELIMINAR] </w:t>
      </w:r>
      <w:r w:rsidRPr="005318CE">
        <w:rPr>
          <w:rFonts w:ascii="Calibri" w:eastAsia="Calibri" w:hAnsi="Calibri" w:cs="Calibri"/>
          <w:i/>
          <w:color w:val="70AD47"/>
          <w:kern w:val="2"/>
          <w:sz w:val="22"/>
          <w:szCs w:val="22"/>
          <w:u w:val="single" w:color="70AD47"/>
          <w:lang w:val="es-ES" w:eastAsia="es-ES"/>
          <w14:ligatures w14:val="standardContextual"/>
        </w:rPr>
        <w:t>no</w:t>
      </w:r>
      <w:r w:rsidRPr="005318CE">
        <w:rPr>
          <w:rFonts w:ascii="Calibri" w:eastAsia="Calibri" w:hAnsi="Calibri" w:cs="Calibri"/>
          <w:i/>
          <w:color w:val="70AD47"/>
          <w:kern w:val="2"/>
          <w:sz w:val="22"/>
          <w:szCs w:val="22"/>
          <w:lang w:val="es-ES" w:eastAsia="es-ES"/>
          <w14:ligatures w14:val="standardContextual"/>
        </w:rPr>
        <w:t>,</w:t>
      </w:r>
      <w:r w:rsidRPr="005318CE">
        <w:rPr>
          <w:rFonts w:ascii="Calibri" w:eastAsia="Calibri" w:hAnsi="Calibri" w:cs="Calibri"/>
          <w:i/>
          <w:color w:val="000000"/>
          <w:kern w:val="2"/>
          <w:sz w:val="22"/>
          <w:szCs w:val="22"/>
          <w:lang w:val="es-ES" w:eastAsia="es-ES"/>
          <w14:ligatures w14:val="standardContextual"/>
        </w:rPr>
        <w:t xml:space="preserve"> figuran en las cuentas anuales de Sodena como créditos que [INCLUIR] </w:t>
      </w:r>
      <w:r w:rsidRPr="005318CE">
        <w:rPr>
          <w:rFonts w:ascii="Calibri" w:eastAsia="Calibri" w:hAnsi="Calibri" w:cs="Calibri"/>
          <w:i/>
          <w:color w:val="4472C4"/>
          <w:kern w:val="2"/>
          <w:sz w:val="22"/>
          <w:szCs w:val="22"/>
          <w:u w:val="single" w:color="4472C4"/>
          <w:lang w:val="es-ES" w:eastAsia="es-ES"/>
          <w14:ligatures w14:val="standardContextual"/>
        </w:rPr>
        <w:t>no</w:t>
      </w:r>
      <w:r w:rsidRPr="005318CE">
        <w:rPr>
          <w:rFonts w:ascii="Calibri" w:eastAsia="Calibri" w:hAnsi="Calibri" w:cs="Calibri"/>
          <w:i/>
          <w:color w:val="000000"/>
          <w:kern w:val="2"/>
          <w:sz w:val="22"/>
          <w:szCs w:val="22"/>
          <w:lang w:val="es-ES" w:eastAsia="es-ES"/>
          <w14:ligatures w14:val="standardContextual"/>
        </w:rPr>
        <w:t xml:space="preserve"> necesiten una corrección valorativa, [ELIMINAR] </w:t>
      </w:r>
      <w:r w:rsidRPr="005318CE">
        <w:rPr>
          <w:rFonts w:ascii="Calibri" w:eastAsia="Calibri" w:hAnsi="Calibri" w:cs="Calibri"/>
          <w:i/>
          <w:color w:val="70AD47"/>
          <w:kern w:val="2"/>
          <w:sz w:val="22"/>
          <w:szCs w:val="22"/>
          <w:u w:val="single" w:color="70AD47"/>
          <w:lang w:val="es-ES" w:eastAsia="es-ES"/>
          <w14:ligatures w14:val="standardContextual"/>
        </w:rPr>
        <w:t>esto es, se contemplan como créditos no</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 xml:space="preserve">afectados por </w:t>
      </w:r>
      <w:r w:rsidRPr="005318CE">
        <w:rPr>
          <w:rFonts w:ascii="Calibri" w:eastAsia="Calibri" w:hAnsi="Calibri" w:cs="Calibri"/>
          <w:i/>
          <w:color w:val="70AD47"/>
          <w:kern w:val="2"/>
          <w:sz w:val="22"/>
          <w:szCs w:val="22"/>
          <w:u w:val="single" w:color="70AD47"/>
          <w:lang w:val="es-ES" w:eastAsia="es-ES"/>
          <w14:ligatures w14:val="standardContextual"/>
        </w:rPr>
        <w:lastRenderedPageBreak/>
        <w:t>pérdidas de valor, lo que supone considerarlos</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000000"/>
          <w:kern w:val="2"/>
          <w:sz w:val="22"/>
          <w:szCs w:val="22"/>
          <w:lang w:val="es-ES" w:eastAsia="es-ES"/>
          <w14:ligatures w14:val="standardContextual"/>
        </w:rPr>
        <w:t xml:space="preserve">[INCLUIR] </w:t>
      </w:r>
      <w:r w:rsidRPr="005318CE">
        <w:rPr>
          <w:rFonts w:ascii="Calibri" w:eastAsia="Calibri" w:hAnsi="Calibri" w:cs="Calibri"/>
          <w:i/>
          <w:color w:val="4472C4"/>
          <w:kern w:val="2"/>
          <w:sz w:val="22"/>
          <w:szCs w:val="22"/>
          <w:u w:val="single" w:color="4472C4"/>
          <w:lang w:val="es-ES" w:eastAsia="es-ES"/>
          <w14:ligatures w14:val="standardContextual"/>
        </w:rPr>
        <w:t>y ello con</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independencia de su consideración como préstamos recuperables</w:t>
      </w:r>
      <w:r w:rsidRPr="005318CE">
        <w:rPr>
          <w:rFonts w:ascii="Calibri" w:eastAsia="Calibri" w:hAnsi="Calibri" w:cs="Calibri"/>
          <w:i/>
          <w:color w:val="000000"/>
          <w:kern w:val="2"/>
          <w:sz w:val="22"/>
          <w:szCs w:val="22"/>
          <w:lang w:val="es-ES" w:eastAsia="es-ES"/>
          <w14:ligatures w14:val="standardContextual"/>
        </w:rPr>
        <w:t xml:space="preserve"> </w:t>
      </w:r>
      <w:r w:rsidRPr="005318CE">
        <w:rPr>
          <w:rFonts w:ascii="Calibri" w:eastAsia="Calibri" w:hAnsi="Calibri" w:cs="Calibri"/>
          <w:color w:val="000000"/>
          <w:kern w:val="2"/>
          <w:sz w:val="22"/>
          <w:szCs w:val="22"/>
          <w:lang w:val="es-ES" w:eastAsia="es-ES"/>
          <w14:ligatures w14:val="standardContextual"/>
        </w:rPr>
        <w:t xml:space="preserve">(…)”.  </w:t>
      </w:r>
    </w:p>
    <w:p w14:paraId="3FC85C08" w14:textId="77777777" w:rsidR="005318CE" w:rsidRPr="005318CE" w:rsidRDefault="005318CE" w:rsidP="005318CE">
      <w:pPr>
        <w:spacing w:after="33" w:line="259" w:lineRule="auto"/>
        <w:ind w:left="72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p>
    <w:p w14:paraId="047F6F9C" w14:textId="77777777" w:rsidR="005318CE" w:rsidRPr="005318CE" w:rsidRDefault="005318CE" w:rsidP="005318CE">
      <w:pPr>
        <w:numPr>
          <w:ilvl w:val="0"/>
          <w:numId w:val="48"/>
        </w:numPr>
        <w:spacing w:after="278" w:line="287" w:lineRule="auto"/>
        <w:ind w:right="-12" w:hanging="36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Y, en la </w:t>
      </w:r>
      <w:r w:rsidRPr="005318CE">
        <w:rPr>
          <w:rFonts w:ascii="Calibri" w:eastAsia="Calibri" w:hAnsi="Calibri" w:cs="Calibri"/>
          <w:color w:val="000000"/>
          <w:kern w:val="2"/>
          <w:sz w:val="22"/>
          <w:szCs w:val="22"/>
          <w:u w:val="single" w:color="000000"/>
          <w:lang w:val="es-ES" w:eastAsia="es-ES"/>
          <w14:ligatures w14:val="standardContextual"/>
        </w:rPr>
        <w:t>misma pág. 31, apartado c), párrafo 3º</w:t>
      </w:r>
      <w:r w:rsidRPr="005318CE">
        <w:rPr>
          <w:rFonts w:ascii="Calibri" w:eastAsia="Calibri" w:hAnsi="Calibri" w:cs="Calibri"/>
          <w:color w:val="000000"/>
          <w:kern w:val="2"/>
          <w:sz w:val="22"/>
          <w:szCs w:val="22"/>
          <w:lang w:val="es-ES" w:eastAsia="es-ES"/>
          <w14:ligatures w14:val="standardContextual"/>
        </w:rPr>
        <w:t xml:space="preserve">: “● </w:t>
      </w:r>
      <w:r w:rsidRPr="005318CE">
        <w:rPr>
          <w:rFonts w:ascii="Calibri" w:eastAsia="Calibri" w:hAnsi="Calibri" w:cs="Calibri"/>
          <w:i/>
          <w:color w:val="000000"/>
          <w:kern w:val="2"/>
          <w:sz w:val="22"/>
          <w:szCs w:val="22"/>
          <w:lang w:val="es-ES" w:eastAsia="es-ES"/>
          <w14:ligatures w14:val="standardContextual"/>
        </w:rPr>
        <w:t>Para Sodena, en las solicitudes anuales al Gobierno de Navarra de autorización para la concesión de préstamos, se contemplan como préstamos fallidos en su totalidad</w:t>
      </w:r>
      <w:r w:rsidRPr="005318CE">
        <w:rPr>
          <w:rFonts w:ascii="Calibri" w:eastAsia="Calibri" w:hAnsi="Calibri" w:cs="Calibri"/>
          <w:color w:val="4472C4"/>
          <w:kern w:val="2"/>
          <w:sz w:val="22"/>
          <w:szCs w:val="22"/>
          <w:u w:val="single" w:color="4472C4"/>
          <w:lang w:val="es-ES" w:eastAsia="es-ES"/>
          <w14:ligatures w14:val="standardContextual"/>
        </w:rPr>
        <w:t xml:space="preserve">, </w:t>
      </w:r>
      <w:r w:rsidRPr="005318CE">
        <w:rPr>
          <w:rFonts w:ascii="Calibri" w:eastAsia="Calibri" w:hAnsi="Calibri" w:cs="Calibri"/>
          <w:i/>
          <w:color w:val="000000"/>
          <w:kern w:val="2"/>
          <w:sz w:val="22"/>
          <w:szCs w:val="22"/>
          <w:lang w:val="es-ES" w:eastAsia="es-ES"/>
          <w14:ligatures w14:val="standardContextual"/>
        </w:rPr>
        <w:t xml:space="preserve">[INCLUIR] </w:t>
      </w:r>
      <w:r w:rsidRPr="005318CE">
        <w:rPr>
          <w:rFonts w:ascii="Calibri" w:eastAsia="Calibri" w:hAnsi="Calibri" w:cs="Calibri"/>
          <w:i/>
          <w:color w:val="4472C4"/>
          <w:kern w:val="2"/>
          <w:sz w:val="22"/>
          <w:szCs w:val="22"/>
          <w:u w:val="single" w:color="4472C4"/>
          <w:lang w:val="es-ES" w:eastAsia="es-ES"/>
          <w14:ligatures w14:val="standardContextual"/>
        </w:rPr>
        <w:t>sin perjuicio de los criterios para su</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contabilización;</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000000"/>
          <w:kern w:val="2"/>
          <w:sz w:val="22"/>
          <w:szCs w:val="22"/>
          <w:lang w:val="es-ES" w:eastAsia="es-ES"/>
          <w14:ligatures w14:val="standardContextual"/>
        </w:rPr>
        <w:t xml:space="preserve">[ELIMINAR] </w:t>
      </w:r>
      <w:r w:rsidRPr="005318CE">
        <w:rPr>
          <w:rFonts w:ascii="Calibri" w:eastAsia="Calibri" w:hAnsi="Calibri" w:cs="Calibri"/>
          <w:i/>
          <w:color w:val="70AD47"/>
          <w:kern w:val="2"/>
          <w:sz w:val="22"/>
          <w:szCs w:val="22"/>
          <w:u w:val="single" w:color="70AD47"/>
          <w:lang w:val="es-ES" w:eastAsia="es-ES"/>
          <w14:ligatures w14:val="standardContextual"/>
        </w:rPr>
        <w:t>aspecto que no se ha tenido en cuenta en la estimación al</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cierre del ejercicio contable del valor de los créditos no considerados como</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participativos</w:t>
      </w:r>
      <w:r w:rsidRPr="005318CE">
        <w:rPr>
          <w:rFonts w:ascii="Calibri" w:eastAsia="Calibri" w:hAnsi="Calibri" w:cs="Calibri"/>
          <w:color w:val="000000"/>
          <w:kern w:val="2"/>
          <w:sz w:val="22"/>
          <w:szCs w:val="22"/>
          <w:lang w:val="es-ES" w:eastAsia="es-ES"/>
          <w14:ligatures w14:val="standardContextual"/>
        </w:rPr>
        <w:t xml:space="preserve">”.  </w:t>
      </w:r>
    </w:p>
    <w:p w14:paraId="27E958D7" w14:textId="77777777" w:rsidR="005318CE" w:rsidRPr="005318CE" w:rsidRDefault="005318CE" w:rsidP="005318CE">
      <w:pPr>
        <w:keepNext/>
        <w:keepLines/>
        <w:spacing w:after="278" w:line="259" w:lineRule="auto"/>
        <w:ind w:left="-4" w:hanging="10"/>
        <w:jc w:val="left"/>
        <w:outlineLvl w:val="1"/>
        <w:rPr>
          <w:rFonts w:ascii="Calibri" w:eastAsia="Calibri" w:hAnsi="Calibri" w:cs="Calibri"/>
          <w:b/>
          <w:color w:val="000000"/>
          <w:kern w:val="2"/>
          <w:sz w:val="22"/>
          <w:szCs w:val="22"/>
          <w:lang w:val="es-ES" w:eastAsia="es-ES"/>
          <w14:ligatures w14:val="standardContextual"/>
        </w:rPr>
      </w:pPr>
      <w:r w:rsidRPr="005318CE">
        <w:rPr>
          <w:rFonts w:ascii="Calibri" w:eastAsia="Calibri" w:hAnsi="Calibri" w:cs="Calibri"/>
          <w:b/>
          <w:color w:val="000000"/>
          <w:kern w:val="2"/>
          <w:sz w:val="22"/>
          <w:szCs w:val="22"/>
          <w:u w:val="single" w:color="000000"/>
          <w:lang w:val="es-ES" w:eastAsia="es-ES"/>
          <w14:ligatures w14:val="standardContextual"/>
        </w:rPr>
        <w:t>SEGUNDA</w:t>
      </w:r>
      <w:r w:rsidRPr="005318CE">
        <w:rPr>
          <w:rFonts w:ascii="Calibri" w:eastAsia="Calibri" w:hAnsi="Calibri" w:cs="Calibri"/>
          <w:b/>
          <w:color w:val="000000"/>
          <w:kern w:val="2"/>
          <w:sz w:val="22"/>
          <w:szCs w:val="22"/>
          <w:lang w:val="es-ES" w:eastAsia="es-ES"/>
          <w14:ligatures w14:val="standardContextual"/>
        </w:rPr>
        <w:t xml:space="preserve">.- DE LOS PRÉSTAMOS    </w:t>
      </w:r>
    </w:p>
    <w:p w14:paraId="3E01E72E"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En el Informe Provisional se contienen diferentes menciones a los préstamos participativos otorgados por Sodena a Parquenasa (a las que más tarde se hacen referencia), haciendo constar: (i) de un lado, que dichos préstamos han permitido determinados efectos “contables” en la Sociedad, de conformidad a la normativa específica aplicable a los mismos; y (ii) de otro, diversos comentarios acerca de su plazo de duración.  </w:t>
      </w:r>
    </w:p>
    <w:p w14:paraId="6A0E9697"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2.1.-</w:t>
      </w:r>
      <w:r w:rsidRPr="005318CE">
        <w:rPr>
          <w:rFonts w:ascii="Calibri" w:eastAsia="Calibri" w:hAnsi="Calibri" w:cs="Calibri"/>
          <w:color w:val="000000"/>
          <w:kern w:val="2"/>
          <w:sz w:val="22"/>
          <w:szCs w:val="22"/>
          <w:lang w:val="es-ES" w:eastAsia="es-ES"/>
          <w14:ligatures w14:val="standardContextual"/>
        </w:rPr>
        <w:t xml:space="preserve"> Con relación a la primera de las cuestiones mencionada, y de conformidad con el artículo 20.d) del Real Decreto-Ley 7/1996, de 7 de junio, sobre medidas urgentes de carácter fiscal y de fomento y liberalización de la actividad económica, hay que hacer constar que los préstamos participativos se consideran patrimonio neto a los efectos de reducción del capital y liquidación de sociedades previstas </w:t>
      </w:r>
      <w:r w:rsidRPr="005318CE">
        <w:rPr>
          <w:rFonts w:ascii="Calibri" w:eastAsia="Calibri" w:hAnsi="Calibri" w:cs="Calibri"/>
          <w:color w:val="000000"/>
          <w:kern w:val="2"/>
          <w:sz w:val="22"/>
          <w:szCs w:val="22"/>
          <w:u w:val="single" w:color="000000"/>
          <w:lang w:val="es-ES" w:eastAsia="es-ES"/>
          <w14:ligatures w14:val="standardContextual"/>
        </w:rPr>
        <w:t>en la legislación mercan</w:t>
      </w:r>
      <w:r w:rsidRPr="005318CE">
        <w:rPr>
          <w:rFonts w:ascii="Calibri" w:eastAsia="Calibri" w:hAnsi="Calibri" w:cs="Calibri"/>
          <w:color w:val="000000"/>
          <w:kern w:val="2"/>
          <w:sz w:val="22"/>
          <w:szCs w:val="22"/>
          <w:lang w:val="es-ES" w:eastAsia="es-ES"/>
          <w14:ligatures w14:val="standardContextual"/>
        </w:rPr>
        <w:t>ti</w:t>
      </w:r>
      <w:r w:rsidRPr="005318CE">
        <w:rPr>
          <w:rFonts w:ascii="Calibri" w:eastAsia="Calibri" w:hAnsi="Calibri" w:cs="Calibri"/>
          <w:color w:val="000000"/>
          <w:kern w:val="2"/>
          <w:sz w:val="22"/>
          <w:szCs w:val="22"/>
          <w:u w:val="single" w:color="000000"/>
          <w:lang w:val="es-ES" w:eastAsia="es-ES"/>
          <w14:ligatures w14:val="standardContextual"/>
        </w:rPr>
        <w:t>l</w:t>
      </w:r>
      <w:r w:rsidRPr="005318CE">
        <w:rPr>
          <w:rFonts w:ascii="Calibri" w:eastAsia="Calibri" w:hAnsi="Calibri" w:cs="Calibri"/>
          <w:color w:val="000000"/>
          <w:kern w:val="2"/>
          <w:sz w:val="22"/>
          <w:szCs w:val="22"/>
          <w:lang w:val="es-ES" w:eastAsia="es-ES"/>
          <w14:ligatures w14:val="standardContextual"/>
        </w:rPr>
        <w:t xml:space="preserve"> (en particular, en el artículo 363 del Real Decreto Legislativo 1/2010, de 2 de julio, por el que se aprueba el texto refundido de la Ley de Sociedades de Capital).  </w:t>
      </w:r>
    </w:p>
    <w:p w14:paraId="4CB4189D"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Es decir, los efectos de dichos préstamos participativos no son contables (y, de hecho, la contabilidad no se ve afectada), sino meramente mercantiles, evitando que las sociedades incurran en causa legal de disolución. Así lo reconoce el propio Tribunal Supremo [por todas, sentencia nº 1255, de 30 de marzo de 2021 (ECLI:ES:TS:2021:1255)].  </w:t>
      </w:r>
    </w:p>
    <w:p w14:paraId="34211F3E" w14:textId="69E83EEE"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Por ello, en atención a todo lo hasta aquí expuesto en la presente Alegación, en el informe definitivo que se emita posteriormente se sugiere sustituir la mención “a efectos contables”, contenida en las páginas que a continuación se relacionan, por la de “a efectos mercan</w:t>
      </w:r>
      <w:r>
        <w:rPr>
          <w:rFonts w:ascii="Calibri" w:eastAsia="Calibri" w:hAnsi="Calibri" w:cs="Calibri"/>
          <w:color w:val="000000"/>
          <w:kern w:val="2"/>
          <w:sz w:val="22"/>
          <w:szCs w:val="22"/>
          <w:lang w:val="es-ES" w:eastAsia="es-ES"/>
          <w14:ligatures w14:val="standardContextual"/>
        </w:rPr>
        <w:t>ti</w:t>
      </w:r>
      <w:r w:rsidRPr="005318CE">
        <w:rPr>
          <w:rFonts w:ascii="Calibri" w:eastAsia="Calibri" w:hAnsi="Calibri" w:cs="Calibri"/>
          <w:color w:val="000000"/>
          <w:kern w:val="2"/>
          <w:sz w:val="22"/>
          <w:szCs w:val="22"/>
          <w:lang w:val="es-ES" w:eastAsia="es-ES"/>
          <w14:ligatures w14:val="standardContextual"/>
        </w:rPr>
        <w:t xml:space="preserve">les”, completando y/o modificando los párrafos siguientes. En particular: pág. 8, párrafo 2º; pág. 22, párrafo 2º, pág. 29, párrafo 2º, y pág. 30, párrafo 2º. </w:t>
      </w:r>
    </w:p>
    <w:p w14:paraId="75B8700D"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2.2.</w:t>
      </w:r>
      <w:r w:rsidRPr="005318CE">
        <w:rPr>
          <w:rFonts w:ascii="Calibri" w:eastAsia="Calibri" w:hAnsi="Calibri" w:cs="Calibri"/>
          <w:color w:val="000000"/>
          <w:kern w:val="2"/>
          <w:sz w:val="22"/>
          <w:szCs w:val="22"/>
          <w:lang w:val="es-ES" w:eastAsia="es-ES"/>
          <w14:ligatures w14:val="standardContextual"/>
        </w:rPr>
        <w:t xml:space="preserve">- Por lo que se refiere al plazo de duración de los préstamos participativos, hemos de señalar que no existe en las normas que regulan específicamente dichos préstamos, que éstos deban tener una duración determinada. De hecho, en la práctica, es habitual que los préstamos participativos sean un instrumento de financiación a largo plazo en línea con el compromiso de la parte prestamista.  </w:t>
      </w:r>
    </w:p>
    <w:p w14:paraId="3FAF9D75" w14:textId="77777777" w:rsidR="005318CE" w:rsidRPr="005318CE" w:rsidRDefault="005318CE" w:rsidP="005318CE">
      <w:pPr>
        <w:spacing w:after="0" w:line="259" w:lineRule="auto"/>
        <w:ind w:left="1"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lastRenderedPageBreak/>
        <w:t xml:space="preserve"> </w:t>
      </w:r>
    </w:p>
    <w:p w14:paraId="4F38595C"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Ni del RD-Ley 7/1996, ni de la jurisprudencia del Alto Tribunal, cabe deducir, como rasgo diferenciador de los préstamos participativos, lo afirmado por el Informe Provisional acerca de su mantenimiento durante un plazo determinado.   </w:t>
      </w:r>
    </w:p>
    <w:p w14:paraId="3FC8FFAE"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Por otra parte, el hecho de que los préstamos participativos se vayan renovando periódicamente (en este caso, anualmente, mediante Adendas), implica precisamente que tienen unos plazos y que no son indefinidos. Por ello, en atención a todo lo hasta aquí expuesto en la presente Alegación, en el informe definitivo que se emita posteriormente se sugiere eliminar las referencias al plazo indefinido de los préstamos, completando y/o modificando los párrafos siguientes. En particular:  </w:t>
      </w:r>
    </w:p>
    <w:p w14:paraId="1D058736" w14:textId="77777777" w:rsidR="005318CE" w:rsidRPr="005318CE" w:rsidRDefault="005318CE" w:rsidP="005318CE">
      <w:pPr>
        <w:numPr>
          <w:ilvl w:val="0"/>
          <w:numId w:val="49"/>
        </w:numPr>
        <w:spacing w:after="278" w:line="287" w:lineRule="auto"/>
        <w:ind w:left="704" w:right="-12" w:hanging="1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En la </w:t>
      </w:r>
      <w:r w:rsidRPr="005318CE">
        <w:rPr>
          <w:rFonts w:ascii="Calibri" w:eastAsia="Calibri" w:hAnsi="Calibri" w:cs="Calibri"/>
          <w:color w:val="000000"/>
          <w:kern w:val="2"/>
          <w:sz w:val="22"/>
          <w:szCs w:val="22"/>
          <w:u w:val="single" w:color="000000"/>
          <w:lang w:val="es-ES" w:eastAsia="es-ES"/>
          <w14:ligatures w14:val="standardContextual"/>
        </w:rPr>
        <w:t>pág. 8, en el 2º párrafo</w:t>
      </w:r>
      <w:r w:rsidRPr="005318CE">
        <w:rPr>
          <w:rFonts w:ascii="Calibri" w:eastAsia="Calibri" w:hAnsi="Calibri" w:cs="Calibri"/>
          <w:color w:val="000000"/>
          <w:kern w:val="2"/>
          <w:sz w:val="22"/>
          <w:szCs w:val="22"/>
          <w:lang w:val="es-ES" w:eastAsia="es-ES"/>
          <w14:ligatures w14:val="standardContextual"/>
        </w:rPr>
        <w:t>: “</w:t>
      </w:r>
      <w:r w:rsidRPr="005318CE">
        <w:rPr>
          <w:rFonts w:ascii="Calibri" w:eastAsia="Calibri" w:hAnsi="Calibri" w:cs="Calibri"/>
          <w:i/>
          <w:color w:val="000000"/>
          <w:kern w:val="2"/>
          <w:sz w:val="22"/>
          <w:szCs w:val="22"/>
          <w:lang w:val="es-ES" w:eastAsia="es-ES"/>
          <w14:ligatures w14:val="standardContextual"/>
        </w:rPr>
        <w:t>Debe tenerse en cuenta que la finalidad de la citada regulación mercantil al considerar los préstamos participativos como neto patrimonial, es dar la oportunidad a las empresas de retrasar una posible disolución obligatoria, y dar opciones para su recuperación</w:t>
      </w:r>
      <w:r w:rsidRPr="005318CE">
        <w:rPr>
          <w:rFonts w:ascii="Calibri" w:eastAsia="Calibri" w:hAnsi="Calibri" w:cs="Calibri"/>
          <w:color w:val="000000"/>
          <w:kern w:val="2"/>
          <w:sz w:val="22"/>
          <w:szCs w:val="22"/>
          <w:lang w:val="es-ES" w:eastAsia="es-ES"/>
          <w14:ligatures w14:val="standardContextual"/>
        </w:rPr>
        <w:t>, [</w:t>
      </w:r>
      <w:r w:rsidRPr="005318CE">
        <w:rPr>
          <w:rFonts w:ascii="Calibri" w:eastAsia="Calibri" w:hAnsi="Calibri" w:cs="Calibri"/>
          <w:i/>
          <w:color w:val="000000"/>
          <w:kern w:val="2"/>
          <w:sz w:val="22"/>
          <w:szCs w:val="22"/>
          <w:lang w:val="es-ES" w:eastAsia="es-ES"/>
          <w14:ligatures w14:val="standardContextual"/>
        </w:rPr>
        <w:t>ELIMINAR</w:t>
      </w:r>
      <w:r w:rsidRPr="005318CE">
        <w:rPr>
          <w:rFonts w:ascii="Calibri" w:eastAsia="Calibri" w:hAnsi="Calibri" w:cs="Calibri"/>
          <w:color w:val="000000"/>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pero no mantener esa situación de forma</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indefinida</w:t>
      </w:r>
      <w:r w:rsidRPr="005318CE">
        <w:rPr>
          <w:rFonts w:ascii="Calibri" w:eastAsia="Calibri" w:hAnsi="Calibri" w:cs="Calibri"/>
          <w:i/>
          <w:strike/>
          <w:color w:val="4472C4"/>
          <w:kern w:val="2"/>
          <w:sz w:val="22"/>
          <w:szCs w:val="22"/>
          <w:lang w:val="es-ES" w:eastAsia="es-ES"/>
          <w14:ligatures w14:val="standardContextual"/>
        </w:rPr>
        <w:t xml:space="preserve">. </w:t>
      </w:r>
      <w:r w:rsidRPr="005318CE">
        <w:rPr>
          <w:rFonts w:ascii="Calibri" w:eastAsia="Calibri" w:hAnsi="Calibri" w:cs="Calibri"/>
          <w:i/>
          <w:color w:val="000000"/>
          <w:kern w:val="2"/>
          <w:sz w:val="22"/>
          <w:szCs w:val="22"/>
          <w:lang w:val="es-ES" w:eastAsia="es-ES"/>
          <w14:ligatures w14:val="standardContextual"/>
        </w:rPr>
        <w:t>Parquenasa lleva en esta situación 18 años”.</w:t>
      </w:r>
      <w:r w:rsidRPr="005318CE">
        <w:rPr>
          <w:rFonts w:ascii="Calibri" w:eastAsia="Calibri" w:hAnsi="Calibri" w:cs="Calibri"/>
          <w:i/>
          <w:color w:val="4472C4"/>
          <w:kern w:val="2"/>
          <w:sz w:val="22"/>
          <w:szCs w:val="22"/>
          <w:lang w:val="es-ES" w:eastAsia="es-ES"/>
          <w14:ligatures w14:val="standardContextual"/>
        </w:rPr>
        <w:t xml:space="preserve"> </w:t>
      </w:r>
    </w:p>
    <w:p w14:paraId="7820E3A7" w14:textId="77777777" w:rsidR="005318CE" w:rsidRPr="005318CE" w:rsidRDefault="005318CE" w:rsidP="005318CE">
      <w:pPr>
        <w:numPr>
          <w:ilvl w:val="0"/>
          <w:numId w:val="49"/>
        </w:numPr>
        <w:spacing w:after="278" w:line="287" w:lineRule="auto"/>
        <w:ind w:left="704" w:right="-12" w:hanging="1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Y, en la </w:t>
      </w:r>
      <w:r w:rsidRPr="005318CE">
        <w:rPr>
          <w:rFonts w:ascii="Calibri" w:eastAsia="Calibri" w:hAnsi="Calibri" w:cs="Calibri"/>
          <w:color w:val="000000"/>
          <w:kern w:val="2"/>
          <w:sz w:val="22"/>
          <w:szCs w:val="22"/>
          <w:u w:val="single" w:color="000000"/>
          <w:lang w:val="es-ES" w:eastAsia="es-ES"/>
          <w14:ligatures w14:val="standardContextual"/>
        </w:rPr>
        <w:t>pág. 30, en el párrafo 3º</w:t>
      </w:r>
      <w:r w:rsidRPr="005318CE">
        <w:rPr>
          <w:rFonts w:ascii="Calibri" w:eastAsia="Calibri" w:hAnsi="Calibri" w:cs="Calibri"/>
          <w:color w:val="000000"/>
          <w:kern w:val="2"/>
          <w:sz w:val="22"/>
          <w:szCs w:val="22"/>
          <w:lang w:val="es-ES" w:eastAsia="es-ES"/>
          <w14:ligatures w14:val="standardContextual"/>
        </w:rPr>
        <w:t xml:space="preserve">: “(…) </w:t>
      </w:r>
      <w:r w:rsidRPr="005318CE">
        <w:rPr>
          <w:rFonts w:ascii="Calibri" w:eastAsia="Calibri" w:hAnsi="Calibri" w:cs="Calibri"/>
          <w:i/>
          <w:color w:val="000000"/>
          <w:kern w:val="2"/>
          <w:sz w:val="22"/>
          <w:szCs w:val="22"/>
          <w:lang w:val="es-ES" w:eastAsia="es-ES"/>
          <w14:ligatures w14:val="standardContextual"/>
        </w:rPr>
        <w:t xml:space="preserve">No obstante, debe tenerse en cuenta que la finalidad de la regulación mercantil de los préstamos participativos, al computar a estos efectos como neto patrimonial, es dar la oportunidad a las empresas de retrasar su disolución y dar opciones para su recuperación, </w:t>
      </w:r>
      <w:r w:rsidRPr="005318CE">
        <w:rPr>
          <w:rFonts w:ascii="Calibri" w:eastAsia="Calibri" w:hAnsi="Calibri" w:cs="Calibri"/>
          <w:strike/>
          <w:color w:val="000000"/>
          <w:kern w:val="2"/>
          <w:sz w:val="22"/>
          <w:szCs w:val="22"/>
          <w:lang w:val="es-ES" w:eastAsia="es-ES"/>
          <w14:ligatures w14:val="standardContextual"/>
        </w:rPr>
        <w:t>[</w:t>
      </w:r>
      <w:r w:rsidRPr="005318CE">
        <w:rPr>
          <w:rFonts w:ascii="Calibri" w:eastAsia="Calibri" w:hAnsi="Calibri" w:cs="Calibri"/>
          <w:i/>
          <w:color w:val="000000"/>
          <w:kern w:val="2"/>
          <w:sz w:val="22"/>
          <w:szCs w:val="22"/>
          <w:lang w:val="es-ES" w:eastAsia="es-ES"/>
          <w14:ligatures w14:val="standardContextual"/>
        </w:rPr>
        <w:t>ELIMINAR</w:t>
      </w:r>
      <w:r w:rsidRPr="005318CE">
        <w:rPr>
          <w:rFonts w:ascii="Calibri" w:eastAsia="Calibri" w:hAnsi="Calibri" w:cs="Calibri"/>
          <w:color w:val="000000"/>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pero no mantener esta</w:t>
      </w:r>
      <w:r w:rsidRPr="005318CE">
        <w:rPr>
          <w:rFonts w:ascii="Calibri" w:eastAsia="Calibri" w:hAnsi="Calibri" w:cs="Calibri"/>
          <w:i/>
          <w:color w:val="70AD47"/>
          <w:kern w:val="2"/>
          <w:sz w:val="22"/>
          <w:szCs w:val="22"/>
          <w:lang w:val="es-ES" w:eastAsia="es-ES"/>
          <w14:ligatures w14:val="standardContextual"/>
        </w:rPr>
        <w:t xml:space="preserve"> </w:t>
      </w:r>
      <w:r w:rsidRPr="005318CE">
        <w:rPr>
          <w:rFonts w:ascii="Calibri" w:eastAsia="Calibri" w:hAnsi="Calibri" w:cs="Calibri"/>
          <w:i/>
          <w:color w:val="70AD47"/>
          <w:kern w:val="2"/>
          <w:sz w:val="22"/>
          <w:szCs w:val="22"/>
          <w:u w:val="single" w:color="70AD47"/>
          <w:lang w:val="es-ES" w:eastAsia="es-ES"/>
          <w14:ligatures w14:val="standardContextual"/>
        </w:rPr>
        <w:t>situación de forma indefinida</w:t>
      </w:r>
      <w:r w:rsidRPr="005318CE">
        <w:rPr>
          <w:rFonts w:ascii="Calibri" w:eastAsia="Calibri" w:hAnsi="Calibri" w:cs="Calibri"/>
          <w:i/>
          <w:color w:val="000000"/>
          <w:kern w:val="2"/>
          <w:sz w:val="22"/>
          <w:szCs w:val="22"/>
          <w:lang w:val="es-ES" w:eastAsia="es-ES"/>
          <w14:ligatures w14:val="standardContextual"/>
        </w:rPr>
        <w:t>. Parquenasa lleva en esta situación 18 años</w:t>
      </w:r>
      <w:r w:rsidRPr="005318CE">
        <w:rPr>
          <w:rFonts w:ascii="Calibri" w:eastAsia="Calibri" w:hAnsi="Calibri" w:cs="Calibri"/>
          <w:color w:val="000000"/>
          <w:kern w:val="2"/>
          <w:sz w:val="22"/>
          <w:szCs w:val="22"/>
          <w:lang w:val="es-ES" w:eastAsia="es-ES"/>
          <w14:ligatures w14:val="standardContextual"/>
        </w:rPr>
        <w:t xml:space="preserve">”. </w:t>
      </w:r>
    </w:p>
    <w:p w14:paraId="20CA70FC" w14:textId="77777777" w:rsidR="005318CE" w:rsidRPr="005318CE" w:rsidRDefault="005318CE" w:rsidP="005318CE">
      <w:pPr>
        <w:spacing w:after="278" w:line="287" w:lineRule="auto"/>
        <w:ind w:left="11" w:right="-12"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2.3.-</w:t>
      </w:r>
      <w:r w:rsidRPr="005318CE">
        <w:rPr>
          <w:rFonts w:ascii="Calibri" w:eastAsia="Calibri" w:hAnsi="Calibri" w:cs="Calibri"/>
          <w:color w:val="000000"/>
          <w:kern w:val="2"/>
          <w:sz w:val="22"/>
          <w:szCs w:val="22"/>
          <w:lang w:val="es-ES" w:eastAsia="es-ES"/>
          <w14:ligatures w14:val="standardContextual"/>
        </w:rPr>
        <w:t xml:space="preserve"> Con carácter general con relación a todos los préstamos, el Informe Provisional (Apéndice 2.2.1, pág. 15) reconoce que la inversión realizada por Sodena responde a una acción estratégica del Gobierno de Navarra, manifestando: “</w:t>
      </w:r>
      <w:r w:rsidRPr="005318CE">
        <w:rPr>
          <w:rFonts w:ascii="Calibri" w:eastAsia="Calibri" w:hAnsi="Calibri" w:cs="Calibri"/>
          <w:i/>
          <w:color w:val="000000"/>
          <w:kern w:val="2"/>
          <w:sz w:val="22"/>
          <w:szCs w:val="22"/>
          <w:lang w:val="es-ES" w:eastAsia="es-ES"/>
          <w14:ligatures w14:val="standardContextual"/>
        </w:rPr>
        <w:t>El proyecto de un parque de la naturaleza (Sendaviva) en el municipio de Arguedas fue iniciado y promovido por el Gobierno de Navarra con el objetivo fortalecer el sector turístico de Navarra</w:t>
      </w:r>
      <w:r w:rsidRPr="005318CE">
        <w:rPr>
          <w:rFonts w:ascii="Calibri" w:eastAsia="Calibri" w:hAnsi="Calibri" w:cs="Calibri"/>
          <w:color w:val="000000"/>
          <w:kern w:val="2"/>
          <w:sz w:val="22"/>
          <w:szCs w:val="22"/>
          <w:lang w:val="es-ES" w:eastAsia="es-ES"/>
          <w14:ligatures w14:val="standardContextual"/>
        </w:rPr>
        <w:t xml:space="preserve">”.  </w:t>
      </w:r>
    </w:p>
    <w:p w14:paraId="115D3C01"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Así pues, Sodena ha sido el instrumento del Gobierno de Navarra a través del cual se ha promovido e impulsado el citado parque, siendo una oferta turística y de ocio hoy consolidada en Navarra, que ha venido teniendo un importante impacto socioeconómico a lo largo de los años, que ha ido creciendo y justificando el apoyo financiero prestado a Parquenasa.  </w:t>
      </w:r>
    </w:p>
    <w:p w14:paraId="40D3BEA4"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A este respecto, importa poner de relieve que se vienen emitiendo anualmente, por consultoras especializadas en los sectores de ocio y turismo, los informes de impacto socio-económico, que evalúan y cuantifican periódicamente el impacto de Sendaviva para la Comunidad Foral de Navarra y que han sido aportados por Sodena a la Cámara de Comptos con carácter previo a la emisión de este Informe Provisional. </w:t>
      </w:r>
    </w:p>
    <w:p w14:paraId="16456FF9"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lastRenderedPageBreak/>
        <w:t xml:space="preserve">Así pues, Sendaviva se trata de un proyecto estratégico para el sector turístico y de ocio de la Comunidad Foral, que ha contado con las debidas autorizaciones del Gobierno de Navarra y del apoyo del Parlamento de Navarra.  </w:t>
      </w:r>
    </w:p>
    <w:p w14:paraId="00E5677F"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En línea con lo anteriormente apuntado, se sugiere sustituir el </w:t>
      </w:r>
      <w:r w:rsidRPr="005318CE">
        <w:rPr>
          <w:rFonts w:ascii="Calibri" w:eastAsia="Calibri" w:hAnsi="Calibri" w:cs="Calibri"/>
          <w:color w:val="000000"/>
          <w:kern w:val="2"/>
          <w:sz w:val="22"/>
          <w:szCs w:val="22"/>
          <w:u w:val="single" w:color="000000"/>
          <w:lang w:val="es-ES" w:eastAsia="es-ES"/>
          <w14:ligatures w14:val="standardContextual"/>
        </w:rPr>
        <w:t>penúl</w:t>
      </w:r>
      <w:r w:rsidRPr="005318CE">
        <w:rPr>
          <w:rFonts w:ascii="Calibri" w:eastAsia="Calibri" w:hAnsi="Calibri" w:cs="Calibri"/>
          <w:color w:val="000000"/>
          <w:kern w:val="2"/>
          <w:sz w:val="22"/>
          <w:szCs w:val="22"/>
          <w:lang w:val="es-ES" w:eastAsia="es-ES"/>
          <w14:ligatures w14:val="standardContextual"/>
        </w:rPr>
        <w:t>ti</w:t>
      </w:r>
      <w:r w:rsidRPr="005318CE">
        <w:rPr>
          <w:rFonts w:ascii="Calibri" w:eastAsia="Calibri" w:hAnsi="Calibri" w:cs="Calibri"/>
          <w:color w:val="000000"/>
          <w:kern w:val="2"/>
          <w:sz w:val="22"/>
          <w:szCs w:val="22"/>
          <w:u w:val="single" w:color="000000"/>
          <w:lang w:val="es-ES" w:eastAsia="es-ES"/>
          <w14:ligatures w14:val="standardContextual"/>
        </w:rPr>
        <w:t>mo párrafo de la pág. 22</w:t>
      </w:r>
      <w:r w:rsidRPr="005318CE">
        <w:rPr>
          <w:rFonts w:ascii="Calibri" w:eastAsia="Calibri" w:hAnsi="Calibri" w:cs="Calibri"/>
          <w:color w:val="000000"/>
          <w:kern w:val="2"/>
          <w:sz w:val="22"/>
          <w:szCs w:val="22"/>
          <w:lang w:val="es-ES" w:eastAsia="es-ES"/>
          <w14:ligatures w14:val="standardContextual"/>
        </w:rPr>
        <w:t xml:space="preserve">: </w:t>
      </w:r>
    </w:p>
    <w:p w14:paraId="7BC023E9" w14:textId="77777777" w:rsidR="005318CE" w:rsidRPr="005318CE" w:rsidRDefault="005318CE" w:rsidP="005318CE">
      <w:pPr>
        <w:spacing w:after="1" w:line="287" w:lineRule="auto"/>
        <w:ind w:left="704" w:right="-12"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w:t>
      </w:r>
      <w:r w:rsidRPr="005318CE">
        <w:rPr>
          <w:rFonts w:ascii="Calibri" w:eastAsia="Calibri" w:hAnsi="Calibri" w:cs="Calibri"/>
          <w:i/>
          <w:color w:val="000000"/>
          <w:kern w:val="2"/>
          <w:sz w:val="22"/>
          <w:szCs w:val="22"/>
          <w:u w:val="single" w:color="000000"/>
          <w:lang w:val="es-ES" w:eastAsia="es-ES"/>
          <w14:ligatures w14:val="standardContextual"/>
        </w:rPr>
        <w:t>Para Sodena</w:t>
      </w:r>
      <w:r w:rsidRPr="005318CE">
        <w:rPr>
          <w:rFonts w:ascii="Calibri" w:eastAsia="Calibri" w:hAnsi="Calibri" w:cs="Calibri"/>
          <w:i/>
          <w:color w:val="000000"/>
          <w:kern w:val="2"/>
          <w:sz w:val="22"/>
          <w:szCs w:val="22"/>
          <w:lang w:val="es-ES" w:eastAsia="es-ES"/>
          <w14:ligatures w14:val="standardContextual"/>
        </w:rPr>
        <w:t xml:space="preserve">, la razón de dicho apoyo financiero está basada en que Senda Viva es un proyecto que, desde el punto de vista socioeconómico, tiene impacto positivo y es rentable. Los resultados que arrojan los estudios de impacto socioeconómico que se vienen realizando de manera regular desde 2007, indican que Sendaviva ha ido creciendo en impacto y que su valor socioeconómico, </w:t>
      </w:r>
      <w:r w:rsidRPr="005318CE">
        <w:rPr>
          <w:rFonts w:ascii="Calibri" w:eastAsia="Calibri" w:hAnsi="Calibri" w:cs="Calibri"/>
          <w:i/>
          <w:color w:val="000000"/>
          <w:kern w:val="2"/>
          <w:sz w:val="22"/>
          <w:szCs w:val="22"/>
          <w:u w:val="single" w:color="000000"/>
          <w:lang w:val="es-ES" w:eastAsia="es-ES"/>
          <w14:ligatures w14:val="standardContextual"/>
        </w:rPr>
        <w:t>según Sodena</w:t>
      </w:r>
      <w:r w:rsidRPr="005318CE">
        <w:rPr>
          <w:rFonts w:ascii="Calibri" w:eastAsia="Calibri" w:hAnsi="Calibri" w:cs="Calibri"/>
          <w:i/>
          <w:color w:val="000000"/>
          <w:kern w:val="2"/>
          <w:sz w:val="22"/>
          <w:szCs w:val="22"/>
          <w:lang w:val="es-ES" w:eastAsia="es-ES"/>
          <w14:ligatures w14:val="standardContextual"/>
        </w:rPr>
        <w:t xml:space="preserve">, justifica la inversión realizada </w:t>
      </w:r>
    </w:p>
    <w:p w14:paraId="152EAB5E" w14:textId="77777777" w:rsidR="005318CE" w:rsidRPr="005318CE" w:rsidRDefault="005318CE" w:rsidP="005318CE">
      <w:pPr>
        <w:spacing w:after="0" w:line="536" w:lineRule="auto"/>
        <w:ind w:left="-14" w:right="4660" w:firstLine="708"/>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 (el subrayado es nuestro),  por otro con la siguiente redacción:   </w:t>
      </w:r>
    </w:p>
    <w:p w14:paraId="3A70EE9E" w14:textId="77777777" w:rsidR="005318CE" w:rsidRPr="005318CE" w:rsidRDefault="005318CE" w:rsidP="005318CE">
      <w:pPr>
        <w:spacing w:after="279" w:line="287" w:lineRule="auto"/>
        <w:ind w:left="704" w:right="-11"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w:t>
      </w:r>
      <w:r w:rsidRPr="005318CE">
        <w:rPr>
          <w:rFonts w:ascii="Calibri" w:eastAsia="Calibri" w:hAnsi="Calibri" w:cs="Calibri"/>
          <w:i/>
          <w:color w:val="4472C4"/>
          <w:kern w:val="2"/>
          <w:sz w:val="22"/>
          <w:szCs w:val="22"/>
          <w:u w:val="single" w:color="4472C4"/>
          <w:lang w:val="es-ES" w:eastAsia="es-ES"/>
          <w14:ligatures w14:val="standardContextual"/>
        </w:rPr>
        <w:t>El apoyo que Sodena ha venido prestando a Parquenasa ha tenido lugar en el marco de</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la política que, a través de diversas legislaturas, viene aplicando el Gobierno de Navarra,</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interesado en consolidar un proyecto estratégico para el turismo y el ocio en Navarra, y</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ello teniendo presente el impacto socio-económico, del mismo</w:t>
      </w:r>
      <w:r w:rsidRPr="005318CE">
        <w:rPr>
          <w:rFonts w:ascii="Calibri" w:eastAsia="Calibri" w:hAnsi="Calibri" w:cs="Calibri"/>
          <w:color w:val="000000"/>
          <w:kern w:val="2"/>
          <w:sz w:val="22"/>
          <w:szCs w:val="22"/>
          <w:lang w:val="es-ES" w:eastAsia="es-ES"/>
          <w14:ligatures w14:val="standardContextual"/>
        </w:rPr>
        <w:t xml:space="preserve">”.    </w:t>
      </w:r>
      <w:r w:rsidRPr="005318CE">
        <w:rPr>
          <w:rFonts w:ascii="Calibri" w:eastAsia="Calibri" w:hAnsi="Calibri" w:cs="Calibri"/>
          <w:b/>
          <w:color w:val="000000"/>
          <w:kern w:val="2"/>
          <w:sz w:val="22"/>
          <w:szCs w:val="22"/>
          <w:lang w:val="es-ES" w:eastAsia="es-ES"/>
          <w14:ligatures w14:val="standardContextual"/>
        </w:rPr>
        <w:t xml:space="preserve"> </w:t>
      </w:r>
    </w:p>
    <w:p w14:paraId="197F0974" w14:textId="77777777" w:rsidR="005318CE" w:rsidRPr="005318CE" w:rsidRDefault="005318CE" w:rsidP="005318CE">
      <w:pPr>
        <w:keepNext/>
        <w:keepLines/>
        <w:spacing w:after="308" w:line="259" w:lineRule="auto"/>
        <w:ind w:left="-4" w:hanging="10"/>
        <w:jc w:val="left"/>
        <w:outlineLvl w:val="1"/>
        <w:rPr>
          <w:rFonts w:ascii="Calibri" w:eastAsia="Calibri" w:hAnsi="Calibri" w:cs="Calibri"/>
          <w:b/>
          <w:color w:val="000000"/>
          <w:kern w:val="2"/>
          <w:sz w:val="22"/>
          <w:szCs w:val="22"/>
          <w:lang w:val="es-ES" w:eastAsia="es-ES"/>
          <w14:ligatures w14:val="standardContextual"/>
        </w:rPr>
      </w:pPr>
      <w:r w:rsidRPr="005318CE">
        <w:rPr>
          <w:rFonts w:ascii="Calibri" w:eastAsia="Calibri" w:hAnsi="Calibri" w:cs="Calibri"/>
          <w:b/>
          <w:color w:val="000000"/>
          <w:kern w:val="2"/>
          <w:sz w:val="22"/>
          <w:szCs w:val="22"/>
          <w:u w:val="single" w:color="000000"/>
          <w:lang w:val="es-ES" w:eastAsia="es-ES"/>
          <w14:ligatures w14:val="standardContextual"/>
        </w:rPr>
        <w:t>TERCERA</w:t>
      </w:r>
      <w:r w:rsidRPr="005318CE">
        <w:rPr>
          <w:rFonts w:ascii="Calibri" w:eastAsia="Calibri" w:hAnsi="Calibri" w:cs="Calibri"/>
          <w:b/>
          <w:color w:val="000000"/>
          <w:kern w:val="2"/>
          <w:sz w:val="22"/>
          <w:szCs w:val="22"/>
          <w:lang w:val="es-ES" w:eastAsia="es-ES"/>
          <w14:ligatures w14:val="standardContextual"/>
        </w:rPr>
        <w:t xml:space="preserve">.- DE LA CONVERSIÓN DE PARQUENASA EN SOCIEDAD PÚBLICA  </w:t>
      </w:r>
    </w:p>
    <w:p w14:paraId="399A69C1"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En el Informe Provisional se hacen varias alusiones a la eventual capitalización de los préstamos por parte de Sodena, mencionando los límites que resultan del contrato de financiación de 30 de diciembre de 2005 y de las sucesivas adendas a éste, que han venido formalizando Sodena, como prestamista, y la Sociedad, como prestataria.  </w:t>
      </w:r>
    </w:p>
    <w:p w14:paraId="73D7D6F2"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A este respecto, interesa poner de manifiesto que la capitalización de los citados préstamos y, en su caso, la conversión de Parquenasa en sociedad pública, no sólo hubiera requerido el cumplimiento de los requisitos establecidos en el citado contrato de financiación de 30 de diciembre de 2005, sino, además, la debida autorización del Gobierno de Navarra, conforme a la Ley Foral 1/1984, de 2 de enero, sobre Creación de la Sociedad de Desarrollo de Navarra (Sodena) y a la Ley Foral 14/2007, de 4 de abril, del Patrimonio de Navarra. </w:t>
      </w:r>
    </w:p>
    <w:p w14:paraId="3A5DE6D8"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Así pues, la actuación de Sodena ha sido coherente: (i) con el contrato de financiación de 30 de diciembre de 2005, que impedía adquirir la mayoría del capital social de Parquenasa; (ii) con la Ley Foral 1/1984, de 2 de enero, sobre la creación de la Sociedad de Desarrollo de Navarra (Sodena), que exige, en todo caso autorización del Gobierno de Navarra para la adquisición de una participación superior al 45 % del capital social; (iii) y, con la Ley Foral 14/2007, de 4 de abril, del Patrimonio de Navarra, que asimismo, exige la autorización del Gobierno de Navarra para la creación de una sociedad pública.  </w:t>
      </w:r>
    </w:p>
    <w:p w14:paraId="3F6DB9B8" w14:textId="77777777" w:rsidR="005318CE" w:rsidRPr="005318CE" w:rsidRDefault="005318CE" w:rsidP="005318CE">
      <w:pPr>
        <w:spacing w:after="280" w:line="288"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lastRenderedPageBreak/>
        <w:t xml:space="preserve">Asimismo, con base en lo expuesto en esta alegación, en el informe definitivo que se emita posteriormente se sugiere completar los siguientes párrafos en los términos que a continuación se exponen:  </w:t>
      </w:r>
    </w:p>
    <w:p w14:paraId="50291645" w14:textId="77777777" w:rsidR="005318CE" w:rsidRPr="005318CE" w:rsidRDefault="005318CE" w:rsidP="005318CE">
      <w:pPr>
        <w:numPr>
          <w:ilvl w:val="0"/>
          <w:numId w:val="50"/>
        </w:numPr>
        <w:spacing w:after="279" w:line="287" w:lineRule="auto"/>
        <w:ind w:right="-11" w:hanging="1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u w:val="single" w:color="000000"/>
          <w:lang w:val="es-ES" w:eastAsia="es-ES"/>
          <w14:ligatures w14:val="standardContextual"/>
        </w:rPr>
        <w:t>En la pág. 7, en el úl</w:t>
      </w:r>
      <w:r w:rsidRPr="005318CE">
        <w:rPr>
          <w:rFonts w:ascii="Calibri" w:eastAsia="Calibri" w:hAnsi="Calibri" w:cs="Calibri"/>
          <w:color w:val="000000"/>
          <w:kern w:val="2"/>
          <w:sz w:val="22"/>
          <w:szCs w:val="22"/>
          <w:lang w:val="es-ES" w:eastAsia="es-ES"/>
          <w14:ligatures w14:val="standardContextual"/>
        </w:rPr>
        <w:t>ti</w:t>
      </w:r>
      <w:r w:rsidRPr="005318CE">
        <w:rPr>
          <w:rFonts w:ascii="Calibri" w:eastAsia="Calibri" w:hAnsi="Calibri" w:cs="Calibri"/>
          <w:color w:val="000000"/>
          <w:kern w:val="2"/>
          <w:sz w:val="22"/>
          <w:szCs w:val="22"/>
          <w:u w:val="single" w:color="000000"/>
          <w:lang w:val="es-ES" w:eastAsia="es-ES"/>
          <w14:ligatures w14:val="standardContextual"/>
        </w:rPr>
        <w:t>mo párrafo</w:t>
      </w:r>
      <w:r w:rsidRPr="005318CE">
        <w:rPr>
          <w:rFonts w:ascii="Calibri" w:eastAsia="Calibri" w:hAnsi="Calibri" w:cs="Calibri"/>
          <w:color w:val="000000"/>
          <w:kern w:val="2"/>
          <w:sz w:val="22"/>
          <w:szCs w:val="22"/>
          <w:lang w:val="es-ES" w:eastAsia="es-ES"/>
          <w14:ligatures w14:val="standardContextual"/>
        </w:rPr>
        <w:t xml:space="preserve">: “(…) </w:t>
      </w:r>
      <w:r w:rsidRPr="005318CE">
        <w:rPr>
          <w:rFonts w:ascii="Calibri" w:eastAsia="Calibri" w:hAnsi="Calibri" w:cs="Calibri"/>
          <w:i/>
          <w:color w:val="4472C4"/>
          <w:kern w:val="2"/>
          <w:sz w:val="22"/>
          <w:szCs w:val="22"/>
          <w:u w:val="single" w:color="4472C4"/>
          <w:lang w:val="es-ES" w:eastAsia="es-ES"/>
          <w14:ligatures w14:val="standardContextual"/>
        </w:rPr>
        <w:t>Finalmente, hay que recordar que una</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participación de Sodena superior al 45 % hubiera requerido las debidas autorizaciones</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del Gobierno de Navarra, conforme a la Ley Foral 1/1984, de 2 de enero, sobre Creación</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de la Sociedad de Desarrollo de Navarra (Sodena) y a la Ley Foral 14/2007, de 4 de abril,</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del Patrimonio de Navarra”</w:t>
      </w:r>
      <w:r w:rsidRPr="005318CE">
        <w:rPr>
          <w:rFonts w:ascii="Calibri" w:eastAsia="Calibri" w:hAnsi="Calibri" w:cs="Calibri"/>
          <w:color w:val="000000"/>
          <w:kern w:val="2"/>
          <w:sz w:val="22"/>
          <w:szCs w:val="22"/>
          <w:lang w:val="es-ES" w:eastAsia="es-ES"/>
          <w14:ligatures w14:val="standardContextual"/>
        </w:rPr>
        <w:t xml:space="preserve">. </w:t>
      </w:r>
    </w:p>
    <w:p w14:paraId="53483127" w14:textId="77777777" w:rsidR="005318CE" w:rsidRPr="005318CE" w:rsidRDefault="005318CE" w:rsidP="005318CE">
      <w:pPr>
        <w:numPr>
          <w:ilvl w:val="0"/>
          <w:numId w:val="50"/>
        </w:numPr>
        <w:spacing w:after="279" w:line="287" w:lineRule="auto"/>
        <w:ind w:right="-11" w:hanging="1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u w:val="single" w:color="000000"/>
          <w:lang w:val="es-ES" w:eastAsia="es-ES"/>
          <w14:ligatures w14:val="standardContextual"/>
        </w:rPr>
        <w:t>En la pág.  9 (al final del párrafo 1º</w:t>
      </w:r>
      <w:r w:rsidRPr="005318CE">
        <w:rPr>
          <w:rFonts w:ascii="Calibri" w:eastAsia="Calibri" w:hAnsi="Calibri" w:cs="Calibri"/>
          <w:color w:val="000000"/>
          <w:kern w:val="2"/>
          <w:sz w:val="22"/>
          <w:szCs w:val="22"/>
          <w:lang w:val="es-ES" w:eastAsia="es-ES"/>
          <w14:ligatures w14:val="standardContextual"/>
        </w:rPr>
        <w:t>): “</w:t>
      </w:r>
      <w:r w:rsidRPr="005318CE">
        <w:rPr>
          <w:rFonts w:ascii="Calibri" w:eastAsia="Calibri" w:hAnsi="Calibri" w:cs="Calibri"/>
          <w:i/>
          <w:color w:val="000000"/>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lang w:val="es-ES" w:eastAsia="es-ES"/>
          <w14:ligatures w14:val="standardContextual"/>
        </w:rPr>
        <w:t>(</w:t>
      </w:r>
      <w:r w:rsidRPr="005318CE">
        <w:rPr>
          <w:rFonts w:ascii="Calibri" w:eastAsia="Calibri" w:hAnsi="Calibri" w:cs="Calibri"/>
          <w:i/>
          <w:color w:val="4472C4"/>
          <w:kern w:val="2"/>
          <w:sz w:val="22"/>
          <w:szCs w:val="22"/>
          <w:u w:val="single" w:color="4472C4"/>
          <w:lang w:val="es-ES" w:eastAsia="es-ES"/>
          <w14:ligatures w14:val="standardContextual"/>
        </w:rPr>
        <w:t>lo que, en todo caso, hubiera requerido la</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debida autorización del Gobierno de Navarra, conforme a la Ley Foral 1/1984, de 2 de</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enero, sobre Creación de la Sociedad de Desarrollo de Navarra (Sodena) y a la Ley Foral</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14/2007, de 4 de abril, del Patrimonio de Navarra y el cumplimiento de los requisitos del</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acuerdo de financiación de diciembre de 2005</w:t>
      </w:r>
      <w:r w:rsidRPr="005318CE">
        <w:rPr>
          <w:rFonts w:ascii="Calibri" w:eastAsia="Calibri" w:hAnsi="Calibri" w:cs="Calibri"/>
          <w:i/>
          <w:color w:val="4472C4"/>
          <w:kern w:val="2"/>
          <w:sz w:val="22"/>
          <w:szCs w:val="22"/>
          <w:lang w:val="es-ES" w:eastAsia="es-ES"/>
          <w14:ligatures w14:val="standardContextual"/>
        </w:rPr>
        <w:t>)</w:t>
      </w:r>
      <w:r w:rsidRPr="005318CE">
        <w:rPr>
          <w:rFonts w:ascii="Calibri" w:eastAsia="Calibri" w:hAnsi="Calibri" w:cs="Calibri"/>
          <w:i/>
          <w:color w:val="000000"/>
          <w:kern w:val="2"/>
          <w:sz w:val="22"/>
          <w:szCs w:val="22"/>
          <w:lang w:val="es-ES" w:eastAsia="es-ES"/>
          <w14:ligatures w14:val="standardContextual"/>
        </w:rPr>
        <w:t xml:space="preserve">”. </w:t>
      </w:r>
    </w:p>
    <w:p w14:paraId="13928814" w14:textId="77777777" w:rsidR="005318CE" w:rsidRPr="005318CE" w:rsidRDefault="005318CE" w:rsidP="005318CE">
      <w:pPr>
        <w:numPr>
          <w:ilvl w:val="0"/>
          <w:numId w:val="50"/>
        </w:numPr>
        <w:spacing w:after="279" w:line="287" w:lineRule="auto"/>
        <w:ind w:right="-11" w:hanging="1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Y, </w:t>
      </w:r>
      <w:r w:rsidRPr="005318CE">
        <w:rPr>
          <w:rFonts w:ascii="Calibri" w:eastAsia="Calibri" w:hAnsi="Calibri" w:cs="Calibri"/>
          <w:color w:val="000000"/>
          <w:kern w:val="2"/>
          <w:sz w:val="22"/>
          <w:szCs w:val="22"/>
          <w:u w:val="single" w:color="000000"/>
          <w:lang w:val="es-ES" w:eastAsia="es-ES"/>
          <w14:ligatures w14:val="standardContextual"/>
        </w:rPr>
        <w:t>en la misma pág. 9, al final del  4º párrafo</w:t>
      </w:r>
      <w:r w:rsidRPr="005318CE">
        <w:rPr>
          <w:rFonts w:ascii="Calibri" w:eastAsia="Calibri" w:hAnsi="Calibri" w:cs="Calibri"/>
          <w:color w:val="000000"/>
          <w:kern w:val="2"/>
          <w:sz w:val="22"/>
          <w:szCs w:val="22"/>
          <w:lang w:val="es-ES" w:eastAsia="es-ES"/>
          <w14:ligatures w14:val="standardContextual"/>
        </w:rPr>
        <w:t xml:space="preserve">: “(…) </w:t>
      </w:r>
      <w:r w:rsidRPr="005318CE">
        <w:rPr>
          <w:rFonts w:ascii="Calibri" w:eastAsia="Calibri" w:hAnsi="Calibri" w:cs="Calibri"/>
          <w:i/>
          <w:color w:val="4472C4"/>
          <w:kern w:val="2"/>
          <w:sz w:val="22"/>
          <w:szCs w:val="22"/>
          <w:u w:val="single" w:color="4472C4"/>
          <w:lang w:val="es-ES" w:eastAsia="es-ES"/>
          <w14:ligatures w14:val="standardContextual"/>
        </w:rPr>
        <w:t>En cualquier caso, la conversión de</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Parquenasa en sociedad pública requeriría las correspondientes autorizaciones del</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Gobierno de Navarra en cumplimiento de la Ley Foral 14/2007, de 4 de abril, del</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Patrimonio de Navarra y, solamente en el caso de que Sodena superase el porcentaje de</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participación del 45 % en el capital social de Parquenasa, de la Ley Foral 1/1984, de 2 de</w:t>
      </w:r>
      <w:r w:rsidRPr="005318CE">
        <w:rPr>
          <w:rFonts w:ascii="Calibri" w:eastAsia="Calibri" w:hAnsi="Calibri" w:cs="Calibri"/>
          <w:i/>
          <w:color w:val="4472C4"/>
          <w:kern w:val="2"/>
          <w:sz w:val="22"/>
          <w:szCs w:val="22"/>
          <w:lang w:val="es-ES" w:eastAsia="es-ES"/>
          <w14:ligatures w14:val="standardContextual"/>
        </w:rPr>
        <w:t xml:space="preserve"> </w:t>
      </w:r>
      <w:r w:rsidRPr="005318CE">
        <w:rPr>
          <w:rFonts w:ascii="Calibri" w:eastAsia="Calibri" w:hAnsi="Calibri" w:cs="Calibri"/>
          <w:i/>
          <w:color w:val="4472C4"/>
          <w:kern w:val="2"/>
          <w:sz w:val="22"/>
          <w:szCs w:val="22"/>
          <w:u w:val="single" w:color="4472C4"/>
          <w:lang w:val="es-ES" w:eastAsia="es-ES"/>
          <w14:ligatures w14:val="standardContextual"/>
        </w:rPr>
        <w:t>enero, sobre Creación de la Sociedad de Desarrollo de Navarra (Sodena)</w:t>
      </w:r>
      <w:r w:rsidRPr="005318CE">
        <w:rPr>
          <w:rFonts w:ascii="Calibri" w:eastAsia="Calibri" w:hAnsi="Calibri" w:cs="Calibri"/>
          <w:color w:val="000000"/>
          <w:kern w:val="2"/>
          <w:sz w:val="22"/>
          <w:szCs w:val="22"/>
          <w:lang w:val="es-ES" w:eastAsia="es-ES"/>
          <w14:ligatures w14:val="standardContextual"/>
        </w:rPr>
        <w:t xml:space="preserve">”. </w:t>
      </w:r>
    </w:p>
    <w:p w14:paraId="4764CC37"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En virtud de todo lo anteriormente expuesto,  </w:t>
      </w:r>
    </w:p>
    <w:p w14:paraId="00FB2F54"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b/>
          <w:color w:val="000000"/>
          <w:kern w:val="2"/>
          <w:sz w:val="22"/>
          <w:szCs w:val="22"/>
          <w:lang w:val="es-ES" w:eastAsia="es-ES"/>
          <w14:ligatures w14:val="standardContextual"/>
        </w:rPr>
        <w:t xml:space="preserve">SOLICITAMOS </w:t>
      </w:r>
      <w:r w:rsidRPr="005318CE">
        <w:rPr>
          <w:rFonts w:ascii="Calibri" w:eastAsia="Calibri" w:hAnsi="Calibri" w:cs="Calibri"/>
          <w:color w:val="000000"/>
          <w:kern w:val="2"/>
          <w:sz w:val="22"/>
          <w:szCs w:val="22"/>
          <w:lang w:val="es-ES" w:eastAsia="es-ES"/>
          <w14:ligatures w14:val="standardContextual"/>
        </w:rPr>
        <w:t xml:space="preserve">a la Cámara de Comptos de Navarra que, teniendo por presentado este escrito, se sirva admitirlo, teniendo por formuladas las presentes alegaciones al informe provisional de fiscalización sobre “Aportaciones financieras realizadas por Sodena a Parquenasa” (el Informe Provisional), a todos los efectos que sean oportunos y con el fin de que éstas sean contempladas en el informe definitivo que se emita posteriormente.  </w:t>
      </w:r>
    </w:p>
    <w:p w14:paraId="3F5358B9" w14:textId="77777777" w:rsidR="005318CE" w:rsidRPr="005318CE" w:rsidRDefault="005318CE" w:rsidP="005318CE">
      <w:pPr>
        <w:spacing w:after="282" w:line="287" w:lineRule="auto"/>
        <w:ind w:left="-4" w:hanging="10"/>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En Pamplona (Navarra), a 31 de octubre de 2023.  </w:t>
      </w:r>
    </w:p>
    <w:p w14:paraId="7B7F7551" w14:textId="77777777" w:rsidR="005318CE" w:rsidRPr="005318CE" w:rsidRDefault="005318CE" w:rsidP="005318CE">
      <w:pPr>
        <w:spacing w:after="177" w:line="259" w:lineRule="auto"/>
        <w:ind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1"/>
          <w:szCs w:val="22"/>
          <w:lang w:val="es-ES" w:eastAsia="es-ES"/>
          <w14:ligatures w14:val="standardContextual"/>
        </w:rPr>
        <w:t>La Directora de Inversiones de la Sociedad de Desarrollo de Navarra: Eugenia Lecumberri Alli</w:t>
      </w:r>
    </w:p>
    <w:p w14:paraId="63C48DFF" w14:textId="77777777" w:rsidR="005318CE" w:rsidRPr="005318CE" w:rsidRDefault="005318CE" w:rsidP="005318CE">
      <w:pPr>
        <w:spacing w:after="177" w:line="259" w:lineRule="auto"/>
        <w:ind w:firstLine="0"/>
        <w:jc w:val="left"/>
        <w:rPr>
          <w:rFonts w:ascii="Calibri" w:eastAsia="Calibri" w:hAnsi="Calibri" w:cs="Calibri"/>
          <w:color w:val="000000"/>
          <w:kern w:val="2"/>
          <w:sz w:val="22"/>
          <w:szCs w:val="22"/>
          <w:lang w:val="es-ES" w:eastAsia="es-ES"/>
          <w14:ligatures w14:val="standardContextual"/>
        </w:rPr>
      </w:pPr>
      <w:r w:rsidRPr="005318CE">
        <w:rPr>
          <w:rFonts w:ascii="Calibri" w:eastAsia="Calibri" w:hAnsi="Calibri" w:cs="Calibri"/>
          <w:color w:val="000000"/>
          <w:kern w:val="2"/>
          <w:sz w:val="22"/>
          <w:szCs w:val="22"/>
          <w:lang w:val="es-ES" w:eastAsia="es-ES"/>
          <w14:ligatures w14:val="standardContextual"/>
        </w:rPr>
        <w:t xml:space="preserve">El </w:t>
      </w:r>
      <w:r w:rsidRPr="005318CE">
        <w:rPr>
          <w:rFonts w:ascii="Calibri" w:eastAsia="Calibri" w:hAnsi="Calibri" w:cs="Calibri"/>
          <w:color w:val="000000"/>
          <w:kern w:val="2"/>
          <w:sz w:val="21"/>
          <w:szCs w:val="22"/>
          <w:lang w:val="es-ES" w:eastAsia="es-ES"/>
          <w14:ligatures w14:val="standardContextual"/>
        </w:rPr>
        <w:t>Director General de la Corporación Pública Empresarial de Navarra: Francisco Fernández Nistal</w:t>
      </w:r>
    </w:p>
    <w:p w14:paraId="165C58A9" w14:textId="77777777" w:rsidR="00156B78" w:rsidRDefault="00156B78">
      <w:pPr>
        <w:spacing w:after="0"/>
        <w:ind w:firstLine="0"/>
        <w:jc w:val="left"/>
        <w:rPr>
          <w:rFonts w:ascii="Arial" w:hAnsi="Arial"/>
          <w:i/>
          <w:iCs/>
          <w:color w:val="000000"/>
          <w:spacing w:val="10"/>
          <w:kern w:val="28"/>
          <w:sz w:val="25"/>
          <w:szCs w:val="26"/>
        </w:rPr>
      </w:pPr>
      <w:r>
        <w:br w:type="page"/>
      </w:r>
    </w:p>
    <w:p w14:paraId="6FC1FB0C" w14:textId="77777777" w:rsidR="00156B78" w:rsidRPr="000D06D2" w:rsidRDefault="00156B78" w:rsidP="000D06D2">
      <w:pPr>
        <w:pStyle w:val="atitulo1"/>
      </w:pPr>
      <w:bookmarkStart w:id="45" w:name="_Toc129330333"/>
      <w:bookmarkStart w:id="46" w:name="_Toc130198159"/>
      <w:bookmarkStart w:id="47" w:name="_Toc146195638"/>
      <w:bookmarkStart w:id="48" w:name="_Toc149803657"/>
      <w:r w:rsidRPr="000D06D2">
        <w:lastRenderedPageBreak/>
        <w:t>Contestación de la Cámara de Comptos a las alegaciones presentadas al Informe Provisional</w:t>
      </w:r>
      <w:bookmarkEnd w:id="45"/>
      <w:bookmarkEnd w:id="46"/>
      <w:bookmarkEnd w:id="47"/>
      <w:bookmarkEnd w:id="48"/>
    </w:p>
    <w:p w14:paraId="7FC8E947" w14:textId="77777777" w:rsidR="007F230B" w:rsidRPr="005761F0" w:rsidRDefault="007F230B" w:rsidP="007F230B">
      <w:pPr>
        <w:pStyle w:val="texto"/>
        <w:rPr>
          <w:sz w:val="25"/>
          <w:szCs w:val="25"/>
        </w:rPr>
      </w:pPr>
      <w:r w:rsidRPr="005761F0">
        <w:rPr>
          <w:sz w:val="25"/>
          <w:szCs w:val="25"/>
        </w:rPr>
        <w:t>Agradecemos las alegaciones presentadas de forma conjunta por los representantes de la sociedad pública “Sociedad de Desarrollo de Navarra, S.L.” (en adelante Sodena) y de la Corporación Pública Empresarial de Navarra, S.L. (en adelante CPEN). Estas alegaciones se incorporan al informe provisional, que se eleva a definitivo al considerar que no alteran su contenido, si bien esta Cámara quiere señalar, de cada una de las alegaciones, los siguientes aspectos:</w:t>
      </w:r>
    </w:p>
    <w:p w14:paraId="59AA349D" w14:textId="77777777" w:rsidR="007F230B" w:rsidRPr="005761F0" w:rsidRDefault="007F230B" w:rsidP="007F230B">
      <w:pPr>
        <w:pStyle w:val="texto"/>
        <w:numPr>
          <w:ilvl w:val="0"/>
          <w:numId w:val="45"/>
        </w:numPr>
        <w:tabs>
          <w:tab w:val="clear" w:pos="2835"/>
          <w:tab w:val="clear" w:pos="3969"/>
          <w:tab w:val="clear" w:pos="5103"/>
          <w:tab w:val="clear" w:pos="6237"/>
          <w:tab w:val="clear" w:pos="7371"/>
          <w:tab w:val="left" w:pos="480"/>
          <w:tab w:val="num" w:pos="600"/>
        </w:tabs>
        <w:rPr>
          <w:sz w:val="25"/>
          <w:szCs w:val="25"/>
        </w:rPr>
      </w:pPr>
      <w:r w:rsidRPr="005761F0">
        <w:rPr>
          <w:sz w:val="25"/>
          <w:szCs w:val="25"/>
        </w:rPr>
        <w:t>Respecto a la primera alegación</w:t>
      </w:r>
    </w:p>
    <w:p w14:paraId="71B1538F" w14:textId="77777777" w:rsidR="007F230B" w:rsidRPr="005761F0" w:rsidRDefault="007F230B" w:rsidP="007F230B">
      <w:pPr>
        <w:pStyle w:val="Prrafodelista"/>
        <w:numPr>
          <w:ilvl w:val="0"/>
          <w:numId w:val="46"/>
        </w:numPr>
        <w:spacing w:after="160" w:line="259" w:lineRule="auto"/>
        <w:jc w:val="both"/>
        <w:rPr>
          <w:sz w:val="25"/>
          <w:szCs w:val="25"/>
        </w:rPr>
      </w:pPr>
      <w:r w:rsidRPr="005761F0">
        <w:rPr>
          <w:sz w:val="25"/>
          <w:szCs w:val="25"/>
        </w:rPr>
        <w:t xml:space="preserve">En relación a la </w:t>
      </w:r>
      <w:r w:rsidRPr="005761F0">
        <w:rPr>
          <w:i/>
          <w:sz w:val="25"/>
          <w:szCs w:val="25"/>
        </w:rPr>
        <w:t>Orden EHA/733/2010, de 25 de marzo, por la que se aprueban aspectos contables que operan en determinadas circunstancias</w:t>
      </w:r>
      <w:r w:rsidRPr="005761F0">
        <w:rPr>
          <w:sz w:val="25"/>
          <w:szCs w:val="25"/>
        </w:rPr>
        <w:t>, que se cita en el texto, indicamos lo siguiente:</w:t>
      </w:r>
    </w:p>
    <w:p w14:paraId="3ADF7DB3" w14:textId="77777777" w:rsidR="007F230B" w:rsidRPr="005761F0" w:rsidRDefault="007F230B" w:rsidP="007F230B">
      <w:pPr>
        <w:pStyle w:val="texto"/>
        <w:rPr>
          <w:sz w:val="25"/>
          <w:szCs w:val="25"/>
        </w:rPr>
      </w:pPr>
      <w:r w:rsidRPr="005761F0">
        <w:rPr>
          <w:sz w:val="25"/>
          <w:szCs w:val="25"/>
        </w:rPr>
        <w:t xml:space="preserve">Se omite en el texto el título completo de la citada orden, siendo éste el siguiente: </w:t>
      </w:r>
      <w:r w:rsidRPr="005761F0">
        <w:rPr>
          <w:i/>
          <w:sz w:val="25"/>
          <w:szCs w:val="25"/>
        </w:rPr>
        <w:t xml:space="preserve">Orden EHA/733/2010, de 25 de marzo, por la que se aprueban aspectos contables de </w:t>
      </w:r>
      <w:r w:rsidRPr="005761F0">
        <w:rPr>
          <w:b/>
          <w:i/>
          <w:sz w:val="25"/>
          <w:szCs w:val="25"/>
        </w:rPr>
        <w:t>empresas públicas</w:t>
      </w:r>
      <w:r w:rsidRPr="005761F0">
        <w:rPr>
          <w:i/>
          <w:sz w:val="25"/>
          <w:szCs w:val="25"/>
        </w:rPr>
        <w:t xml:space="preserve"> que operan en determinadas circunstancias</w:t>
      </w:r>
      <w:r w:rsidRPr="005761F0">
        <w:rPr>
          <w:sz w:val="25"/>
          <w:szCs w:val="25"/>
        </w:rPr>
        <w:t xml:space="preserve">. Parquenasa es una sociedad mercantil privada, por lo que al carecer esta sociedad de la calificación jurídica de sociedad o empresa pública (según la Ley Foral 13/2007, de 4 de abril de la Hacienda Pública de Navarra y la Ley Foral 14/2007, de 4 de abril, del Patrimonio de Navarra), no forma parte del ámbito subjetivo aplicable de la citada orden. Consecuentemente, en opinión de esta Cámara esta orden no es aplicable a Parquenasa.  </w:t>
      </w:r>
    </w:p>
    <w:p w14:paraId="2AE61378" w14:textId="77777777" w:rsidR="007F230B" w:rsidRPr="005761F0" w:rsidRDefault="007F230B" w:rsidP="007F230B">
      <w:pPr>
        <w:pStyle w:val="texto"/>
        <w:rPr>
          <w:sz w:val="25"/>
          <w:szCs w:val="25"/>
        </w:rPr>
      </w:pPr>
      <w:r w:rsidRPr="005761F0">
        <w:rPr>
          <w:sz w:val="25"/>
          <w:szCs w:val="25"/>
        </w:rPr>
        <w:t xml:space="preserve">Los créditos pendientes de cobro de Parquenasa que figuran en las cuentas anuales de Sodena, están calificados como activos financieros a coste amortizado, por lo que la valoración al cierre de cada ejercicio debe realizarse de conformidad con la Norma de Valoración 9ª del Plan General de Contabilidad, no sobre la base del tratamiento contable que Parquenasa realiza respecto a sus activos materiales, máxime cuando la anteriormente citada orden ministerial no le resulta aplicable. </w:t>
      </w:r>
    </w:p>
    <w:p w14:paraId="5785BB75" w14:textId="77777777" w:rsidR="007F230B" w:rsidRPr="005761F0" w:rsidRDefault="007F230B" w:rsidP="007F230B">
      <w:pPr>
        <w:pStyle w:val="texto"/>
        <w:rPr>
          <w:sz w:val="25"/>
          <w:szCs w:val="25"/>
        </w:rPr>
      </w:pPr>
      <w:r w:rsidRPr="005761F0">
        <w:rPr>
          <w:sz w:val="25"/>
          <w:szCs w:val="25"/>
        </w:rPr>
        <w:t xml:space="preserve">Teniendo en cuenta la Norma de Valoración 9ª, y los hechos reconocidos tanto por Sodena como por la propia CPEN, como son la ausencia de un plan de viabilidad que tenga por objetivo la devolución de los préstamos y la propia situación financiera de Parquenasa, en las cuentas anuales de Sodena se debiera haber reflejado contablemente la correspondiente pérdida por deterioro de valor. </w:t>
      </w:r>
    </w:p>
    <w:p w14:paraId="407561AD" w14:textId="77777777" w:rsidR="007F230B" w:rsidRPr="005761F0" w:rsidRDefault="007F230B" w:rsidP="007F230B">
      <w:pPr>
        <w:pStyle w:val="Prrafodelista"/>
        <w:numPr>
          <w:ilvl w:val="0"/>
          <w:numId w:val="46"/>
        </w:numPr>
        <w:spacing w:after="160" w:line="259" w:lineRule="auto"/>
        <w:jc w:val="both"/>
        <w:rPr>
          <w:sz w:val="25"/>
          <w:szCs w:val="25"/>
        </w:rPr>
      </w:pPr>
      <w:r w:rsidRPr="005761F0">
        <w:rPr>
          <w:sz w:val="25"/>
          <w:szCs w:val="25"/>
        </w:rPr>
        <w:t xml:space="preserve">Sobre la referencia a que la Cámara nada apuntó acerca de la conveniencia o necesidad de registrar corrección valorativa alguna en las cuentas anuales de Sodena en nuestro informe “Inversiones financieras de la Sociedad de Desarrollo de Navarra en empresas participadas. 2002 a 2013”, indicamos tres cuestiones relevantes, que en modo alguno suponen la pretendida contradicción que se alega entre los dos informes de esta Cámara: </w:t>
      </w:r>
    </w:p>
    <w:p w14:paraId="72311272" w14:textId="77777777" w:rsidR="007F230B" w:rsidRPr="005761F0" w:rsidRDefault="007F230B" w:rsidP="007F230B">
      <w:pPr>
        <w:pStyle w:val="Prrafodelista"/>
        <w:numPr>
          <w:ilvl w:val="0"/>
          <w:numId w:val="47"/>
        </w:numPr>
        <w:spacing w:after="160" w:line="259" w:lineRule="auto"/>
        <w:jc w:val="both"/>
        <w:rPr>
          <w:sz w:val="25"/>
          <w:szCs w:val="25"/>
        </w:rPr>
      </w:pPr>
      <w:r w:rsidRPr="005761F0">
        <w:rPr>
          <w:sz w:val="25"/>
          <w:szCs w:val="25"/>
        </w:rPr>
        <w:t xml:space="preserve">El factor tiempo es un elemento importante en la valoración de la recuperabilidad de un instrumento financiero, como son los préstamos. El presente informe se </w:t>
      </w:r>
      <w:r w:rsidRPr="005761F0">
        <w:rPr>
          <w:sz w:val="25"/>
          <w:szCs w:val="25"/>
        </w:rPr>
        <w:lastRenderedPageBreak/>
        <w:t xml:space="preserve">realiza una vez han transcurrido 18 años desde el inicio de la concesión de préstamos por Sodena, sin que se haya devuelto por parte de Parquenasa importe alguno, a diferencia del anterior informe que se hizo ocho años después del citado inicio, y teniendo en cuenta que la apertura del parque al público fue en 2004. </w:t>
      </w:r>
    </w:p>
    <w:p w14:paraId="5F9D8F21" w14:textId="77777777" w:rsidR="007F230B" w:rsidRPr="005761F0" w:rsidRDefault="007F230B" w:rsidP="007F230B">
      <w:pPr>
        <w:pStyle w:val="Prrafodelista"/>
        <w:numPr>
          <w:ilvl w:val="0"/>
          <w:numId w:val="47"/>
        </w:numPr>
        <w:spacing w:after="160" w:line="259" w:lineRule="auto"/>
        <w:jc w:val="both"/>
        <w:rPr>
          <w:sz w:val="25"/>
          <w:szCs w:val="25"/>
        </w:rPr>
      </w:pPr>
      <w:r w:rsidRPr="005761F0">
        <w:rPr>
          <w:sz w:val="25"/>
          <w:szCs w:val="25"/>
        </w:rPr>
        <w:t>En la revisión de los expedientes a los que hemos tenido acceso, es la propia Intervención General del Gobierno de Navarra quien desde 2020, ha advertido y puesto de manifiesto, la ausencia de un plan de viabilidad sobre la recuperabilidad de los préstamos, calificando su recuperación como remota; hecho que constituye una novedad documental significativa y que hemos tenido en cuenta en nuestra fiscalización, tal y como se recoge en nuestro informe.</w:t>
      </w:r>
    </w:p>
    <w:p w14:paraId="3A88DE99" w14:textId="77777777" w:rsidR="007F230B" w:rsidRPr="005761F0" w:rsidRDefault="007F230B" w:rsidP="007F230B">
      <w:pPr>
        <w:pStyle w:val="Prrafodelista"/>
        <w:numPr>
          <w:ilvl w:val="0"/>
          <w:numId w:val="47"/>
        </w:numPr>
        <w:spacing w:after="160" w:line="259" w:lineRule="auto"/>
        <w:jc w:val="both"/>
        <w:rPr>
          <w:sz w:val="25"/>
          <w:szCs w:val="25"/>
        </w:rPr>
      </w:pPr>
      <w:r w:rsidRPr="005761F0">
        <w:rPr>
          <w:sz w:val="25"/>
          <w:szCs w:val="25"/>
        </w:rPr>
        <w:t>Por último, al menos desde 2016, la propia Sodena indica, en las solicitudes de autorización de concesión de préstamos tramitados ante el Gobierno de Navarra, que los préstamos a Parquenasa por los que se solicita a</w:t>
      </w:r>
      <w:r w:rsidR="00365721">
        <w:rPr>
          <w:sz w:val="25"/>
          <w:szCs w:val="25"/>
        </w:rPr>
        <w:t>u</w:t>
      </w:r>
      <w:r w:rsidRPr="005761F0">
        <w:rPr>
          <w:sz w:val="25"/>
          <w:szCs w:val="25"/>
        </w:rPr>
        <w:t xml:space="preserve">torización son considerados fallidos, hecho ya señalado en este informe. </w:t>
      </w:r>
    </w:p>
    <w:p w14:paraId="2FD065DB" w14:textId="77777777" w:rsidR="007F230B" w:rsidRPr="005761F0" w:rsidRDefault="007F230B" w:rsidP="007F230B">
      <w:pPr>
        <w:pStyle w:val="texto"/>
        <w:numPr>
          <w:ilvl w:val="0"/>
          <w:numId w:val="45"/>
        </w:numPr>
        <w:tabs>
          <w:tab w:val="clear" w:pos="2835"/>
          <w:tab w:val="clear" w:pos="3969"/>
          <w:tab w:val="clear" w:pos="5103"/>
          <w:tab w:val="clear" w:pos="6237"/>
          <w:tab w:val="clear" w:pos="7371"/>
          <w:tab w:val="left" w:pos="480"/>
        </w:tabs>
        <w:rPr>
          <w:sz w:val="25"/>
          <w:szCs w:val="25"/>
        </w:rPr>
      </w:pPr>
      <w:r w:rsidRPr="005761F0">
        <w:rPr>
          <w:sz w:val="25"/>
          <w:szCs w:val="25"/>
        </w:rPr>
        <w:t>Respecto a la segunda alegación</w:t>
      </w:r>
    </w:p>
    <w:p w14:paraId="68E046F7" w14:textId="77777777" w:rsidR="007F230B" w:rsidRPr="005761F0" w:rsidRDefault="007F230B" w:rsidP="007F230B">
      <w:pPr>
        <w:pStyle w:val="Prrafodelista"/>
        <w:numPr>
          <w:ilvl w:val="0"/>
          <w:numId w:val="46"/>
        </w:numPr>
        <w:spacing w:after="160" w:line="259" w:lineRule="auto"/>
        <w:jc w:val="both"/>
        <w:rPr>
          <w:sz w:val="25"/>
          <w:szCs w:val="25"/>
        </w:rPr>
      </w:pPr>
      <w:r w:rsidRPr="005761F0">
        <w:rPr>
          <w:sz w:val="25"/>
          <w:szCs w:val="25"/>
        </w:rPr>
        <w:t>En lo relativo al empleo del término “efectos mercantiles” en lugar de “efectos contables” que hemos utilizado, indicamos que en el análisis de los efectos que hemos efectuado de los préstamos participativos en Parquenasa, la propia Ley 16/2007, de 4 de julio, (que modifica el apartado d) del artículo 20 del Real Decreto Ley 7/1996 y que se refiere al caso que nos ocupa), se denomina de “</w:t>
      </w:r>
      <w:r w:rsidRPr="007F230B">
        <w:rPr>
          <w:i/>
          <w:sz w:val="25"/>
          <w:szCs w:val="25"/>
        </w:rPr>
        <w:t xml:space="preserve">reforma y adaptación de la legislación mercantil en </w:t>
      </w:r>
      <w:r w:rsidRPr="007F230B">
        <w:rPr>
          <w:i/>
          <w:sz w:val="25"/>
          <w:szCs w:val="25"/>
          <w:u w:val="single"/>
        </w:rPr>
        <w:t>materia contable</w:t>
      </w:r>
      <w:r w:rsidRPr="007F230B">
        <w:rPr>
          <w:i/>
          <w:sz w:val="25"/>
          <w:szCs w:val="25"/>
        </w:rPr>
        <w:t>”</w:t>
      </w:r>
      <w:r w:rsidRPr="005761F0">
        <w:rPr>
          <w:sz w:val="25"/>
          <w:szCs w:val="25"/>
        </w:rPr>
        <w:t xml:space="preserve">, por lo que la terminología empleada en nuestro informe es correcta. </w:t>
      </w:r>
    </w:p>
    <w:p w14:paraId="7F0F6BB6" w14:textId="77777777" w:rsidR="007F230B" w:rsidRPr="005761F0" w:rsidRDefault="007F230B" w:rsidP="007F230B">
      <w:pPr>
        <w:pStyle w:val="Prrafodelista"/>
        <w:numPr>
          <w:ilvl w:val="0"/>
          <w:numId w:val="46"/>
        </w:numPr>
        <w:spacing w:after="160" w:line="259" w:lineRule="auto"/>
        <w:jc w:val="both"/>
        <w:rPr>
          <w:sz w:val="25"/>
          <w:szCs w:val="25"/>
        </w:rPr>
      </w:pPr>
      <w:r w:rsidRPr="005761F0">
        <w:rPr>
          <w:sz w:val="25"/>
          <w:szCs w:val="25"/>
        </w:rPr>
        <w:t>En ningún momento nuestro informe, hace referencia alguna a la regulación del plazo de los préstamos participativos. Únicamente, esta Cámara ha resaltado que Parquenasa lleva en esta situación 18 años y, por lo tanto, la misma, no puede mantenerse de forma indefinida, dado que no consta medida alguna para su resolución.</w:t>
      </w:r>
    </w:p>
    <w:p w14:paraId="0DA41A3C" w14:textId="77777777" w:rsidR="007F230B" w:rsidRPr="005761F0" w:rsidRDefault="007F230B" w:rsidP="007F230B">
      <w:pPr>
        <w:pStyle w:val="Prrafodelista"/>
        <w:numPr>
          <w:ilvl w:val="0"/>
          <w:numId w:val="46"/>
        </w:numPr>
        <w:spacing w:after="160" w:line="259" w:lineRule="auto"/>
        <w:jc w:val="both"/>
        <w:rPr>
          <w:sz w:val="25"/>
          <w:szCs w:val="25"/>
        </w:rPr>
      </w:pPr>
      <w:r w:rsidRPr="005761F0">
        <w:rPr>
          <w:sz w:val="25"/>
          <w:szCs w:val="25"/>
        </w:rPr>
        <w:t>Más allá de la obviedad de la sucesión de diversas legislaturas durante el periodo fiscalizado, la última consideración no aporta nada relevante que altere las conclusiones de nuestro informe.</w:t>
      </w:r>
    </w:p>
    <w:p w14:paraId="6B8F1FAC" w14:textId="77777777" w:rsidR="007F230B" w:rsidRPr="007F230B" w:rsidRDefault="007F230B" w:rsidP="007F230B">
      <w:pPr>
        <w:pStyle w:val="texto"/>
        <w:numPr>
          <w:ilvl w:val="0"/>
          <w:numId w:val="45"/>
        </w:numPr>
        <w:tabs>
          <w:tab w:val="clear" w:pos="2835"/>
          <w:tab w:val="clear" w:pos="3969"/>
          <w:tab w:val="clear" w:pos="5103"/>
          <w:tab w:val="clear" w:pos="6237"/>
          <w:tab w:val="clear" w:pos="7371"/>
          <w:tab w:val="left" w:pos="480"/>
        </w:tabs>
        <w:rPr>
          <w:sz w:val="25"/>
          <w:szCs w:val="25"/>
        </w:rPr>
      </w:pPr>
      <w:r w:rsidRPr="005761F0">
        <w:rPr>
          <w:sz w:val="25"/>
          <w:szCs w:val="25"/>
        </w:rPr>
        <w:t xml:space="preserve">Respecto a la tercera alegación, las referencias al cumplimiento de determinados requisitos exigidos en la Ley Foral 1/1984 de creación de la Sociedad de Desarrollo de Navarra, y en la Ley Foral 14/2007, del Patrimonio de Navarra, ya han </w:t>
      </w:r>
      <w:r w:rsidRPr="007F230B">
        <w:rPr>
          <w:sz w:val="25"/>
          <w:szCs w:val="25"/>
        </w:rPr>
        <w:t>sido comentadas en diversos apartados del informe.</w:t>
      </w:r>
    </w:p>
    <w:p w14:paraId="6CBF0C4F" w14:textId="77777777" w:rsidR="00156B78" w:rsidRPr="007F230B" w:rsidRDefault="007F230B" w:rsidP="007F230B">
      <w:pPr>
        <w:pStyle w:val="texto"/>
      </w:pPr>
      <w:r w:rsidRPr="007F230B">
        <w:rPr>
          <w:b/>
          <w:sz w:val="25"/>
          <w:szCs w:val="25"/>
        </w:rPr>
        <w:t>Para finalizar</w:t>
      </w:r>
      <w:r w:rsidRPr="007F230B">
        <w:rPr>
          <w:sz w:val="25"/>
          <w:szCs w:val="25"/>
        </w:rPr>
        <w:t>, y más allá de las cuestiones contables, esta Cámara considera necesario incidir en que no es razonable que una sociedad mercantil privada, que gestiona una actividad con impacto socio económico relevante en la zona, aspecto éste que no hemos cuestionado, sea sostenida en su totalidad con fondos públi</w:t>
      </w:r>
      <w:r w:rsidRPr="007F230B">
        <w:rPr>
          <w:szCs w:val="25"/>
        </w:rPr>
        <w:t>cos.</w:t>
      </w:r>
    </w:p>
    <w:sectPr w:rsidR="00156B78" w:rsidRPr="007F230B" w:rsidSect="002076D6">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DDC1" w14:textId="77777777" w:rsidR="00D86AAC" w:rsidRDefault="00D86AAC">
      <w:r>
        <w:separator/>
      </w:r>
    </w:p>
    <w:p w14:paraId="2FC53996" w14:textId="77777777" w:rsidR="00D86AAC" w:rsidRDefault="00D86AAC"/>
    <w:p w14:paraId="3C3F0EBA" w14:textId="77777777" w:rsidR="00D86AAC" w:rsidRDefault="00D86AAC"/>
    <w:p w14:paraId="5A24CA3D" w14:textId="77777777" w:rsidR="00D86AAC" w:rsidRDefault="00D86AAC"/>
  </w:endnote>
  <w:endnote w:type="continuationSeparator" w:id="0">
    <w:p w14:paraId="5D3860DC" w14:textId="77777777" w:rsidR="00D86AAC" w:rsidRDefault="00D86AAC">
      <w:r>
        <w:continuationSeparator/>
      </w:r>
    </w:p>
    <w:p w14:paraId="56E8B2A9" w14:textId="77777777" w:rsidR="00D86AAC" w:rsidRDefault="00D86AAC"/>
    <w:p w14:paraId="381AD5F6" w14:textId="77777777" w:rsidR="00D86AAC" w:rsidRDefault="00D86AAC"/>
    <w:p w14:paraId="788F0CAA" w14:textId="77777777" w:rsidR="00D86AAC" w:rsidRDefault="00D86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0A8D" w14:textId="77777777" w:rsidR="00D86AAC" w:rsidRDefault="00D86AA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87BD81" w14:textId="77777777" w:rsidR="00D86AAC" w:rsidRDefault="00D86AAC"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C92B" w14:textId="77777777" w:rsidR="00D86AAC" w:rsidRPr="00F03814" w:rsidRDefault="00D86AA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50E9B0C" wp14:editId="3C5ED2BB">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75CE5494" w14:textId="77777777" w:rsidR="00D86AAC" w:rsidRPr="00F74E38" w:rsidRDefault="00D86AAC"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2839" w14:textId="77777777" w:rsidR="00D86AAC" w:rsidRDefault="00D86AAC"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525F" w14:textId="77777777" w:rsidR="00D86AAC" w:rsidRDefault="00D86AAC" w:rsidP="00DF2666">
    <w:pPr>
      <w:pStyle w:val="BorradorProvisional"/>
      <w:spacing w:before="120" w:line="240" w:lineRule="atLeast"/>
      <w:ind w:left="0"/>
      <w:jc w:val="center"/>
    </w:pPr>
  </w:p>
  <w:p w14:paraId="7EBFDB54" w14:textId="77777777" w:rsidR="00D86AAC" w:rsidRPr="00861CCC" w:rsidRDefault="00D86AAC" w:rsidP="00F87E58">
    <w:pPr>
      <w:pStyle w:val="Piedepgina"/>
      <w:tabs>
        <w:tab w:val="clear" w:pos="4252"/>
        <w:tab w:val="clear" w:pos="8504"/>
        <w:tab w:val="center" w:pos="4440"/>
      </w:tabs>
      <w:spacing w:after="0"/>
      <w:ind w:right="29"/>
      <w:jc w:val="center"/>
      <w:rPr>
        <w:rFonts w:ascii="Trajan" w:hAnsi="Trajan"/>
        <w:sz w:val="24"/>
        <w:szCs w:val="24"/>
      </w:rPr>
    </w:pPr>
    <w:r w:rsidRPr="00861CCC">
      <w:rPr>
        <w:rStyle w:val="Nmerodepgina"/>
        <w:szCs w:val="24"/>
      </w:rPr>
      <w:t xml:space="preserve">- </w:t>
    </w:r>
    <w:r w:rsidRPr="00861CCC">
      <w:rPr>
        <w:rStyle w:val="Nmerodepgina"/>
        <w:szCs w:val="24"/>
      </w:rPr>
      <w:fldChar w:fldCharType="begin"/>
    </w:r>
    <w:r w:rsidRPr="00861CCC">
      <w:rPr>
        <w:rStyle w:val="Nmerodepgina"/>
        <w:szCs w:val="24"/>
      </w:rPr>
      <w:instrText xml:space="preserve"> PAGE </w:instrText>
    </w:r>
    <w:r w:rsidRPr="00861CCC">
      <w:rPr>
        <w:rStyle w:val="Nmerodepgina"/>
        <w:szCs w:val="24"/>
      </w:rPr>
      <w:fldChar w:fldCharType="separate"/>
    </w:r>
    <w:r w:rsidR="00D32AC1">
      <w:rPr>
        <w:rStyle w:val="Nmerodepgina"/>
        <w:noProof/>
        <w:szCs w:val="24"/>
      </w:rPr>
      <w:t>5</w:t>
    </w:r>
    <w:r w:rsidRPr="00861CCC">
      <w:rPr>
        <w:rStyle w:val="Nmerodepgina"/>
        <w:szCs w:val="24"/>
      </w:rPr>
      <w:fldChar w:fldCharType="end"/>
    </w:r>
    <w:r w:rsidRPr="00861CCC">
      <w:rPr>
        <w:rStyle w:val="Nmerodepgina"/>
        <w:szCs w:val="24"/>
      </w:rPr>
      <w:t xml:space="preserve"> -</w:t>
    </w:r>
  </w:p>
  <w:p w14:paraId="214E1709" w14:textId="77777777" w:rsidR="00D86AAC" w:rsidRPr="00F4525A" w:rsidRDefault="00D86AAC" w:rsidP="00F87E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1078" w14:textId="77777777" w:rsidR="00D86AAC" w:rsidRDefault="00D86AAC">
      <w:r>
        <w:separator/>
      </w:r>
    </w:p>
  </w:footnote>
  <w:footnote w:type="continuationSeparator" w:id="0">
    <w:p w14:paraId="75D1AC8D" w14:textId="77777777" w:rsidR="00D86AAC" w:rsidRDefault="00D86AAC">
      <w:r>
        <w:continuationSeparator/>
      </w:r>
    </w:p>
    <w:p w14:paraId="07D5915E" w14:textId="77777777" w:rsidR="00D86AAC" w:rsidRDefault="00D86AAC"/>
    <w:p w14:paraId="2736653E" w14:textId="77777777" w:rsidR="00D86AAC" w:rsidRDefault="00D86AAC"/>
    <w:p w14:paraId="6CD6C7CC" w14:textId="77777777" w:rsidR="00D86AAC" w:rsidRDefault="00D86AAC"/>
  </w:footnote>
  <w:footnote w:id="1">
    <w:p w14:paraId="4380C053" w14:textId="77777777" w:rsidR="00D86AAC" w:rsidRPr="0097255E" w:rsidRDefault="00D86AAC" w:rsidP="00F87E58">
      <w:pPr>
        <w:pStyle w:val="Textonotapie"/>
        <w:rPr>
          <w:sz w:val="20"/>
          <w:szCs w:val="20"/>
          <w:lang w:val="es-ES_tradnl"/>
        </w:rPr>
      </w:pPr>
      <w:r w:rsidRPr="0097255E">
        <w:rPr>
          <w:rStyle w:val="Refdenotaalpie"/>
          <w:sz w:val="20"/>
          <w:szCs w:val="20"/>
        </w:rPr>
        <w:footnoteRef/>
      </w:r>
      <w:r w:rsidRPr="0097255E">
        <w:rPr>
          <w:sz w:val="20"/>
          <w:szCs w:val="20"/>
        </w:rPr>
        <w:t xml:space="preserve"> </w:t>
      </w:r>
      <w:r w:rsidRPr="0097255E">
        <w:rPr>
          <w:sz w:val="20"/>
          <w:szCs w:val="20"/>
          <w:lang w:val="es-ES_tradnl"/>
        </w:rPr>
        <w:t>Actualmente es de 12 años, según la Ley Foral 30/2018, de 27 de diciembre</w:t>
      </w:r>
      <w:r>
        <w:rPr>
          <w:sz w:val="20"/>
          <w:szCs w:val="20"/>
          <w:lang w:val="es-ES_tradnl"/>
        </w:rPr>
        <w:t>.</w:t>
      </w:r>
    </w:p>
  </w:footnote>
  <w:footnote w:id="2">
    <w:p w14:paraId="3D5F0499" w14:textId="77777777" w:rsidR="00D86AAC" w:rsidRPr="00C372CC" w:rsidRDefault="00D86AAC">
      <w:pPr>
        <w:pStyle w:val="Textonotapie"/>
        <w:rPr>
          <w:lang w:val="es-ES_tradnl"/>
        </w:rPr>
      </w:pPr>
      <w:r w:rsidRPr="00C372CC">
        <w:rPr>
          <w:rStyle w:val="Refdenotaalpie"/>
        </w:rPr>
        <w:footnoteRef/>
      </w:r>
      <w:r w:rsidRPr="00C372CC">
        <w:t xml:space="preserve"> </w:t>
      </w:r>
      <w:r w:rsidRPr="00C372CC">
        <w:rPr>
          <w:sz w:val="20"/>
          <w:szCs w:val="20"/>
          <w:lang w:val="es-ES_tradnl"/>
        </w:rPr>
        <w:t>En fecha 30 de septiembre de 2022, la sociedad Cofor Navarra S.L.U. se extingue como consecuencia de la operación de fusión por absorción por la sociedad “La Información S.A.”</w:t>
      </w:r>
    </w:p>
  </w:footnote>
  <w:footnote w:id="3">
    <w:p w14:paraId="01403043" w14:textId="77777777" w:rsidR="00D86AAC" w:rsidRPr="004110E8" w:rsidRDefault="00D86AAC" w:rsidP="00F87E58">
      <w:pPr>
        <w:pStyle w:val="Textonotapie"/>
        <w:rPr>
          <w:sz w:val="20"/>
          <w:szCs w:val="20"/>
          <w:lang w:val="es-ES_tradnl"/>
        </w:rPr>
      </w:pPr>
      <w:r w:rsidRPr="004110E8">
        <w:rPr>
          <w:rStyle w:val="Refdenotaalpie"/>
          <w:sz w:val="20"/>
          <w:szCs w:val="20"/>
        </w:rPr>
        <w:footnoteRef/>
      </w:r>
      <w:r w:rsidRPr="004110E8">
        <w:rPr>
          <w:sz w:val="20"/>
          <w:szCs w:val="20"/>
        </w:rPr>
        <w:t xml:space="preserve"> </w:t>
      </w:r>
      <w:r w:rsidRPr="004110E8">
        <w:rPr>
          <w:sz w:val="20"/>
          <w:szCs w:val="20"/>
          <w:lang w:val="es-ES_tradnl"/>
        </w:rPr>
        <w:t xml:space="preserve">Se habían concedido créditos a Parquenasa por el Banco Vasconia por 10,5 millones, y por Caja Navarra 3,5 millones. </w:t>
      </w:r>
    </w:p>
  </w:footnote>
  <w:footnote w:id="4">
    <w:p w14:paraId="1688232E" w14:textId="77777777" w:rsidR="00D86AAC" w:rsidRPr="004110E8" w:rsidRDefault="00D86AAC" w:rsidP="00F87E58">
      <w:pPr>
        <w:pStyle w:val="Textonotapie"/>
        <w:rPr>
          <w:sz w:val="20"/>
          <w:szCs w:val="20"/>
          <w:lang w:val="es-ES_tradnl"/>
        </w:rPr>
      </w:pPr>
      <w:r w:rsidRPr="004110E8">
        <w:rPr>
          <w:rStyle w:val="Refdenotaalpie"/>
          <w:sz w:val="20"/>
          <w:szCs w:val="20"/>
        </w:rPr>
        <w:footnoteRef/>
      </w:r>
      <w:r w:rsidRPr="004110E8">
        <w:rPr>
          <w:sz w:val="20"/>
          <w:szCs w:val="20"/>
        </w:rPr>
        <w:t xml:space="preserve"> Resultados antes de intereses, impuestos, depreciaciones y amortizaciones</w:t>
      </w:r>
      <w:r>
        <w:rPr>
          <w:sz w:val="20"/>
          <w:szCs w:val="20"/>
        </w:rPr>
        <w:t>.</w:t>
      </w:r>
    </w:p>
  </w:footnote>
  <w:footnote w:id="5">
    <w:p w14:paraId="7FBA4EF6" w14:textId="77777777" w:rsidR="00D86AAC" w:rsidRPr="00A11E69" w:rsidRDefault="00D86AAC" w:rsidP="00F87E58">
      <w:pPr>
        <w:pStyle w:val="Textonotapie"/>
        <w:rPr>
          <w:lang w:val="es-ES_tradnl"/>
        </w:rPr>
      </w:pPr>
      <w:r>
        <w:rPr>
          <w:rStyle w:val="Refdenotaalpie"/>
        </w:rPr>
        <w:footnoteRef/>
      </w:r>
      <w:r>
        <w:t xml:space="preserve"> </w:t>
      </w:r>
      <w:r w:rsidRPr="00A11E69">
        <w:rPr>
          <w:sz w:val="20"/>
          <w:szCs w:val="20"/>
          <w:lang w:val="es-ES_tradnl"/>
        </w:rPr>
        <w:t>Informes de la Intervención General del Gobierno de Navarra de fechas 12/05/2020, 26/01/2021 y 08/03/2022</w:t>
      </w:r>
      <w:r>
        <w:rPr>
          <w:sz w:val="20"/>
          <w:szCs w:val="20"/>
          <w:lang w:val="es-ES_tradnl"/>
        </w:rPr>
        <w:t>.</w:t>
      </w:r>
    </w:p>
  </w:footnote>
  <w:footnote w:id="6">
    <w:p w14:paraId="29742200" w14:textId="77777777" w:rsidR="00D86AAC" w:rsidRPr="00686962" w:rsidRDefault="00D86AAC" w:rsidP="00F87E58">
      <w:pPr>
        <w:pStyle w:val="Textonotapie"/>
        <w:rPr>
          <w:lang w:val="es-ES_tradnl"/>
        </w:rPr>
      </w:pPr>
      <w:r>
        <w:rPr>
          <w:rStyle w:val="Refdenotaalpie"/>
        </w:rPr>
        <w:footnoteRef/>
      </w:r>
      <w:r>
        <w:t xml:space="preserve"> </w:t>
      </w:r>
      <w:r w:rsidRPr="00686962">
        <w:rPr>
          <w:sz w:val="20"/>
          <w:szCs w:val="20"/>
          <w:lang w:val="es-ES_tradnl"/>
        </w:rPr>
        <w:t>Información facilitada por Sodena</w:t>
      </w:r>
      <w:r>
        <w:rPr>
          <w:sz w:val="20"/>
          <w:szCs w:val="20"/>
          <w:lang w:val="es-ES_tradnl"/>
        </w:rPr>
        <w:t>.</w:t>
      </w:r>
    </w:p>
  </w:footnote>
  <w:footnote w:id="7">
    <w:p w14:paraId="67492826" w14:textId="77777777" w:rsidR="00D86AAC" w:rsidRPr="005E1A72" w:rsidRDefault="00D86AAC" w:rsidP="00F87E58">
      <w:pPr>
        <w:pStyle w:val="Textonotapie"/>
        <w:rPr>
          <w:sz w:val="20"/>
          <w:szCs w:val="20"/>
          <w:lang w:val="es-ES_tradnl"/>
        </w:rPr>
      </w:pPr>
      <w:r w:rsidRPr="005E1A72">
        <w:rPr>
          <w:rStyle w:val="Refdenotaalpie"/>
          <w:sz w:val="20"/>
          <w:szCs w:val="20"/>
        </w:rPr>
        <w:footnoteRef/>
      </w:r>
      <w:r w:rsidRPr="005E1A72">
        <w:rPr>
          <w:sz w:val="20"/>
          <w:szCs w:val="20"/>
        </w:rPr>
        <w:t xml:space="preserve"> </w:t>
      </w:r>
      <w:r w:rsidRPr="002C7AEA">
        <w:rPr>
          <w:sz w:val="18"/>
          <w:szCs w:val="18"/>
          <w:lang w:val="es-ES_tradnl"/>
        </w:rPr>
        <w:t>Préstamo concedido por Banco Vasconia a Parquenasa para la construcción del parque</w:t>
      </w:r>
      <w:r w:rsidRPr="005E1A72">
        <w:rPr>
          <w:sz w:val="20"/>
          <w:szCs w:val="20"/>
          <w:lang w:val="es-ES_tradnl"/>
        </w:rPr>
        <w:t>.</w:t>
      </w:r>
    </w:p>
  </w:footnote>
  <w:footnote w:id="8">
    <w:p w14:paraId="7C9624F3" w14:textId="77777777" w:rsidR="00D86AAC" w:rsidRPr="00045BCE" w:rsidRDefault="00D86AAC" w:rsidP="00F87E58">
      <w:pPr>
        <w:pStyle w:val="Textonotapie"/>
        <w:rPr>
          <w:lang w:val="es-ES_tradnl"/>
        </w:rPr>
      </w:pPr>
      <w:r w:rsidRPr="005E1A72">
        <w:rPr>
          <w:rStyle w:val="Refdenotaalpie"/>
          <w:sz w:val="20"/>
          <w:szCs w:val="20"/>
        </w:rPr>
        <w:footnoteRef/>
      </w:r>
      <w:r w:rsidRPr="005E1A72">
        <w:rPr>
          <w:sz w:val="20"/>
          <w:szCs w:val="20"/>
        </w:rPr>
        <w:t xml:space="preserve"> </w:t>
      </w:r>
      <w:r w:rsidRPr="002C7AEA">
        <w:rPr>
          <w:sz w:val="18"/>
          <w:szCs w:val="18"/>
          <w:lang w:val="es-ES_tradnl"/>
        </w:rPr>
        <w:t>Préstamo concedido por Caja Navarra a Parquenasa para la construcción del parque</w:t>
      </w:r>
      <w:r w:rsidRPr="005E1A72">
        <w:rPr>
          <w:sz w:val="20"/>
          <w:szCs w:val="20"/>
          <w:lang w:val="es-ES_tradnl"/>
        </w:rPr>
        <w:t>.</w:t>
      </w:r>
    </w:p>
  </w:footnote>
  <w:footnote w:id="9">
    <w:p w14:paraId="271474BE" w14:textId="77777777" w:rsidR="00D86AAC" w:rsidRPr="005E1A72" w:rsidRDefault="00D86AAC" w:rsidP="00F87E58">
      <w:pPr>
        <w:pStyle w:val="Textonotapie"/>
        <w:rPr>
          <w:sz w:val="18"/>
          <w:szCs w:val="18"/>
          <w:lang w:val="es-ES_tradnl"/>
        </w:rPr>
      </w:pPr>
      <w:r w:rsidRPr="005E1A72">
        <w:rPr>
          <w:rStyle w:val="Refdenotaalpie"/>
          <w:sz w:val="18"/>
          <w:szCs w:val="18"/>
        </w:rPr>
        <w:footnoteRef/>
      </w:r>
      <w:r w:rsidRPr="005E1A72">
        <w:rPr>
          <w:sz w:val="18"/>
          <w:szCs w:val="18"/>
        </w:rPr>
        <w:t xml:space="preserve"> </w:t>
      </w:r>
      <w:r w:rsidRPr="005E1A72">
        <w:rPr>
          <w:sz w:val="18"/>
          <w:szCs w:val="18"/>
          <w:lang w:val="es-ES_tradnl"/>
        </w:rPr>
        <w:t>Artículo 20.d del Real Decreto Ley 7/1996, de 7 junio, de medidas urgentes de carácter fiscal y de fomento y liberalización de la actividad económica, modificado por la Ley 16/2007, de 4 de julio, de reforma y adaptación de la legislación mercantil en materia contable para su armonización internacional con base a la normativa de la Unión Europea</w:t>
      </w:r>
      <w:r>
        <w:rPr>
          <w:sz w:val="18"/>
          <w:szCs w:val="18"/>
          <w:lang w:val="es-ES_tradnl"/>
        </w:rPr>
        <w:t>.</w:t>
      </w:r>
    </w:p>
  </w:footnote>
  <w:footnote w:id="10">
    <w:p w14:paraId="56CF573E" w14:textId="77777777" w:rsidR="00D86AAC" w:rsidRPr="005E1A72" w:rsidRDefault="00D86AAC" w:rsidP="00F87E58">
      <w:pPr>
        <w:pStyle w:val="Textonotapie"/>
        <w:rPr>
          <w:sz w:val="18"/>
          <w:szCs w:val="18"/>
          <w:lang w:val="es-ES_tradnl"/>
        </w:rPr>
      </w:pPr>
      <w:r w:rsidRPr="005E1A72">
        <w:rPr>
          <w:rStyle w:val="Refdenotaalpie"/>
          <w:sz w:val="18"/>
          <w:szCs w:val="18"/>
        </w:rPr>
        <w:footnoteRef/>
      </w:r>
      <w:r w:rsidRPr="005E1A72">
        <w:rPr>
          <w:sz w:val="18"/>
          <w:szCs w:val="18"/>
        </w:rPr>
        <w:t xml:space="preserve"> </w:t>
      </w:r>
      <w:r w:rsidRPr="005E1A72">
        <w:rPr>
          <w:sz w:val="18"/>
          <w:szCs w:val="18"/>
          <w:lang w:val="es-ES_tradnl"/>
        </w:rPr>
        <w:t>Artículo 363 del Real Decreto Legislativo 1/2010, de 2 de julio, por el que se aprueba el texto refundido de la Ley de Sociedades de Capital.</w:t>
      </w:r>
    </w:p>
  </w:footnote>
  <w:footnote w:id="11">
    <w:p w14:paraId="6B52C488" w14:textId="77777777" w:rsidR="00D86AAC" w:rsidRPr="000F0192" w:rsidRDefault="00D86AAC" w:rsidP="00F87E58">
      <w:pPr>
        <w:pStyle w:val="Textonotapie"/>
        <w:rPr>
          <w:sz w:val="20"/>
          <w:szCs w:val="20"/>
          <w:lang w:val="es-ES_tradnl"/>
        </w:rPr>
      </w:pPr>
      <w:r w:rsidRPr="000F0192">
        <w:rPr>
          <w:rStyle w:val="Refdenotaalpie"/>
          <w:sz w:val="20"/>
          <w:szCs w:val="20"/>
        </w:rPr>
        <w:footnoteRef/>
      </w:r>
      <w:r w:rsidRPr="000F0192">
        <w:rPr>
          <w:sz w:val="20"/>
          <w:szCs w:val="20"/>
        </w:rPr>
        <w:t xml:space="preserve"> </w:t>
      </w:r>
      <w:r w:rsidRPr="000F0192">
        <w:rPr>
          <w:sz w:val="20"/>
          <w:szCs w:val="20"/>
          <w:lang w:val="es-ES_tradnl"/>
        </w:rPr>
        <w:t>Informes realizados por empresas consultoras basadas en la metodología de tablas input-output.</w:t>
      </w:r>
    </w:p>
  </w:footnote>
  <w:footnote w:id="12">
    <w:p w14:paraId="614A7B88" w14:textId="77777777" w:rsidR="00D86AAC" w:rsidRPr="000F0192" w:rsidRDefault="00D86AAC" w:rsidP="00F87E58">
      <w:pPr>
        <w:pStyle w:val="Textonotapie"/>
        <w:rPr>
          <w:sz w:val="20"/>
          <w:szCs w:val="20"/>
          <w:lang w:val="es-ES_tradnl"/>
        </w:rPr>
      </w:pPr>
      <w:r w:rsidRPr="000F0192">
        <w:rPr>
          <w:rStyle w:val="Refdenotaalpie"/>
          <w:sz w:val="20"/>
          <w:szCs w:val="20"/>
        </w:rPr>
        <w:footnoteRef/>
      </w:r>
      <w:r w:rsidRPr="000F0192">
        <w:rPr>
          <w:sz w:val="20"/>
          <w:szCs w:val="20"/>
        </w:rPr>
        <w:t xml:space="preserve"> </w:t>
      </w:r>
      <w:r w:rsidRPr="000F0192">
        <w:rPr>
          <w:sz w:val="20"/>
          <w:szCs w:val="20"/>
          <w:lang w:val="es-ES_tradnl"/>
        </w:rPr>
        <w:t>Prestamos de Banco Vasconia y Caja Navarra.</w:t>
      </w:r>
    </w:p>
  </w:footnote>
  <w:footnote w:id="13">
    <w:p w14:paraId="0172006E" w14:textId="77777777" w:rsidR="00D86AAC" w:rsidRPr="000F0192" w:rsidRDefault="00D86AAC" w:rsidP="00F87E58">
      <w:pPr>
        <w:pStyle w:val="Textonotapie"/>
        <w:rPr>
          <w:sz w:val="20"/>
          <w:szCs w:val="20"/>
          <w:lang w:val="es-ES_tradnl"/>
        </w:rPr>
      </w:pPr>
      <w:r w:rsidRPr="000F0192">
        <w:rPr>
          <w:rStyle w:val="Refdenotaalpie"/>
          <w:sz w:val="20"/>
          <w:szCs w:val="20"/>
        </w:rPr>
        <w:footnoteRef/>
      </w:r>
      <w:r w:rsidRPr="000F0192">
        <w:rPr>
          <w:sz w:val="20"/>
          <w:szCs w:val="20"/>
        </w:rPr>
        <w:t xml:space="preserve"> </w:t>
      </w:r>
      <w:r w:rsidRPr="000F0192">
        <w:rPr>
          <w:sz w:val="20"/>
          <w:szCs w:val="20"/>
          <w:lang w:val="es-ES_tradnl"/>
        </w:rPr>
        <w:t>Plan aprobado por Sodena.</w:t>
      </w:r>
    </w:p>
  </w:footnote>
  <w:footnote w:id="14">
    <w:p w14:paraId="0D871E48" w14:textId="77777777" w:rsidR="00D86AAC" w:rsidRPr="00C6643F" w:rsidRDefault="00D86AAC" w:rsidP="00F87E58">
      <w:pPr>
        <w:pStyle w:val="Textonotapie"/>
        <w:rPr>
          <w:sz w:val="20"/>
          <w:szCs w:val="20"/>
          <w:lang w:val="es-ES_tradnl"/>
        </w:rPr>
      </w:pPr>
      <w:r>
        <w:rPr>
          <w:rStyle w:val="Refdenotaalpie"/>
        </w:rPr>
        <w:footnoteRef/>
      </w:r>
      <w:r>
        <w:t xml:space="preserve"> </w:t>
      </w:r>
      <w:r w:rsidRPr="00C6643F">
        <w:rPr>
          <w:sz w:val="20"/>
          <w:szCs w:val="20"/>
        </w:rPr>
        <w:t>Decreto Foral 216/2019, de 11 de septiembre, por el que se regula el procedimiento de autorizaciones por parte del Gobierno de Navarra para el otorgamiento de avales y concesión de préstamos por parte de las entidades públicas empresariales, fundaciones públicas y sociedades públicas de la Administración de la Comunidad Foral de Navarra.</w:t>
      </w:r>
    </w:p>
  </w:footnote>
  <w:footnote w:id="15">
    <w:p w14:paraId="13A16AFB" w14:textId="77777777" w:rsidR="00D86AAC" w:rsidRPr="000F0192" w:rsidRDefault="00D86AAC" w:rsidP="00F87E58">
      <w:pPr>
        <w:pStyle w:val="texto"/>
        <w:spacing w:after="0"/>
        <w:ind w:firstLine="0"/>
        <w:rPr>
          <w:sz w:val="20"/>
          <w:szCs w:val="20"/>
        </w:rPr>
      </w:pPr>
      <w:r w:rsidRPr="000F0192">
        <w:rPr>
          <w:rStyle w:val="Refdenotaalpie"/>
          <w:sz w:val="20"/>
          <w:szCs w:val="20"/>
        </w:rPr>
        <w:footnoteRef/>
      </w:r>
      <w:r w:rsidRPr="000F0192">
        <w:rPr>
          <w:sz w:val="20"/>
          <w:szCs w:val="20"/>
        </w:rPr>
        <w:t xml:space="preserve"> </w:t>
      </w:r>
      <w:r w:rsidRPr="000F0192">
        <w:rPr>
          <w:rFonts w:eastAsia="Calibri"/>
          <w:spacing w:val="0"/>
          <w:sz w:val="20"/>
          <w:szCs w:val="20"/>
          <w:lang w:val="es-ES" w:eastAsia="es-ES"/>
        </w:rPr>
        <w:t>Salvo autorización expresa del Parlamento, ninguna persona física o jurídica podrá ser beneficiaria de un préstamo concedido a un tipo de interés inferior al 50 por 100 del tipo de interés al que la Comunidad Foral de Navarra haya formalizado su operación de endeudamiento más reciente.</w:t>
      </w:r>
    </w:p>
  </w:footnote>
  <w:footnote w:id="16">
    <w:p w14:paraId="3291CE5A" w14:textId="77777777" w:rsidR="00D86AAC" w:rsidRPr="009C44C1" w:rsidRDefault="00D86AAC" w:rsidP="00F87E58">
      <w:pPr>
        <w:pStyle w:val="Textonotapie"/>
        <w:rPr>
          <w:lang w:val="es-ES_tradnl"/>
        </w:rPr>
      </w:pPr>
      <w:r w:rsidRPr="000F0192">
        <w:rPr>
          <w:rStyle w:val="Refdenotaalpie"/>
          <w:sz w:val="20"/>
          <w:szCs w:val="20"/>
        </w:rPr>
        <w:footnoteRef/>
      </w:r>
      <w:r w:rsidRPr="000F0192">
        <w:rPr>
          <w:sz w:val="20"/>
          <w:szCs w:val="20"/>
        </w:rPr>
        <w:t xml:space="preserve"> </w:t>
      </w:r>
      <w:r w:rsidRPr="000F0192">
        <w:rPr>
          <w:sz w:val="20"/>
          <w:szCs w:val="20"/>
          <w:lang w:val="es-ES_tradnl"/>
        </w:rPr>
        <w:t>Las cuentas anuales de Sodena son auditadas por firmas privadas de auditoria</w:t>
      </w:r>
      <w:r w:rsidRPr="003A4A30">
        <w:rPr>
          <w:lang w:val="es-ES_tradnl"/>
        </w:rPr>
        <w:t>.</w:t>
      </w:r>
      <w:r>
        <w:rPr>
          <w:lang w:val="es-ES_tradnl"/>
        </w:rPr>
        <w:t xml:space="preserve"> </w:t>
      </w:r>
    </w:p>
  </w:footnote>
  <w:footnote w:id="17">
    <w:p w14:paraId="1EA62681" w14:textId="77777777" w:rsidR="00D86AAC" w:rsidRPr="00C17061" w:rsidRDefault="00D86AAC" w:rsidP="00F87E58">
      <w:pPr>
        <w:pStyle w:val="Textonotapie"/>
        <w:rPr>
          <w:sz w:val="20"/>
          <w:szCs w:val="20"/>
          <w:lang w:val="es-ES_tradnl"/>
        </w:rPr>
      </w:pPr>
      <w:r w:rsidRPr="00C17061">
        <w:rPr>
          <w:rStyle w:val="Refdenotaalpie"/>
          <w:sz w:val="20"/>
          <w:szCs w:val="20"/>
        </w:rPr>
        <w:footnoteRef/>
      </w:r>
      <w:r w:rsidRPr="00C17061">
        <w:rPr>
          <w:sz w:val="20"/>
          <w:szCs w:val="20"/>
        </w:rPr>
        <w:t xml:space="preserve"> Informe de </w:t>
      </w:r>
      <w:r w:rsidRPr="00C17061">
        <w:rPr>
          <w:color w:val="000000"/>
          <w:sz w:val="20"/>
          <w:szCs w:val="20"/>
        </w:rPr>
        <w:t>fiscalización de la propuesta de Acuerdo de Gobierno por la que se autoriza a la sociedad pública Sodena, la concesión de un préstamo el año 2020 de hasta un límite de 5,9 millones a la sociedad Parquenasa.</w:t>
      </w:r>
    </w:p>
  </w:footnote>
  <w:footnote w:id="18">
    <w:p w14:paraId="671FEFDA" w14:textId="77777777" w:rsidR="00D86AAC" w:rsidRPr="000F0192" w:rsidRDefault="00D86AAC" w:rsidP="00F87E58">
      <w:pPr>
        <w:pStyle w:val="Textonotapie"/>
        <w:rPr>
          <w:sz w:val="20"/>
          <w:szCs w:val="20"/>
          <w:lang w:val="es-ES_tradnl"/>
        </w:rPr>
      </w:pPr>
      <w:r w:rsidRPr="000F0192">
        <w:rPr>
          <w:rStyle w:val="Refdenotaalpie"/>
          <w:sz w:val="20"/>
          <w:szCs w:val="20"/>
        </w:rPr>
        <w:footnoteRef/>
      </w:r>
      <w:r w:rsidRPr="000F0192">
        <w:rPr>
          <w:sz w:val="20"/>
          <w:szCs w:val="20"/>
        </w:rPr>
        <w:t xml:space="preserve"> </w:t>
      </w:r>
      <w:r w:rsidRPr="000F0192">
        <w:rPr>
          <w:color w:val="000000"/>
          <w:sz w:val="20"/>
          <w:szCs w:val="20"/>
        </w:rPr>
        <w:t>Informe de fiscalización del Acuerdo de Gobierno por el que se autoriza a la sociedad pública “SODENA”, con carácter global, la concesión de préstamos hasta un límite de 6.300.000 euros en el ejercicio 2021 y la concesión de un préstamo a Parque de la Naturaleza de Navarra, S.A. por importe máximo de 1.700.000 euros.</w:t>
      </w:r>
      <w:r>
        <w:rPr>
          <w:color w:val="000000"/>
          <w:sz w:val="20"/>
          <w:szCs w:val="20"/>
        </w:rPr>
        <w:t xml:space="preserve"> </w:t>
      </w:r>
    </w:p>
  </w:footnote>
  <w:footnote w:id="19">
    <w:p w14:paraId="4F415D3E" w14:textId="77777777" w:rsidR="00D86AAC" w:rsidRPr="005E1A72" w:rsidRDefault="00D86AAC" w:rsidP="00F87E58">
      <w:pPr>
        <w:pStyle w:val="Textonotapie"/>
        <w:rPr>
          <w:sz w:val="20"/>
          <w:szCs w:val="20"/>
          <w:lang w:val="es-ES_tradnl"/>
        </w:rPr>
      </w:pPr>
      <w:r w:rsidRPr="005E1A72">
        <w:rPr>
          <w:rStyle w:val="Refdenotaalpie"/>
          <w:sz w:val="20"/>
          <w:szCs w:val="20"/>
        </w:rPr>
        <w:footnoteRef/>
      </w:r>
      <w:r w:rsidRPr="005E1A72">
        <w:rPr>
          <w:sz w:val="20"/>
          <w:szCs w:val="20"/>
        </w:rPr>
        <w:t xml:space="preserve"> </w:t>
      </w:r>
      <w:r w:rsidRPr="005E1A72">
        <w:rPr>
          <w:sz w:val="20"/>
          <w:szCs w:val="20"/>
          <w:lang w:val="es-ES_tradnl"/>
        </w:rPr>
        <w:t>La primera reduc</w:t>
      </w:r>
      <w:r>
        <w:rPr>
          <w:sz w:val="20"/>
          <w:szCs w:val="20"/>
          <w:lang w:val="es-ES_tradnl"/>
        </w:rPr>
        <w:t xml:space="preserve">ción de capital se efectuó en junio </w:t>
      </w:r>
      <w:r w:rsidRPr="005E1A72">
        <w:rPr>
          <w:sz w:val="20"/>
          <w:szCs w:val="20"/>
          <w:lang w:val="es-ES_tradnl"/>
        </w:rPr>
        <w:t>de 2005</w:t>
      </w:r>
      <w:r>
        <w:rPr>
          <w:sz w:val="20"/>
          <w:szCs w:val="20"/>
          <w:lang w:val="es-ES_tradnl"/>
        </w:rPr>
        <w:t>.</w:t>
      </w:r>
    </w:p>
  </w:footnote>
  <w:footnote w:id="20">
    <w:p w14:paraId="19A2E9FE" w14:textId="77777777" w:rsidR="00D86AAC" w:rsidRPr="005E1A72" w:rsidRDefault="00D86AAC" w:rsidP="00F87E58">
      <w:pPr>
        <w:pStyle w:val="Textonotapie"/>
        <w:rPr>
          <w:sz w:val="20"/>
          <w:szCs w:val="20"/>
          <w:lang w:val="es-ES_tradnl"/>
        </w:rPr>
      </w:pPr>
      <w:r w:rsidRPr="005E1A72">
        <w:rPr>
          <w:rStyle w:val="Refdenotaalpie"/>
          <w:sz w:val="20"/>
          <w:szCs w:val="20"/>
        </w:rPr>
        <w:footnoteRef/>
      </w:r>
      <w:r w:rsidRPr="005E1A72">
        <w:rPr>
          <w:sz w:val="20"/>
          <w:szCs w:val="20"/>
        </w:rPr>
        <w:t xml:space="preserve"> Real Decreto 1159/20</w:t>
      </w:r>
      <w:r>
        <w:rPr>
          <w:sz w:val="20"/>
          <w:szCs w:val="20"/>
        </w:rPr>
        <w:t>1</w:t>
      </w:r>
      <w:r w:rsidRPr="005E1A72">
        <w:rPr>
          <w:sz w:val="20"/>
          <w:szCs w:val="20"/>
        </w:rPr>
        <w:t>0, de 17 de septiembre, por el que se aprueban las Normas para la Formulación de Cuentas Anuales Consolidadas.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FC53" w14:textId="77777777" w:rsidR="00D86AAC" w:rsidRDefault="00D86AAC" w:rsidP="00F87E58">
    <w:pPr>
      <w:pStyle w:val="Encabezado"/>
      <w:pBdr>
        <w:bottom w:val="single" w:sz="4" w:space="2" w:color="auto"/>
      </w:pBdr>
      <w:spacing w:after="40"/>
      <w:ind w:firstLine="0"/>
      <w:jc w:val="left"/>
      <w:rPr>
        <w:lang w:val="es-ES"/>
      </w:rPr>
    </w:pPr>
    <w:r>
      <w:rPr>
        <w:b/>
        <w:noProof/>
        <w:lang w:val="es-ES" w:eastAsia="es-ES"/>
      </w:rPr>
      <w:drawing>
        <wp:inline distT="0" distB="0" distL="0" distR="0" wp14:anchorId="0D5DB8EF" wp14:editId="5F8C510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6FA8DD68" w14:textId="77777777" w:rsidR="00D86AAC" w:rsidRPr="0059650E" w:rsidRDefault="00D86AAC" w:rsidP="00F87E58">
    <w:pPr>
      <w:pStyle w:val="Encabezado"/>
      <w:pBdr>
        <w:bottom w:val="single" w:sz="4" w:space="2" w:color="auto"/>
      </w:pBdr>
      <w:ind w:firstLine="0"/>
      <w:rPr>
        <w:lang w:val="es-ES"/>
      </w:rPr>
    </w:pPr>
    <w:r>
      <w:rPr>
        <w:lang w:val="es-ES"/>
      </w:rPr>
      <w:t>INFORME SOBRE APORTACIONES FINANCIERAS de SODENA A PARQUENASA</w:t>
    </w:r>
    <w:r w:rsidR="00D32AC1">
      <w:rPr>
        <w:lang w:val="es-ES"/>
      </w:rPr>
      <w:t xml:space="preserve"> (2001-2023)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9796" w14:textId="77777777" w:rsidR="00D86AAC" w:rsidRDefault="00D86AAC" w:rsidP="006A2D41">
    <w:pPr>
      <w:pStyle w:val="Encabezado"/>
      <w:ind w:firstLine="0"/>
      <w:jc w:val="left"/>
    </w:pPr>
    <w:r>
      <w:rPr>
        <w:noProof/>
        <w:lang w:val="es-ES" w:eastAsia="es-ES"/>
      </w:rPr>
      <w:drawing>
        <wp:inline distT="0" distB="0" distL="0" distR="0" wp14:anchorId="1CC732B1" wp14:editId="20F0733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E3A3" w14:textId="77777777" w:rsidR="00D86AAC" w:rsidRDefault="00D86AAC"/>
  <w:p w14:paraId="38759AC3" w14:textId="77777777" w:rsidR="00D86AAC" w:rsidRDefault="00D86AAC"/>
  <w:p w14:paraId="12BF0DAC" w14:textId="77777777" w:rsidR="00D86AAC" w:rsidRDefault="00D86A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CFA4" w14:textId="77777777" w:rsidR="00D86AAC" w:rsidRDefault="00D86AAC"/>
  <w:p w14:paraId="28ACBA58" w14:textId="77777777" w:rsidR="00D86AAC" w:rsidRDefault="00D86AAC"/>
  <w:p w14:paraId="05758DE0" w14:textId="77777777" w:rsidR="00D86AAC" w:rsidRDefault="00D86A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5C4"/>
    <w:multiLevelType w:val="hybridMultilevel"/>
    <w:tmpl w:val="8A6E007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3894F6E"/>
    <w:multiLevelType w:val="hybridMultilevel"/>
    <w:tmpl w:val="C6E00072"/>
    <w:lvl w:ilvl="0" w:tplc="55F4EE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50B1FBF"/>
    <w:multiLevelType w:val="hybridMultilevel"/>
    <w:tmpl w:val="59C2BD3E"/>
    <w:lvl w:ilvl="0" w:tplc="F90A7608">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1F32C9"/>
    <w:multiLevelType w:val="hybridMultilevel"/>
    <w:tmpl w:val="F9527E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000F48"/>
    <w:multiLevelType w:val="hybridMultilevel"/>
    <w:tmpl w:val="E58481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19078F"/>
    <w:multiLevelType w:val="hybridMultilevel"/>
    <w:tmpl w:val="834431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5B44A7"/>
    <w:multiLevelType w:val="hybridMultilevel"/>
    <w:tmpl w:val="07686228"/>
    <w:lvl w:ilvl="0" w:tplc="0C0A0017">
      <w:start w:val="1"/>
      <w:numFmt w:val="lowerLetter"/>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7" w15:restartNumberingAfterBreak="0">
    <w:nsid w:val="0C960C6B"/>
    <w:multiLevelType w:val="hybridMultilevel"/>
    <w:tmpl w:val="1630A99C"/>
    <w:lvl w:ilvl="0" w:tplc="5518D298">
      <w:start w:val="693"/>
      <w:numFmt w:val="bullet"/>
      <w:lvlText w:val="-"/>
      <w:lvlJc w:val="left"/>
      <w:pPr>
        <w:ind w:left="360" w:hanging="360"/>
      </w:pPr>
      <w:rPr>
        <w:rFonts w:ascii="Calibri" w:eastAsiaTheme="minorEastAsia"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F3D37A4"/>
    <w:multiLevelType w:val="hybridMultilevel"/>
    <w:tmpl w:val="76FC1512"/>
    <w:lvl w:ilvl="0" w:tplc="F90A7608">
      <w:start w:val="2"/>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9" w15:restartNumberingAfterBreak="0">
    <w:nsid w:val="0F44518A"/>
    <w:multiLevelType w:val="hybridMultilevel"/>
    <w:tmpl w:val="A3DCDC28"/>
    <w:lvl w:ilvl="0" w:tplc="F90A7608">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0FC51ACB"/>
    <w:multiLevelType w:val="hybridMultilevel"/>
    <w:tmpl w:val="DB4C892C"/>
    <w:lvl w:ilvl="0" w:tplc="717ADA1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10843896"/>
    <w:multiLevelType w:val="hybridMultilevel"/>
    <w:tmpl w:val="094CEDC0"/>
    <w:lvl w:ilvl="0" w:tplc="9360773E">
      <w:start w:val="1"/>
      <w:numFmt w:val="lowerLetter"/>
      <w:lvlText w:val="%1)"/>
      <w:lvlJc w:val="left"/>
      <w:pPr>
        <w:ind w:left="1000" w:hanging="360"/>
      </w:pPr>
      <w:rPr>
        <w:rFonts w:hint="default"/>
      </w:r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1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3" w15:restartNumberingAfterBreak="0">
    <w:nsid w:val="16CC3D36"/>
    <w:multiLevelType w:val="hybridMultilevel"/>
    <w:tmpl w:val="2140E97C"/>
    <w:lvl w:ilvl="0" w:tplc="40B2738E">
      <w:numFmt w:val="bullet"/>
      <w:lvlText w:val="-"/>
      <w:lvlJc w:val="left"/>
      <w:pPr>
        <w:ind w:left="840" w:hanging="360"/>
      </w:pPr>
      <w:rPr>
        <w:rFonts w:ascii="Calibri" w:eastAsiaTheme="minorHAnsi" w:hAnsi="Calibri" w:cs="Calibri"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4" w15:restartNumberingAfterBreak="0">
    <w:nsid w:val="18286E14"/>
    <w:multiLevelType w:val="hybridMultilevel"/>
    <w:tmpl w:val="A8F687A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15:restartNumberingAfterBreak="0">
    <w:nsid w:val="1E9167DD"/>
    <w:multiLevelType w:val="hybridMultilevel"/>
    <w:tmpl w:val="B7A815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26A65964"/>
    <w:multiLevelType w:val="hybridMultilevel"/>
    <w:tmpl w:val="1BEEC3F6"/>
    <w:lvl w:ilvl="0" w:tplc="F90A7608">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CE6DB7"/>
    <w:multiLevelType w:val="multilevel"/>
    <w:tmpl w:val="C928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C622E"/>
    <w:multiLevelType w:val="hybridMultilevel"/>
    <w:tmpl w:val="B9625DFC"/>
    <w:lvl w:ilvl="0" w:tplc="075A5E10">
      <w:start w:val="1"/>
      <w:numFmt w:val="bullet"/>
      <w:lvlText w:val="-"/>
      <w:lvlJc w:val="left"/>
      <w:pPr>
        <w:ind w:left="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8C378">
      <w:start w:val="1"/>
      <w:numFmt w:val="bullet"/>
      <w:lvlText w:val="o"/>
      <w:lvlJc w:val="left"/>
      <w:pPr>
        <w:ind w:left="1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12F186">
      <w:start w:val="1"/>
      <w:numFmt w:val="bullet"/>
      <w:lvlText w:val="▪"/>
      <w:lvlJc w:val="left"/>
      <w:pPr>
        <w:ind w:left="2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28307C">
      <w:start w:val="1"/>
      <w:numFmt w:val="bullet"/>
      <w:lvlText w:val="•"/>
      <w:lvlJc w:val="left"/>
      <w:pPr>
        <w:ind w:left="3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1CECA0">
      <w:start w:val="1"/>
      <w:numFmt w:val="bullet"/>
      <w:lvlText w:val="o"/>
      <w:lvlJc w:val="left"/>
      <w:pPr>
        <w:ind w:left="3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18317C">
      <w:start w:val="1"/>
      <w:numFmt w:val="bullet"/>
      <w:lvlText w:val="▪"/>
      <w:lvlJc w:val="left"/>
      <w:pPr>
        <w:ind w:left="4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88148E">
      <w:start w:val="1"/>
      <w:numFmt w:val="bullet"/>
      <w:lvlText w:val="•"/>
      <w:lvlJc w:val="left"/>
      <w:pPr>
        <w:ind w:left="5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DE7464">
      <w:start w:val="1"/>
      <w:numFmt w:val="bullet"/>
      <w:lvlText w:val="o"/>
      <w:lvlJc w:val="left"/>
      <w:pPr>
        <w:ind w:left="6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CC6380">
      <w:start w:val="1"/>
      <w:numFmt w:val="bullet"/>
      <w:lvlText w:val="▪"/>
      <w:lvlJc w:val="left"/>
      <w:pPr>
        <w:ind w:left="6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7D190E"/>
    <w:multiLevelType w:val="hybridMultilevel"/>
    <w:tmpl w:val="CAC0C4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6D5EEE"/>
    <w:multiLevelType w:val="hybridMultilevel"/>
    <w:tmpl w:val="856AAB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3637FB2"/>
    <w:multiLevelType w:val="hybridMultilevel"/>
    <w:tmpl w:val="B9FC6D6A"/>
    <w:lvl w:ilvl="0" w:tplc="B860EAA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44577E06"/>
    <w:multiLevelType w:val="hybridMultilevel"/>
    <w:tmpl w:val="E8743D9E"/>
    <w:lvl w:ilvl="0" w:tplc="51605036">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8683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DC701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BE7B5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9C449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62705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4626E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6ADB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DEE3E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81C0B14"/>
    <w:multiLevelType w:val="hybridMultilevel"/>
    <w:tmpl w:val="7A766A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936EA1"/>
    <w:multiLevelType w:val="hybridMultilevel"/>
    <w:tmpl w:val="DCCE5B9A"/>
    <w:lvl w:ilvl="0" w:tplc="F90A7608">
      <w:start w:val="2"/>
      <w:numFmt w:val="bullet"/>
      <w:lvlText w:val="-"/>
      <w:lvlJc w:val="left"/>
      <w:pPr>
        <w:ind w:left="640" w:hanging="360"/>
      </w:pPr>
      <w:rPr>
        <w:rFonts w:ascii="Times New Roman" w:eastAsia="Times New Roman" w:hAnsi="Times New Roman" w:cs="Times New Roman" w:hint="default"/>
      </w:rPr>
    </w:lvl>
    <w:lvl w:ilvl="1" w:tplc="0C0A0003">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26" w15:restartNumberingAfterBreak="0">
    <w:nsid w:val="4D481055"/>
    <w:multiLevelType w:val="hybridMultilevel"/>
    <w:tmpl w:val="6F685324"/>
    <w:lvl w:ilvl="0" w:tplc="F90A7608">
      <w:start w:val="2"/>
      <w:numFmt w:val="bullet"/>
      <w:lvlText w:val="-"/>
      <w:lvlJc w:val="left"/>
      <w:pPr>
        <w:ind w:left="786" w:hanging="360"/>
      </w:pPr>
      <w:rPr>
        <w:rFonts w:ascii="Times New Roman" w:eastAsia="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15:restartNumberingAfterBreak="0">
    <w:nsid w:val="4EB77532"/>
    <w:multiLevelType w:val="hybridMultilevel"/>
    <w:tmpl w:val="AAFC37A4"/>
    <w:lvl w:ilvl="0" w:tplc="F90A7608">
      <w:start w:val="2"/>
      <w:numFmt w:val="bullet"/>
      <w:lvlText w:val="-"/>
      <w:lvlJc w:val="left"/>
      <w:pPr>
        <w:ind w:left="1004" w:hanging="360"/>
      </w:pPr>
      <w:rPr>
        <w:rFonts w:ascii="Times New Roman" w:eastAsia="Times New Roman" w:hAnsi="Times New Roman" w:cs="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15:restartNumberingAfterBreak="0">
    <w:nsid w:val="515A39CC"/>
    <w:multiLevelType w:val="hybridMultilevel"/>
    <w:tmpl w:val="02C6E618"/>
    <w:lvl w:ilvl="0" w:tplc="40B2738E">
      <w:numFmt w:val="bullet"/>
      <w:lvlText w:val="-"/>
      <w:lvlJc w:val="left"/>
      <w:pPr>
        <w:ind w:left="1360" w:hanging="360"/>
      </w:pPr>
      <w:rPr>
        <w:rFonts w:ascii="Calibri" w:eastAsiaTheme="minorHAnsi" w:hAnsi="Calibri" w:cs="Calibri" w:hint="default"/>
      </w:rPr>
    </w:lvl>
    <w:lvl w:ilvl="1" w:tplc="0C0A0003" w:tentative="1">
      <w:start w:val="1"/>
      <w:numFmt w:val="bullet"/>
      <w:lvlText w:val="o"/>
      <w:lvlJc w:val="left"/>
      <w:pPr>
        <w:ind w:left="2080" w:hanging="360"/>
      </w:pPr>
      <w:rPr>
        <w:rFonts w:ascii="Courier New" w:hAnsi="Courier New" w:cs="Courier New" w:hint="default"/>
      </w:rPr>
    </w:lvl>
    <w:lvl w:ilvl="2" w:tplc="0C0A0005" w:tentative="1">
      <w:start w:val="1"/>
      <w:numFmt w:val="bullet"/>
      <w:lvlText w:val=""/>
      <w:lvlJc w:val="left"/>
      <w:pPr>
        <w:ind w:left="2800" w:hanging="360"/>
      </w:pPr>
      <w:rPr>
        <w:rFonts w:ascii="Wingdings" w:hAnsi="Wingdings" w:hint="default"/>
      </w:rPr>
    </w:lvl>
    <w:lvl w:ilvl="3" w:tplc="0C0A0001" w:tentative="1">
      <w:start w:val="1"/>
      <w:numFmt w:val="bullet"/>
      <w:lvlText w:val=""/>
      <w:lvlJc w:val="left"/>
      <w:pPr>
        <w:ind w:left="3520" w:hanging="360"/>
      </w:pPr>
      <w:rPr>
        <w:rFonts w:ascii="Symbol" w:hAnsi="Symbol" w:hint="default"/>
      </w:rPr>
    </w:lvl>
    <w:lvl w:ilvl="4" w:tplc="0C0A0003" w:tentative="1">
      <w:start w:val="1"/>
      <w:numFmt w:val="bullet"/>
      <w:lvlText w:val="o"/>
      <w:lvlJc w:val="left"/>
      <w:pPr>
        <w:ind w:left="4240" w:hanging="360"/>
      </w:pPr>
      <w:rPr>
        <w:rFonts w:ascii="Courier New" w:hAnsi="Courier New" w:cs="Courier New" w:hint="default"/>
      </w:rPr>
    </w:lvl>
    <w:lvl w:ilvl="5" w:tplc="0C0A0005" w:tentative="1">
      <w:start w:val="1"/>
      <w:numFmt w:val="bullet"/>
      <w:lvlText w:val=""/>
      <w:lvlJc w:val="left"/>
      <w:pPr>
        <w:ind w:left="4960" w:hanging="360"/>
      </w:pPr>
      <w:rPr>
        <w:rFonts w:ascii="Wingdings" w:hAnsi="Wingdings" w:hint="default"/>
      </w:rPr>
    </w:lvl>
    <w:lvl w:ilvl="6" w:tplc="0C0A0001" w:tentative="1">
      <w:start w:val="1"/>
      <w:numFmt w:val="bullet"/>
      <w:lvlText w:val=""/>
      <w:lvlJc w:val="left"/>
      <w:pPr>
        <w:ind w:left="5680" w:hanging="360"/>
      </w:pPr>
      <w:rPr>
        <w:rFonts w:ascii="Symbol" w:hAnsi="Symbol" w:hint="default"/>
      </w:rPr>
    </w:lvl>
    <w:lvl w:ilvl="7" w:tplc="0C0A0003" w:tentative="1">
      <w:start w:val="1"/>
      <w:numFmt w:val="bullet"/>
      <w:lvlText w:val="o"/>
      <w:lvlJc w:val="left"/>
      <w:pPr>
        <w:ind w:left="6400" w:hanging="360"/>
      </w:pPr>
      <w:rPr>
        <w:rFonts w:ascii="Courier New" w:hAnsi="Courier New" w:cs="Courier New" w:hint="default"/>
      </w:rPr>
    </w:lvl>
    <w:lvl w:ilvl="8" w:tplc="0C0A0005" w:tentative="1">
      <w:start w:val="1"/>
      <w:numFmt w:val="bullet"/>
      <w:lvlText w:val=""/>
      <w:lvlJc w:val="left"/>
      <w:pPr>
        <w:ind w:left="7120" w:hanging="360"/>
      </w:pPr>
      <w:rPr>
        <w:rFonts w:ascii="Wingdings" w:hAnsi="Wingdings" w:hint="default"/>
      </w:rPr>
    </w:lvl>
  </w:abstractNum>
  <w:abstractNum w:abstractNumId="29" w15:restartNumberingAfterBreak="0">
    <w:nsid w:val="53D73090"/>
    <w:multiLevelType w:val="hybridMultilevel"/>
    <w:tmpl w:val="4D121E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15:restartNumberingAfterBreak="0">
    <w:nsid w:val="541906D0"/>
    <w:multiLevelType w:val="hybridMultilevel"/>
    <w:tmpl w:val="F4087E82"/>
    <w:lvl w:ilvl="0" w:tplc="0C0A0001">
      <w:start w:val="1"/>
      <w:numFmt w:val="bullet"/>
      <w:lvlText w:val=""/>
      <w:lvlJc w:val="left"/>
      <w:pPr>
        <w:ind w:left="660" w:hanging="360"/>
      </w:pPr>
      <w:rPr>
        <w:rFonts w:ascii="Symbol" w:hAnsi="Symbol"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31" w15:restartNumberingAfterBreak="0">
    <w:nsid w:val="56A65EEF"/>
    <w:multiLevelType w:val="hybridMultilevel"/>
    <w:tmpl w:val="A29CB86E"/>
    <w:lvl w:ilvl="0" w:tplc="E3586544">
      <w:start w:val="1"/>
      <w:numFmt w:val="bullet"/>
      <w:lvlText w:val="-"/>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0E5AC">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403EC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6AAFE2">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4E7292">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06C428">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DCB1F0">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4A3F98">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509BFA">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3D7C53"/>
    <w:multiLevelType w:val="hybridMultilevel"/>
    <w:tmpl w:val="C8A02826"/>
    <w:lvl w:ilvl="0" w:tplc="9970C3F4">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9BC5CD6"/>
    <w:multiLevelType w:val="hybridMultilevel"/>
    <w:tmpl w:val="774065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AF65CFC"/>
    <w:multiLevelType w:val="hybridMultilevel"/>
    <w:tmpl w:val="0C9E8F6E"/>
    <w:lvl w:ilvl="0" w:tplc="F90A7608">
      <w:start w:val="2"/>
      <w:numFmt w:val="bullet"/>
      <w:lvlText w:val="-"/>
      <w:lvlJc w:val="left"/>
      <w:pPr>
        <w:ind w:left="1009" w:hanging="360"/>
      </w:pPr>
      <w:rPr>
        <w:rFonts w:ascii="Times New Roman" w:eastAsia="Times New Roman" w:hAnsi="Times New Roman" w:cs="Times New Roman"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35" w15:restartNumberingAfterBreak="0">
    <w:nsid w:val="5BBE5ABB"/>
    <w:multiLevelType w:val="hybridMultilevel"/>
    <w:tmpl w:val="FC38B1E0"/>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36" w15:restartNumberingAfterBreak="0">
    <w:nsid w:val="5C666DE5"/>
    <w:multiLevelType w:val="hybridMultilevel"/>
    <w:tmpl w:val="6764E6E2"/>
    <w:lvl w:ilvl="0" w:tplc="0C0A0017">
      <w:start w:val="1"/>
      <w:numFmt w:val="lowerLetter"/>
      <w:lvlText w:val="%1)"/>
      <w:lvlJc w:val="left"/>
      <w:pPr>
        <w:ind w:left="1000" w:hanging="360"/>
      </w:pPr>
    </w:lvl>
    <w:lvl w:ilvl="1" w:tplc="0C0A0019">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37" w15:restartNumberingAfterBreak="0">
    <w:nsid w:val="61570B73"/>
    <w:multiLevelType w:val="hybridMultilevel"/>
    <w:tmpl w:val="45403CBC"/>
    <w:lvl w:ilvl="0" w:tplc="80E65498">
      <w:start w:val="1"/>
      <w:numFmt w:val="bullet"/>
      <w:lvlText w:val=""/>
      <w:lvlJc w:val="left"/>
      <w:pPr>
        <w:ind w:left="502" w:hanging="360"/>
      </w:pPr>
      <w:rPr>
        <w:rFonts w:ascii="Symbol" w:hAnsi="Symbol" w:hint="default"/>
        <w:sz w:val="26"/>
        <w:szCs w:val="26"/>
      </w:rPr>
    </w:lvl>
    <w:lvl w:ilvl="1" w:tplc="0C0A0003">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38"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9"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6FC953AA"/>
    <w:multiLevelType w:val="hybridMultilevel"/>
    <w:tmpl w:val="140698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22D059B"/>
    <w:multiLevelType w:val="hybridMultilevel"/>
    <w:tmpl w:val="DB54CA5E"/>
    <w:lvl w:ilvl="0" w:tplc="C24A300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56332C"/>
    <w:multiLevelType w:val="hybridMultilevel"/>
    <w:tmpl w:val="BDD88B0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4" w15:restartNumberingAfterBreak="0">
    <w:nsid w:val="7EF00CC5"/>
    <w:multiLevelType w:val="hybridMultilevel"/>
    <w:tmpl w:val="1CFA24BC"/>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45" w15:restartNumberingAfterBreak="0">
    <w:nsid w:val="7F187FDD"/>
    <w:multiLevelType w:val="hybridMultilevel"/>
    <w:tmpl w:val="F27E6E30"/>
    <w:lvl w:ilvl="0" w:tplc="F00A43B6">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46" w15:restartNumberingAfterBreak="0">
    <w:nsid w:val="7FC74043"/>
    <w:multiLevelType w:val="hybridMultilevel"/>
    <w:tmpl w:val="6232835E"/>
    <w:lvl w:ilvl="0" w:tplc="6606941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1628469605">
    <w:abstractNumId w:val="43"/>
  </w:num>
  <w:num w:numId="2" w16cid:durableId="1979921176">
    <w:abstractNumId w:val="38"/>
  </w:num>
  <w:num w:numId="3" w16cid:durableId="200214027">
    <w:abstractNumId w:val="12"/>
  </w:num>
  <w:num w:numId="4" w16cid:durableId="224147069">
    <w:abstractNumId w:val="23"/>
  </w:num>
  <w:num w:numId="5" w16cid:durableId="1924415308">
    <w:abstractNumId w:val="39"/>
  </w:num>
  <w:num w:numId="6" w16cid:durableId="1181701005">
    <w:abstractNumId w:val="12"/>
  </w:num>
  <w:num w:numId="7" w16cid:durableId="713775621">
    <w:abstractNumId w:val="12"/>
  </w:num>
  <w:num w:numId="8" w16cid:durableId="64689095">
    <w:abstractNumId w:val="12"/>
  </w:num>
  <w:num w:numId="9" w16cid:durableId="557588491">
    <w:abstractNumId w:val="37"/>
  </w:num>
  <w:num w:numId="10" w16cid:durableId="1250847916">
    <w:abstractNumId w:val="0"/>
  </w:num>
  <w:num w:numId="11" w16cid:durableId="1519661790">
    <w:abstractNumId w:val="35"/>
  </w:num>
  <w:num w:numId="12" w16cid:durableId="1592201803">
    <w:abstractNumId w:val="36"/>
  </w:num>
  <w:num w:numId="13" w16cid:durableId="1771120168">
    <w:abstractNumId w:val="45"/>
  </w:num>
  <w:num w:numId="14" w16cid:durableId="610285425">
    <w:abstractNumId w:val="44"/>
  </w:num>
  <w:num w:numId="15" w16cid:durableId="471824800">
    <w:abstractNumId w:val="30"/>
  </w:num>
  <w:num w:numId="16" w16cid:durableId="1272014965">
    <w:abstractNumId w:val="28"/>
  </w:num>
  <w:num w:numId="17" w16cid:durableId="1079860805">
    <w:abstractNumId w:val="6"/>
  </w:num>
  <w:num w:numId="18" w16cid:durableId="47607307">
    <w:abstractNumId w:val="33"/>
  </w:num>
  <w:num w:numId="19" w16cid:durableId="908029889">
    <w:abstractNumId w:val="29"/>
  </w:num>
  <w:num w:numId="20" w16cid:durableId="732433370">
    <w:abstractNumId w:val="25"/>
  </w:num>
  <w:num w:numId="21" w16cid:durableId="1826238643">
    <w:abstractNumId w:val="34"/>
  </w:num>
  <w:num w:numId="22" w16cid:durableId="142551371">
    <w:abstractNumId w:val="7"/>
  </w:num>
  <w:num w:numId="23" w16cid:durableId="246117576">
    <w:abstractNumId w:val="19"/>
  </w:num>
  <w:num w:numId="24" w16cid:durableId="1045640755">
    <w:abstractNumId w:val="24"/>
  </w:num>
  <w:num w:numId="25" w16cid:durableId="1966739447">
    <w:abstractNumId w:val="11"/>
  </w:num>
  <w:num w:numId="26" w16cid:durableId="1394962260">
    <w:abstractNumId w:val="13"/>
  </w:num>
  <w:num w:numId="27" w16cid:durableId="2088335938">
    <w:abstractNumId w:val="15"/>
  </w:num>
  <w:num w:numId="28" w16cid:durableId="1771969991">
    <w:abstractNumId w:val="40"/>
  </w:num>
  <w:num w:numId="29" w16cid:durableId="1055547867">
    <w:abstractNumId w:val="3"/>
  </w:num>
  <w:num w:numId="30" w16cid:durableId="2046325424">
    <w:abstractNumId w:val="1"/>
  </w:num>
  <w:num w:numId="31" w16cid:durableId="1175800913">
    <w:abstractNumId w:val="10"/>
  </w:num>
  <w:num w:numId="32" w16cid:durableId="520242304">
    <w:abstractNumId w:val="16"/>
  </w:num>
  <w:num w:numId="33" w16cid:durableId="845554911">
    <w:abstractNumId w:val="2"/>
  </w:num>
  <w:num w:numId="34" w16cid:durableId="1319766284">
    <w:abstractNumId w:val="27"/>
  </w:num>
  <w:num w:numId="35" w16cid:durableId="268902666">
    <w:abstractNumId w:val="42"/>
  </w:num>
  <w:num w:numId="36" w16cid:durableId="307632151">
    <w:abstractNumId w:val="9"/>
  </w:num>
  <w:num w:numId="37" w16cid:durableId="872225934">
    <w:abstractNumId w:val="46"/>
  </w:num>
  <w:num w:numId="38" w16cid:durableId="1926448670">
    <w:abstractNumId w:val="14"/>
  </w:num>
  <w:num w:numId="39" w16cid:durableId="1012996584">
    <w:abstractNumId w:val="8"/>
  </w:num>
  <w:num w:numId="40" w16cid:durableId="1696688347">
    <w:abstractNumId w:val="17"/>
  </w:num>
  <w:num w:numId="41" w16cid:durableId="708339069">
    <w:abstractNumId w:val="26"/>
  </w:num>
  <w:num w:numId="42" w16cid:durableId="330838077">
    <w:abstractNumId w:val="5"/>
  </w:num>
  <w:num w:numId="43" w16cid:durableId="243806203">
    <w:abstractNumId w:val="21"/>
  </w:num>
  <w:num w:numId="44" w16cid:durableId="328293206">
    <w:abstractNumId w:val="41"/>
  </w:num>
  <w:num w:numId="45" w16cid:durableId="888342550">
    <w:abstractNumId w:val="20"/>
  </w:num>
  <w:num w:numId="46" w16cid:durableId="212666011">
    <w:abstractNumId w:val="32"/>
  </w:num>
  <w:num w:numId="47" w16cid:durableId="1589581617">
    <w:abstractNumId w:val="4"/>
  </w:num>
  <w:num w:numId="48" w16cid:durableId="2123962552">
    <w:abstractNumId w:val="22"/>
  </w:num>
  <w:num w:numId="49" w16cid:durableId="1295024090">
    <w:abstractNumId w:val="31"/>
  </w:num>
  <w:num w:numId="50" w16cid:durableId="303076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58"/>
    <w:rsid w:val="000019D8"/>
    <w:rsid w:val="00006736"/>
    <w:rsid w:val="00006A97"/>
    <w:rsid w:val="0001123B"/>
    <w:rsid w:val="00012A7F"/>
    <w:rsid w:val="00017A3A"/>
    <w:rsid w:val="00027F0D"/>
    <w:rsid w:val="00036E42"/>
    <w:rsid w:val="0004373B"/>
    <w:rsid w:val="000448FA"/>
    <w:rsid w:val="00053A42"/>
    <w:rsid w:val="0005517D"/>
    <w:rsid w:val="0006133D"/>
    <w:rsid w:val="00063585"/>
    <w:rsid w:val="00071CD0"/>
    <w:rsid w:val="00075677"/>
    <w:rsid w:val="00075692"/>
    <w:rsid w:val="00085A19"/>
    <w:rsid w:val="00087B8D"/>
    <w:rsid w:val="00093D67"/>
    <w:rsid w:val="00093E60"/>
    <w:rsid w:val="000A18B7"/>
    <w:rsid w:val="000A2C1E"/>
    <w:rsid w:val="000A4697"/>
    <w:rsid w:val="000B2728"/>
    <w:rsid w:val="000B3943"/>
    <w:rsid w:val="000B4477"/>
    <w:rsid w:val="000C0704"/>
    <w:rsid w:val="000C2B07"/>
    <w:rsid w:val="000C39CC"/>
    <w:rsid w:val="000C7566"/>
    <w:rsid w:val="000D06D2"/>
    <w:rsid w:val="000D188E"/>
    <w:rsid w:val="000D5335"/>
    <w:rsid w:val="000E7B86"/>
    <w:rsid w:val="000F2B66"/>
    <w:rsid w:val="000F3D83"/>
    <w:rsid w:val="00100F12"/>
    <w:rsid w:val="00103589"/>
    <w:rsid w:val="001045C9"/>
    <w:rsid w:val="00107CC1"/>
    <w:rsid w:val="00110694"/>
    <w:rsid w:val="00111A92"/>
    <w:rsid w:val="00112FA0"/>
    <w:rsid w:val="001145C3"/>
    <w:rsid w:val="001161D2"/>
    <w:rsid w:val="00131DF1"/>
    <w:rsid w:val="00132C38"/>
    <w:rsid w:val="00133984"/>
    <w:rsid w:val="00135BB7"/>
    <w:rsid w:val="001365C4"/>
    <w:rsid w:val="0014147D"/>
    <w:rsid w:val="00141D29"/>
    <w:rsid w:val="0014506A"/>
    <w:rsid w:val="0014728F"/>
    <w:rsid w:val="001521A2"/>
    <w:rsid w:val="00152358"/>
    <w:rsid w:val="00155BFF"/>
    <w:rsid w:val="00156B78"/>
    <w:rsid w:val="00160F66"/>
    <w:rsid w:val="001633AF"/>
    <w:rsid w:val="00166A6C"/>
    <w:rsid w:val="001728D0"/>
    <w:rsid w:val="00173EDD"/>
    <w:rsid w:val="0017402B"/>
    <w:rsid w:val="00181D37"/>
    <w:rsid w:val="001835B7"/>
    <w:rsid w:val="0018426B"/>
    <w:rsid w:val="00185A37"/>
    <w:rsid w:val="00194309"/>
    <w:rsid w:val="0019660E"/>
    <w:rsid w:val="001A6C6C"/>
    <w:rsid w:val="001B39E2"/>
    <w:rsid w:val="001C2B26"/>
    <w:rsid w:val="001C3A32"/>
    <w:rsid w:val="001D4F09"/>
    <w:rsid w:val="001F1482"/>
    <w:rsid w:val="001F20D7"/>
    <w:rsid w:val="001F7744"/>
    <w:rsid w:val="002014EB"/>
    <w:rsid w:val="00202B1A"/>
    <w:rsid w:val="00204979"/>
    <w:rsid w:val="002076D6"/>
    <w:rsid w:val="00211D69"/>
    <w:rsid w:val="002179DB"/>
    <w:rsid w:val="0022446B"/>
    <w:rsid w:val="00227E48"/>
    <w:rsid w:val="00230577"/>
    <w:rsid w:val="0023159D"/>
    <w:rsid w:val="0023209D"/>
    <w:rsid w:val="00232D34"/>
    <w:rsid w:val="002333F8"/>
    <w:rsid w:val="00233D79"/>
    <w:rsid w:val="00234D3C"/>
    <w:rsid w:val="00237657"/>
    <w:rsid w:val="00242BA7"/>
    <w:rsid w:val="002437B5"/>
    <w:rsid w:val="00244EF1"/>
    <w:rsid w:val="00246F21"/>
    <w:rsid w:val="002523A8"/>
    <w:rsid w:val="00253E78"/>
    <w:rsid w:val="00262C3C"/>
    <w:rsid w:val="00264C88"/>
    <w:rsid w:val="0026532C"/>
    <w:rsid w:val="0026575D"/>
    <w:rsid w:val="002705B0"/>
    <w:rsid w:val="002717A6"/>
    <w:rsid w:val="00272015"/>
    <w:rsid w:val="00273C10"/>
    <w:rsid w:val="00274B4C"/>
    <w:rsid w:val="00276264"/>
    <w:rsid w:val="00281DCA"/>
    <w:rsid w:val="00296ABA"/>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34AD"/>
    <w:rsid w:val="002F53B4"/>
    <w:rsid w:val="002F76D6"/>
    <w:rsid w:val="00303506"/>
    <w:rsid w:val="00307057"/>
    <w:rsid w:val="00312819"/>
    <w:rsid w:val="00312E9C"/>
    <w:rsid w:val="00313875"/>
    <w:rsid w:val="00314A9B"/>
    <w:rsid w:val="003203BF"/>
    <w:rsid w:val="00321369"/>
    <w:rsid w:val="00321437"/>
    <w:rsid w:val="00321B53"/>
    <w:rsid w:val="00330787"/>
    <w:rsid w:val="00337493"/>
    <w:rsid w:val="0034285F"/>
    <w:rsid w:val="003464A4"/>
    <w:rsid w:val="00351684"/>
    <w:rsid w:val="00354458"/>
    <w:rsid w:val="00363653"/>
    <w:rsid w:val="0036509D"/>
    <w:rsid w:val="00365721"/>
    <w:rsid w:val="0037228C"/>
    <w:rsid w:val="003738FD"/>
    <w:rsid w:val="003810BE"/>
    <w:rsid w:val="00386F6C"/>
    <w:rsid w:val="00387709"/>
    <w:rsid w:val="00387794"/>
    <w:rsid w:val="00397162"/>
    <w:rsid w:val="003A17DF"/>
    <w:rsid w:val="003A335E"/>
    <w:rsid w:val="003A3DD2"/>
    <w:rsid w:val="003B2AB7"/>
    <w:rsid w:val="003B3573"/>
    <w:rsid w:val="003B5813"/>
    <w:rsid w:val="003C03EA"/>
    <w:rsid w:val="003C196B"/>
    <w:rsid w:val="003C6E1D"/>
    <w:rsid w:val="003D058C"/>
    <w:rsid w:val="003D76B1"/>
    <w:rsid w:val="003E17A6"/>
    <w:rsid w:val="003E4AA5"/>
    <w:rsid w:val="003F1CEC"/>
    <w:rsid w:val="003F43BF"/>
    <w:rsid w:val="003F6BE4"/>
    <w:rsid w:val="0040304D"/>
    <w:rsid w:val="00403CF8"/>
    <w:rsid w:val="00407459"/>
    <w:rsid w:val="00414BA3"/>
    <w:rsid w:val="00414D01"/>
    <w:rsid w:val="004170FE"/>
    <w:rsid w:val="004209E6"/>
    <w:rsid w:val="0042324B"/>
    <w:rsid w:val="004234E8"/>
    <w:rsid w:val="00426805"/>
    <w:rsid w:val="00430150"/>
    <w:rsid w:val="004302F9"/>
    <w:rsid w:val="0043229B"/>
    <w:rsid w:val="00434470"/>
    <w:rsid w:val="00435287"/>
    <w:rsid w:val="00440A22"/>
    <w:rsid w:val="0045550E"/>
    <w:rsid w:val="00456456"/>
    <w:rsid w:val="00462367"/>
    <w:rsid w:val="0046490C"/>
    <w:rsid w:val="004663EF"/>
    <w:rsid w:val="00470287"/>
    <w:rsid w:val="00470733"/>
    <w:rsid w:val="00474317"/>
    <w:rsid w:val="00477C53"/>
    <w:rsid w:val="00481856"/>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E7FEB"/>
    <w:rsid w:val="004F7C93"/>
    <w:rsid w:val="0050163F"/>
    <w:rsid w:val="00506105"/>
    <w:rsid w:val="0051160E"/>
    <w:rsid w:val="00513162"/>
    <w:rsid w:val="00525809"/>
    <w:rsid w:val="005318CE"/>
    <w:rsid w:val="00532EA7"/>
    <w:rsid w:val="00535130"/>
    <w:rsid w:val="00537302"/>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E4FA5"/>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67669"/>
    <w:rsid w:val="006736A9"/>
    <w:rsid w:val="00673BC7"/>
    <w:rsid w:val="00674975"/>
    <w:rsid w:val="00675D39"/>
    <w:rsid w:val="0068560B"/>
    <w:rsid w:val="006A1277"/>
    <w:rsid w:val="006A2602"/>
    <w:rsid w:val="006A2ACC"/>
    <w:rsid w:val="006A2D41"/>
    <w:rsid w:val="006A67E1"/>
    <w:rsid w:val="006C36FB"/>
    <w:rsid w:val="006C7D62"/>
    <w:rsid w:val="006D0B23"/>
    <w:rsid w:val="006D2ED6"/>
    <w:rsid w:val="006D5685"/>
    <w:rsid w:val="006E1987"/>
    <w:rsid w:val="006E23B2"/>
    <w:rsid w:val="006E5207"/>
    <w:rsid w:val="006F5C70"/>
    <w:rsid w:val="006F6A20"/>
    <w:rsid w:val="006F6FD3"/>
    <w:rsid w:val="007047B2"/>
    <w:rsid w:val="00704DE7"/>
    <w:rsid w:val="00706868"/>
    <w:rsid w:val="007078B8"/>
    <w:rsid w:val="00715E32"/>
    <w:rsid w:val="007162D1"/>
    <w:rsid w:val="00716463"/>
    <w:rsid w:val="0071706E"/>
    <w:rsid w:val="00727292"/>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0F9E"/>
    <w:rsid w:val="007B148D"/>
    <w:rsid w:val="007B18C8"/>
    <w:rsid w:val="007B28DE"/>
    <w:rsid w:val="007B7A5F"/>
    <w:rsid w:val="007C36BE"/>
    <w:rsid w:val="007D2420"/>
    <w:rsid w:val="007D53ED"/>
    <w:rsid w:val="007D6001"/>
    <w:rsid w:val="007D7F94"/>
    <w:rsid w:val="007E1B76"/>
    <w:rsid w:val="007E219A"/>
    <w:rsid w:val="007E37BF"/>
    <w:rsid w:val="007E6593"/>
    <w:rsid w:val="007F1101"/>
    <w:rsid w:val="007F230B"/>
    <w:rsid w:val="007F2CB1"/>
    <w:rsid w:val="007F54AC"/>
    <w:rsid w:val="00803D20"/>
    <w:rsid w:val="008112A0"/>
    <w:rsid w:val="0081696D"/>
    <w:rsid w:val="00816E01"/>
    <w:rsid w:val="008173D0"/>
    <w:rsid w:val="00820F02"/>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86F83"/>
    <w:rsid w:val="00891D73"/>
    <w:rsid w:val="00892A44"/>
    <w:rsid w:val="008A2DE8"/>
    <w:rsid w:val="008A312D"/>
    <w:rsid w:val="008A3E09"/>
    <w:rsid w:val="008A3E57"/>
    <w:rsid w:val="008A77A7"/>
    <w:rsid w:val="008B3F34"/>
    <w:rsid w:val="008C3C03"/>
    <w:rsid w:val="008C56B9"/>
    <w:rsid w:val="008C5BF4"/>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03E1"/>
    <w:rsid w:val="0093329F"/>
    <w:rsid w:val="00937043"/>
    <w:rsid w:val="009445D3"/>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B15F2"/>
    <w:rsid w:val="009B18F4"/>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26E71"/>
    <w:rsid w:val="00A3026E"/>
    <w:rsid w:val="00A4576A"/>
    <w:rsid w:val="00A45AD0"/>
    <w:rsid w:val="00A45EE9"/>
    <w:rsid w:val="00A53C14"/>
    <w:rsid w:val="00A61410"/>
    <w:rsid w:val="00A6198A"/>
    <w:rsid w:val="00A65108"/>
    <w:rsid w:val="00A7067F"/>
    <w:rsid w:val="00A707A7"/>
    <w:rsid w:val="00A718FD"/>
    <w:rsid w:val="00A72341"/>
    <w:rsid w:val="00A776E2"/>
    <w:rsid w:val="00A776ED"/>
    <w:rsid w:val="00A80E50"/>
    <w:rsid w:val="00A8137F"/>
    <w:rsid w:val="00A83663"/>
    <w:rsid w:val="00A83B0F"/>
    <w:rsid w:val="00A84216"/>
    <w:rsid w:val="00A90BFA"/>
    <w:rsid w:val="00A92BF3"/>
    <w:rsid w:val="00A943C8"/>
    <w:rsid w:val="00A950A4"/>
    <w:rsid w:val="00A9520D"/>
    <w:rsid w:val="00A9747D"/>
    <w:rsid w:val="00AA00A6"/>
    <w:rsid w:val="00AA16A6"/>
    <w:rsid w:val="00AA6BA8"/>
    <w:rsid w:val="00AA7F5A"/>
    <w:rsid w:val="00AB2340"/>
    <w:rsid w:val="00AB5FE4"/>
    <w:rsid w:val="00AB659D"/>
    <w:rsid w:val="00AC229F"/>
    <w:rsid w:val="00AC4C57"/>
    <w:rsid w:val="00AD43AE"/>
    <w:rsid w:val="00AD5A79"/>
    <w:rsid w:val="00AD7671"/>
    <w:rsid w:val="00AE5218"/>
    <w:rsid w:val="00AE53E8"/>
    <w:rsid w:val="00AE5B18"/>
    <w:rsid w:val="00AE6FE4"/>
    <w:rsid w:val="00AF2059"/>
    <w:rsid w:val="00AF3D84"/>
    <w:rsid w:val="00AF4161"/>
    <w:rsid w:val="00AF580B"/>
    <w:rsid w:val="00B007C8"/>
    <w:rsid w:val="00B14410"/>
    <w:rsid w:val="00B15E61"/>
    <w:rsid w:val="00B24F35"/>
    <w:rsid w:val="00B32C88"/>
    <w:rsid w:val="00B34747"/>
    <w:rsid w:val="00B40CE4"/>
    <w:rsid w:val="00B42E49"/>
    <w:rsid w:val="00B50903"/>
    <w:rsid w:val="00B60BA4"/>
    <w:rsid w:val="00B62FFE"/>
    <w:rsid w:val="00B65013"/>
    <w:rsid w:val="00B7123A"/>
    <w:rsid w:val="00B7435C"/>
    <w:rsid w:val="00B76F38"/>
    <w:rsid w:val="00B8085D"/>
    <w:rsid w:val="00B81EFF"/>
    <w:rsid w:val="00B836BB"/>
    <w:rsid w:val="00B84122"/>
    <w:rsid w:val="00B862B0"/>
    <w:rsid w:val="00B946F5"/>
    <w:rsid w:val="00BA2B7C"/>
    <w:rsid w:val="00BB142A"/>
    <w:rsid w:val="00BB34B9"/>
    <w:rsid w:val="00BB35C2"/>
    <w:rsid w:val="00BB553B"/>
    <w:rsid w:val="00BC28D7"/>
    <w:rsid w:val="00BC376C"/>
    <w:rsid w:val="00BC6321"/>
    <w:rsid w:val="00BC76DC"/>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3453"/>
    <w:rsid w:val="00C17061"/>
    <w:rsid w:val="00C220F9"/>
    <w:rsid w:val="00C2541C"/>
    <w:rsid w:val="00C26862"/>
    <w:rsid w:val="00C2698D"/>
    <w:rsid w:val="00C30458"/>
    <w:rsid w:val="00C31DA6"/>
    <w:rsid w:val="00C33260"/>
    <w:rsid w:val="00C372CC"/>
    <w:rsid w:val="00C4598F"/>
    <w:rsid w:val="00C50360"/>
    <w:rsid w:val="00C54E12"/>
    <w:rsid w:val="00C55468"/>
    <w:rsid w:val="00C622C3"/>
    <w:rsid w:val="00C63BD5"/>
    <w:rsid w:val="00C70954"/>
    <w:rsid w:val="00C74906"/>
    <w:rsid w:val="00C81B40"/>
    <w:rsid w:val="00C81FEA"/>
    <w:rsid w:val="00C83969"/>
    <w:rsid w:val="00C86C95"/>
    <w:rsid w:val="00CA05EB"/>
    <w:rsid w:val="00CA3515"/>
    <w:rsid w:val="00CA3A05"/>
    <w:rsid w:val="00CB0A59"/>
    <w:rsid w:val="00CB14E9"/>
    <w:rsid w:val="00CB23D6"/>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79BA"/>
    <w:rsid w:val="00D32AC1"/>
    <w:rsid w:val="00D404B5"/>
    <w:rsid w:val="00D447CB"/>
    <w:rsid w:val="00D47D16"/>
    <w:rsid w:val="00D505F4"/>
    <w:rsid w:val="00D51CE1"/>
    <w:rsid w:val="00D53A20"/>
    <w:rsid w:val="00D562F2"/>
    <w:rsid w:val="00D61B93"/>
    <w:rsid w:val="00D67E4A"/>
    <w:rsid w:val="00D763FD"/>
    <w:rsid w:val="00D843C7"/>
    <w:rsid w:val="00D86AAC"/>
    <w:rsid w:val="00D90AD1"/>
    <w:rsid w:val="00D941F7"/>
    <w:rsid w:val="00DA4DDF"/>
    <w:rsid w:val="00DB0804"/>
    <w:rsid w:val="00DB2FC4"/>
    <w:rsid w:val="00DC382A"/>
    <w:rsid w:val="00DE1923"/>
    <w:rsid w:val="00DE2B33"/>
    <w:rsid w:val="00DE638B"/>
    <w:rsid w:val="00DE72EE"/>
    <w:rsid w:val="00DF2666"/>
    <w:rsid w:val="00DF37E5"/>
    <w:rsid w:val="00E034FE"/>
    <w:rsid w:val="00E041E5"/>
    <w:rsid w:val="00E04888"/>
    <w:rsid w:val="00E0763B"/>
    <w:rsid w:val="00E10302"/>
    <w:rsid w:val="00E118C0"/>
    <w:rsid w:val="00E1441F"/>
    <w:rsid w:val="00E17EC5"/>
    <w:rsid w:val="00E26BFD"/>
    <w:rsid w:val="00E27E90"/>
    <w:rsid w:val="00E33D02"/>
    <w:rsid w:val="00E34F2C"/>
    <w:rsid w:val="00E35D79"/>
    <w:rsid w:val="00E36872"/>
    <w:rsid w:val="00E37848"/>
    <w:rsid w:val="00E4641E"/>
    <w:rsid w:val="00E5006D"/>
    <w:rsid w:val="00E519AE"/>
    <w:rsid w:val="00E57AF7"/>
    <w:rsid w:val="00E6241B"/>
    <w:rsid w:val="00E64FCC"/>
    <w:rsid w:val="00E703B6"/>
    <w:rsid w:val="00E72200"/>
    <w:rsid w:val="00E72B1B"/>
    <w:rsid w:val="00E75D47"/>
    <w:rsid w:val="00E766F5"/>
    <w:rsid w:val="00E77A75"/>
    <w:rsid w:val="00E82948"/>
    <w:rsid w:val="00E83417"/>
    <w:rsid w:val="00E90218"/>
    <w:rsid w:val="00E913BB"/>
    <w:rsid w:val="00E95F2E"/>
    <w:rsid w:val="00EA1508"/>
    <w:rsid w:val="00EA1541"/>
    <w:rsid w:val="00EA32E4"/>
    <w:rsid w:val="00EA7E36"/>
    <w:rsid w:val="00EB0898"/>
    <w:rsid w:val="00EB627B"/>
    <w:rsid w:val="00EB6D94"/>
    <w:rsid w:val="00EC3AAD"/>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11A2"/>
    <w:rsid w:val="00F03814"/>
    <w:rsid w:val="00F07A09"/>
    <w:rsid w:val="00F1390C"/>
    <w:rsid w:val="00F14A77"/>
    <w:rsid w:val="00F14D98"/>
    <w:rsid w:val="00F20C5E"/>
    <w:rsid w:val="00F318D9"/>
    <w:rsid w:val="00F36A1D"/>
    <w:rsid w:val="00F44278"/>
    <w:rsid w:val="00F458FF"/>
    <w:rsid w:val="00F51B65"/>
    <w:rsid w:val="00F52AAB"/>
    <w:rsid w:val="00F52EB6"/>
    <w:rsid w:val="00F55260"/>
    <w:rsid w:val="00F6316B"/>
    <w:rsid w:val="00F65AE0"/>
    <w:rsid w:val="00F74E38"/>
    <w:rsid w:val="00F76D6F"/>
    <w:rsid w:val="00F778B0"/>
    <w:rsid w:val="00F83BC2"/>
    <w:rsid w:val="00F87E58"/>
    <w:rsid w:val="00F92EC1"/>
    <w:rsid w:val="00F94C47"/>
    <w:rsid w:val="00FA0421"/>
    <w:rsid w:val="00FA3389"/>
    <w:rsid w:val="00FA3476"/>
    <w:rsid w:val="00FA495F"/>
    <w:rsid w:val="00FA7622"/>
    <w:rsid w:val="00FB0C10"/>
    <w:rsid w:val="00FB3C36"/>
    <w:rsid w:val="00FB4280"/>
    <w:rsid w:val="00FB7CCE"/>
    <w:rsid w:val="00FC01C8"/>
    <w:rsid w:val="00FC135F"/>
    <w:rsid w:val="00FC5027"/>
    <w:rsid w:val="00FC50C7"/>
    <w:rsid w:val="00FC511D"/>
    <w:rsid w:val="00FC68BC"/>
    <w:rsid w:val="00FD11D4"/>
    <w:rsid w:val="00FD225D"/>
    <w:rsid w:val="00FD2384"/>
    <w:rsid w:val="00FE35BD"/>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8C7168B"/>
  <w15:docId w15:val="{13CA54F8-1D08-46BD-980A-6F11FC46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F87E58"/>
    <w:pPr>
      <w:keepNext/>
      <w:keepLines/>
      <w:spacing w:before="40" w:after="0"/>
      <w:ind w:firstLine="0"/>
      <w:jc w:val="left"/>
      <w:outlineLvl w:val="3"/>
    </w:pPr>
    <w:rPr>
      <w:rFonts w:ascii="Cambria" w:hAnsi="Cambria"/>
      <w:i/>
      <w:iCs/>
      <w:color w:val="365F91"/>
      <w:sz w:val="24"/>
      <w:szCs w:val="24"/>
      <w:lang w:val="es-ES" w:eastAsia="es-ES"/>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qFormat/>
    <w:rsid w:val="00F87E58"/>
    <w:pPr>
      <w:keepNext/>
      <w:spacing w:after="0"/>
      <w:ind w:firstLine="0"/>
      <w:jc w:val="center"/>
      <w:outlineLvl w:val="6"/>
    </w:pPr>
    <w:rPr>
      <w:sz w:val="5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Descripcin"/>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semiHidden/>
    <w:rsid w:val="00F87E58"/>
    <w:rPr>
      <w:rFonts w:ascii="Cambria" w:hAnsi="Cambria"/>
      <w:i/>
      <w:iCs/>
      <w:color w:val="365F91"/>
      <w:sz w:val="24"/>
      <w:szCs w:val="24"/>
    </w:rPr>
  </w:style>
  <w:style w:type="character" w:customStyle="1" w:styleId="Ttulo7Car">
    <w:name w:val="Título 7 Car"/>
    <w:basedOn w:val="Fuentedeprrafopredeter"/>
    <w:link w:val="Ttulo7"/>
    <w:rsid w:val="00F87E58"/>
    <w:rPr>
      <w:sz w:val="52"/>
      <w:szCs w:val="24"/>
    </w:rPr>
  </w:style>
  <w:style w:type="character" w:customStyle="1" w:styleId="Ttulo1Car">
    <w:name w:val="Título 1 Car"/>
    <w:link w:val="Ttulo1"/>
    <w:locked/>
    <w:rsid w:val="00F87E58"/>
    <w:rPr>
      <w:rFonts w:ascii="Arial" w:hAnsi="Arial" w:cs="Arial"/>
      <w:b/>
      <w:bCs/>
      <w:kern w:val="32"/>
      <w:sz w:val="32"/>
      <w:szCs w:val="32"/>
      <w:lang w:val="es-ES_tradnl" w:eastAsia="en-US"/>
    </w:rPr>
  </w:style>
  <w:style w:type="character" w:customStyle="1" w:styleId="Ttulo2Car">
    <w:name w:val="Título 2 Car"/>
    <w:link w:val="Ttulo2"/>
    <w:locked/>
    <w:rsid w:val="00F87E58"/>
    <w:rPr>
      <w:rFonts w:ascii="Arial" w:hAnsi="Arial" w:cs="Arial"/>
      <w:b/>
      <w:bCs/>
      <w:i/>
      <w:iCs/>
      <w:sz w:val="28"/>
      <w:szCs w:val="28"/>
      <w:lang w:val="es-ES_tradnl" w:eastAsia="en-US"/>
    </w:rPr>
  </w:style>
  <w:style w:type="character" w:customStyle="1" w:styleId="Ttulo3Car">
    <w:name w:val="Título 3 Car"/>
    <w:link w:val="Ttulo3"/>
    <w:locked/>
    <w:rsid w:val="00F87E58"/>
    <w:rPr>
      <w:rFonts w:ascii="Arial" w:hAnsi="Arial" w:cs="Arial"/>
      <w:b/>
      <w:bCs/>
      <w:szCs w:val="26"/>
      <w:lang w:val="es-ES_tradnl" w:eastAsia="en-US"/>
    </w:rPr>
  </w:style>
  <w:style w:type="character" w:customStyle="1" w:styleId="Ttulo5Car">
    <w:name w:val="Título 5 Car"/>
    <w:link w:val="Ttulo5"/>
    <w:locked/>
    <w:rsid w:val="00F87E58"/>
    <w:rPr>
      <w:b/>
      <w:sz w:val="28"/>
      <w:lang w:eastAsia="en-US"/>
    </w:rPr>
  </w:style>
  <w:style w:type="character" w:customStyle="1" w:styleId="atitulo1Car">
    <w:name w:val="atitulo1 Car"/>
    <w:link w:val="atitulo1"/>
    <w:uiPriority w:val="99"/>
    <w:qFormat/>
    <w:rsid w:val="00F87E58"/>
    <w:rPr>
      <w:rFonts w:ascii="Arial" w:hAnsi="Arial"/>
      <w:b/>
      <w:color w:val="000000"/>
      <w:kern w:val="28"/>
      <w:sz w:val="25"/>
      <w:szCs w:val="26"/>
      <w:lang w:val="es-ES_tradnl" w:eastAsia="en-US"/>
    </w:rPr>
  </w:style>
  <w:style w:type="character" w:customStyle="1" w:styleId="atitulo2Car">
    <w:name w:val="atitulo2 Car"/>
    <w:link w:val="atitulo2"/>
    <w:uiPriority w:val="99"/>
    <w:locked/>
    <w:rsid w:val="00F87E58"/>
    <w:rPr>
      <w:rFonts w:ascii="Arial" w:hAnsi="Arial"/>
      <w:bCs/>
      <w:iCs/>
      <w:color w:val="000000"/>
      <w:spacing w:val="10"/>
      <w:kern w:val="28"/>
      <w:sz w:val="25"/>
      <w:szCs w:val="26"/>
      <w:lang w:val="es-ES_tradnl" w:eastAsia="en-US"/>
    </w:rPr>
  </w:style>
  <w:style w:type="character" w:customStyle="1" w:styleId="atitulo3Car">
    <w:name w:val="atitulo3 Car"/>
    <w:link w:val="atitulo3"/>
    <w:rsid w:val="00F87E58"/>
    <w:rPr>
      <w:rFonts w:ascii="Arial" w:hAnsi="Arial"/>
      <w:i/>
      <w:iCs/>
      <w:color w:val="000000"/>
      <w:spacing w:val="10"/>
      <w:kern w:val="28"/>
      <w:sz w:val="25"/>
      <w:szCs w:val="26"/>
      <w:lang w:val="es-ES_tradnl" w:eastAsia="en-US"/>
    </w:rPr>
  </w:style>
  <w:style w:type="character" w:customStyle="1" w:styleId="TextodegloboCar">
    <w:name w:val="Texto de globo Car"/>
    <w:link w:val="Textodeglobo"/>
    <w:semiHidden/>
    <w:locked/>
    <w:rsid w:val="00F87E58"/>
    <w:rPr>
      <w:rFonts w:ascii="Tahoma" w:hAnsi="Tahoma" w:cs="Tahoma"/>
      <w:sz w:val="16"/>
      <w:szCs w:val="16"/>
      <w:lang w:val="es-ES_tradnl" w:eastAsia="en-US"/>
    </w:rPr>
  </w:style>
  <w:style w:type="character" w:customStyle="1" w:styleId="EncabezadoCar">
    <w:name w:val="Encabezado Car"/>
    <w:link w:val="Encabezado"/>
    <w:locked/>
    <w:rsid w:val="00F87E58"/>
    <w:rPr>
      <w:bCs/>
      <w:caps/>
      <w:sz w:val="14"/>
      <w:szCs w:val="12"/>
      <w:lang w:val="es-ES_tradnl" w:eastAsia="en-US"/>
    </w:rPr>
  </w:style>
  <w:style w:type="character" w:customStyle="1" w:styleId="PiedepginaCar">
    <w:name w:val="Pie de página Car"/>
    <w:link w:val="Piedepgina"/>
    <w:uiPriority w:val="99"/>
    <w:locked/>
    <w:rsid w:val="00F87E58"/>
    <w:rPr>
      <w:spacing w:val="6"/>
      <w:lang w:val="es-ES_tradnl" w:eastAsia="en-US"/>
    </w:rPr>
  </w:style>
  <w:style w:type="paragraph" w:customStyle="1" w:styleId="cuatitul">
    <w:name w:val="cuatitul"/>
    <w:basedOn w:val="Normal"/>
    <w:rsid w:val="00F87E58"/>
    <w:pPr>
      <w:spacing w:after="60"/>
      <w:ind w:firstLine="0"/>
      <w:jc w:val="center"/>
    </w:pPr>
    <w:rPr>
      <w:rFonts w:ascii="GillSans" w:eastAsia="Calibri" w:hAnsi="GillSans"/>
      <w:sz w:val="22"/>
      <w:szCs w:val="24"/>
      <w:lang w:val="es-ES" w:eastAsia="es-ES"/>
    </w:rPr>
  </w:style>
  <w:style w:type="paragraph" w:customStyle="1" w:styleId="TablaCC">
    <w:name w:val="TablaCC"/>
    <w:basedOn w:val="Normal"/>
    <w:rsid w:val="00F87E58"/>
    <w:pPr>
      <w:spacing w:before="200" w:after="0"/>
      <w:ind w:firstLine="0"/>
      <w:jc w:val="left"/>
    </w:pPr>
    <w:rPr>
      <w:rFonts w:ascii="Arial" w:eastAsia="Calibri" w:hAnsi="Arial"/>
      <w:b/>
      <w:sz w:val="24"/>
      <w:szCs w:val="24"/>
      <w:lang w:val="es-ES" w:eastAsia="es-ES"/>
    </w:rPr>
  </w:style>
  <w:style w:type="paragraph" w:customStyle="1" w:styleId="xl25">
    <w:name w:val="xl25"/>
    <w:basedOn w:val="Normal"/>
    <w:rsid w:val="00F87E58"/>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Textoindependiente">
    <w:name w:val="Body Text"/>
    <w:basedOn w:val="Normal"/>
    <w:link w:val="TextoindependienteCar"/>
    <w:rsid w:val="00F87E58"/>
    <w:pPr>
      <w:spacing w:after="0"/>
      <w:ind w:firstLine="0"/>
      <w:jc w:val="left"/>
    </w:pPr>
    <w:rPr>
      <w:rFonts w:ascii="Arial" w:eastAsia="Calibri" w:hAnsi="Arial"/>
      <w:sz w:val="24"/>
      <w:szCs w:val="24"/>
      <w:lang w:val="es-ES" w:eastAsia="es-ES"/>
    </w:rPr>
  </w:style>
  <w:style w:type="character" w:customStyle="1" w:styleId="TextoindependienteCar">
    <w:name w:val="Texto independiente Car"/>
    <w:basedOn w:val="Fuentedeprrafopredeter"/>
    <w:link w:val="Textoindependiente"/>
    <w:rsid w:val="00F87E58"/>
    <w:rPr>
      <w:rFonts w:ascii="Arial" w:eastAsia="Calibri" w:hAnsi="Arial"/>
      <w:sz w:val="24"/>
      <w:szCs w:val="24"/>
    </w:rPr>
  </w:style>
  <w:style w:type="paragraph" w:styleId="NormalWeb">
    <w:name w:val="Normal (Web)"/>
    <w:basedOn w:val="Normal"/>
    <w:uiPriority w:val="99"/>
    <w:rsid w:val="00F87E58"/>
    <w:pPr>
      <w:spacing w:before="100" w:beforeAutospacing="1" w:after="100" w:afterAutospacing="1"/>
      <w:ind w:firstLine="0"/>
      <w:jc w:val="left"/>
    </w:pPr>
    <w:rPr>
      <w:rFonts w:eastAsia="Calibri"/>
      <w:sz w:val="24"/>
      <w:szCs w:val="24"/>
      <w:lang w:val="es-ES" w:eastAsia="es-ES"/>
    </w:rPr>
  </w:style>
  <w:style w:type="character" w:customStyle="1" w:styleId="AyuntamientoCar">
    <w:name w:val="Ayuntamiento Car"/>
    <w:link w:val="Ayuntamiento"/>
    <w:locked/>
    <w:rsid w:val="00F87E58"/>
    <w:rPr>
      <w:rFonts w:ascii="Arial" w:hAnsi="Arial"/>
      <w:sz w:val="24"/>
      <w:lang w:val="x-none"/>
    </w:rPr>
  </w:style>
  <w:style w:type="paragraph" w:customStyle="1" w:styleId="Ayuntamiento">
    <w:name w:val="Ayuntamiento"/>
    <w:basedOn w:val="Normal"/>
    <w:link w:val="AyuntamientoCar"/>
    <w:rsid w:val="00F87E58"/>
    <w:pPr>
      <w:spacing w:after="0"/>
      <w:ind w:firstLine="0"/>
      <w:jc w:val="left"/>
    </w:pPr>
    <w:rPr>
      <w:rFonts w:ascii="Arial" w:hAnsi="Arial"/>
      <w:sz w:val="24"/>
      <w:lang w:val="x-none" w:eastAsia="es-ES"/>
    </w:rPr>
  </w:style>
  <w:style w:type="character" w:customStyle="1" w:styleId="JavierCar">
    <w:name w:val="Javier Car"/>
    <w:link w:val="Javier"/>
    <w:locked/>
    <w:rsid w:val="00F87E58"/>
    <w:rPr>
      <w:rFonts w:ascii="Arial" w:hAnsi="Arial"/>
      <w:sz w:val="24"/>
      <w:lang w:val="x-none"/>
    </w:rPr>
  </w:style>
  <w:style w:type="paragraph" w:customStyle="1" w:styleId="Javier">
    <w:name w:val="Javier"/>
    <w:basedOn w:val="Normal"/>
    <w:link w:val="JavierCar"/>
    <w:rsid w:val="00F87E58"/>
    <w:pPr>
      <w:spacing w:after="0"/>
      <w:ind w:firstLine="0"/>
      <w:jc w:val="left"/>
    </w:pPr>
    <w:rPr>
      <w:rFonts w:ascii="Arial" w:hAnsi="Arial"/>
      <w:sz w:val="24"/>
      <w:lang w:val="x-none" w:eastAsia="es-ES"/>
    </w:rPr>
  </w:style>
  <w:style w:type="character" w:styleId="Textoennegrita">
    <w:name w:val="Strong"/>
    <w:qFormat/>
    <w:rsid w:val="00F87E58"/>
    <w:rPr>
      <w:b/>
    </w:rPr>
  </w:style>
  <w:style w:type="paragraph" w:customStyle="1" w:styleId="foral-f-parrafo-c">
    <w:name w:val="foral-f-parrafo-c"/>
    <w:basedOn w:val="Normal"/>
    <w:rsid w:val="00F87E58"/>
    <w:pPr>
      <w:spacing w:after="240"/>
      <w:ind w:firstLine="0"/>
      <w:jc w:val="left"/>
    </w:pPr>
    <w:rPr>
      <w:rFonts w:eastAsia="Calibri"/>
      <w:sz w:val="24"/>
      <w:szCs w:val="24"/>
      <w:lang w:val="es-ES" w:eastAsia="es-ES"/>
    </w:rPr>
  </w:style>
  <w:style w:type="paragraph" w:customStyle="1" w:styleId="Estndar">
    <w:name w:val="Estándar"/>
    <w:rsid w:val="00F87E58"/>
    <w:pPr>
      <w:snapToGrid w:val="0"/>
    </w:pPr>
    <w:rPr>
      <w:rFonts w:ascii="CG Omega" w:hAnsi="CG Omega"/>
      <w:color w:val="000000"/>
      <w:sz w:val="22"/>
    </w:rPr>
  </w:style>
  <w:style w:type="paragraph" w:styleId="Textoindependiente2">
    <w:name w:val="Body Text 2"/>
    <w:basedOn w:val="Normal"/>
    <w:link w:val="Textoindependiente2Car"/>
    <w:rsid w:val="00F87E58"/>
    <w:pPr>
      <w:spacing w:after="120" w:line="480" w:lineRule="auto"/>
      <w:ind w:firstLine="0"/>
      <w:jc w:val="left"/>
    </w:pPr>
    <w:rPr>
      <w:rFonts w:eastAsia="Calibri"/>
      <w:sz w:val="24"/>
      <w:szCs w:val="24"/>
      <w:lang w:val="es-ES" w:eastAsia="es-ES"/>
    </w:rPr>
  </w:style>
  <w:style w:type="character" w:customStyle="1" w:styleId="Textoindependiente2Car">
    <w:name w:val="Texto independiente 2 Car"/>
    <w:basedOn w:val="Fuentedeprrafopredeter"/>
    <w:link w:val="Textoindependiente2"/>
    <w:rsid w:val="00F87E58"/>
    <w:rPr>
      <w:rFonts w:eastAsia="Calibri"/>
      <w:sz w:val="24"/>
      <w:szCs w:val="24"/>
    </w:rPr>
  </w:style>
  <w:style w:type="paragraph" w:styleId="Textoindependiente3">
    <w:name w:val="Body Text 3"/>
    <w:basedOn w:val="Normal"/>
    <w:link w:val="Textoindependiente3Car"/>
    <w:rsid w:val="00F87E58"/>
    <w:pPr>
      <w:spacing w:after="0"/>
      <w:ind w:firstLine="0"/>
      <w:jc w:val="center"/>
    </w:pPr>
    <w:rPr>
      <w:rFonts w:ascii="ITCCentury Book" w:hAnsi="ITCCentury Book"/>
      <w:b/>
      <w:sz w:val="96"/>
      <w:szCs w:val="24"/>
      <w:lang w:val="es-ES" w:eastAsia="es-ES"/>
    </w:rPr>
  </w:style>
  <w:style w:type="character" w:customStyle="1" w:styleId="Textoindependiente3Car">
    <w:name w:val="Texto independiente 3 Car"/>
    <w:basedOn w:val="Fuentedeprrafopredeter"/>
    <w:link w:val="Textoindependiente3"/>
    <w:rsid w:val="00F87E58"/>
    <w:rPr>
      <w:rFonts w:ascii="ITCCentury Book" w:hAnsi="ITCCentury Book"/>
      <w:b/>
      <w:sz w:val="96"/>
      <w:szCs w:val="24"/>
    </w:rPr>
  </w:style>
  <w:style w:type="paragraph" w:customStyle="1" w:styleId="c22">
    <w:name w:val="c22"/>
    <w:basedOn w:val="Normal"/>
    <w:rsid w:val="00F87E58"/>
    <w:pPr>
      <w:spacing w:before="100" w:beforeAutospacing="1" w:after="100" w:afterAutospacing="1"/>
      <w:ind w:firstLine="0"/>
      <w:jc w:val="left"/>
    </w:pPr>
    <w:rPr>
      <w:sz w:val="24"/>
      <w:szCs w:val="24"/>
      <w:lang w:val="es-ES" w:eastAsia="es-ES"/>
    </w:rPr>
  </w:style>
  <w:style w:type="paragraph" w:customStyle="1" w:styleId="np">
    <w:name w:val="np"/>
    <w:basedOn w:val="Normal"/>
    <w:rsid w:val="00F87E58"/>
    <w:pPr>
      <w:spacing w:before="100" w:beforeAutospacing="1" w:after="100" w:afterAutospacing="1"/>
      <w:ind w:firstLine="0"/>
      <w:jc w:val="left"/>
    </w:pPr>
    <w:rPr>
      <w:sz w:val="24"/>
      <w:szCs w:val="24"/>
      <w:lang w:val="es-ES" w:eastAsia="es-ES"/>
    </w:rPr>
  </w:style>
  <w:style w:type="paragraph" w:customStyle="1" w:styleId="Default">
    <w:name w:val="Default"/>
    <w:rsid w:val="00F87E58"/>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F87E58"/>
    <w:pPr>
      <w:overflowPunct w:val="0"/>
      <w:adjustRightInd w:val="0"/>
      <w:spacing w:before="240" w:after="0"/>
      <w:ind w:firstLine="0"/>
      <w:jc w:val="left"/>
    </w:pPr>
    <w:rPr>
      <w:sz w:val="22"/>
      <w:szCs w:val="24"/>
      <w:lang w:val="es-ES" w:eastAsia="es-ES"/>
    </w:rPr>
  </w:style>
  <w:style w:type="paragraph" w:styleId="Textonotapie">
    <w:name w:val="footnote text"/>
    <w:basedOn w:val="Normal"/>
    <w:link w:val="TextonotapieCar"/>
    <w:rsid w:val="00F87E58"/>
    <w:pPr>
      <w:spacing w:after="0"/>
      <w:ind w:firstLine="0"/>
      <w:jc w:val="left"/>
    </w:pPr>
    <w:rPr>
      <w:rFonts w:eastAsia="Calibri"/>
      <w:sz w:val="24"/>
      <w:szCs w:val="24"/>
      <w:lang w:val="es-ES" w:eastAsia="es-ES"/>
    </w:rPr>
  </w:style>
  <w:style w:type="character" w:customStyle="1" w:styleId="TextonotapieCar">
    <w:name w:val="Texto nota pie Car"/>
    <w:basedOn w:val="Fuentedeprrafopredeter"/>
    <w:link w:val="Textonotapie"/>
    <w:rsid w:val="00F87E58"/>
    <w:rPr>
      <w:rFonts w:eastAsia="Calibri"/>
      <w:sz w:val="24"/>
      <w:szCs w:val="24"/>
    </w:rPr>
  </w:style>
  <w:style w:type="character" w:styleId="Refdenotaalpie">
    <w:name w:val="footnote reference"/>
    <w:rsid w:val="00F87E58"/>
    <w:rPr>
      <w:vertAlign w:val="superscript"/>
    </w:rPr>
  </w:style>
  <w:style w:type="paragraph" w:styleId="Prrafodelista">
    <w:name w:val="List Paragraph"/>
    <w:basedOn w:val="Normal"/>
    <w:uiPriority w:val="34"/>
    <w:qFormat/>
    <w:rsid w:val="00F87E58"/>
    <w:pPr>
      <w:spacing w:after="0"/>
      <w:ind w:left="720" w:firstLine="0"/>
      <w:contextualSpacing/>
      <w:jc w:val="left"/>
    </w:pPr>
    <w:rPr>
      <w:rFonts w:eastAsia="Calibri"/>
      <w:sz w:val="24"/>
      <w:szCs w:val="24"/>
      <w:lang w:val="es-ES" w:eastAsia="es-ES"/>
    </w:rPr>
  </w:style>
  <w:style w:type="character" w:styleId="Hipervnculovisitado">
    <w:name w:val="FollowedHyperlink"/>
    <w:rsid w:val="00F87E58"/>
    <w:rPr>
      <w:color w:val="800080"/>
      <w:u w:val="single"/>
    </w:rPr>
  </w:style>
  <w:style w:type="table" w:styleId="Tablaconlista5">
    <w:name w:val="Table List 5"/>
    <w:basedOn w:val="Tablanormal"/>
    <w:rsid w:val="00F87E58"/>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markedcontent">
    <w:name w:val="markedcontent"/>
    <w:rsid w:val="00F87E58"/>
  </w:style>
  <w:style w:type="character" w:styleId="nfasis">
    <w:name w:val="Emphasis"/>
    <w:uiPriority w:val="20"/>
    <w:qFormat/>
    <w:rsid w:val="00F87E58"/>
    <w:rPr>
      <w:i/>
      <w:iCs/>
    </w:rPr>
  </w:style>
  <w:style w:type="character" w:customStyle="1" w:styleId="normaltextrun">
    <w:name w:val="normaltextrun"/>
    <w:rsid w:val="00F87E58"/>
  </w:style>
  <w:style w:type="character" w:customStyle="1" w:styleId="eop">
    <w:name w:val="eop"/>
    <w:rsid w:val="00F8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lineChart>
        <c:grouping val="standard"/>
        <c:varyColors val="0"/>
        <c:ser>
          <c:idx val="0"/>
          <c:order val="0"/>
          <c:tx>
            <c:strRef>
              <c:f>visitantes!$C$36</c:f>
              <c:strCache>
                <c:ptCount val="1"/>
                <c:pt idx="0">
                  <c:v>Nº visitantes</c:v>
                </c:pt>
              </c:strCache>
            </c:strRef>
          </c:tx>
          <c:spPr>
            <a:ln w="28563" cap="rnd">
              <a:solidFill>
                <a:schemeClr val="accent1"/>
              </a:solidFill>
              <a:round/>
            </a:ln>
            <a:effectLst/>
          </c:spPr>
          <c:marker>
            <c:symbol val="none"/>
          </c:marker>
          <c:cat>
            <c:numRef>
              <c:f>visitantes!$D$35:$W$35</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visitantes!$D$36:$W$36</c:f>
              <c:numCache>
                <c:formatCode>#.##0</c:formatCode>
                <c:ptCount val="20"/>
                <c:pt idx="0" formatCode="General">
                  <c:v>0</c:v>
                </c:pt>
                <c:pt idx="1">
                  <c:v>68086</c:v>
                </c:pt>
                <c:pt idx="2">
                  <c:v>41600</c:v>
                </c:pt>
                <c:pt idx="3">
                  <c:v>112426</c:v>
                </c:pt>
                <c:pt idx="4">
                  <c:v>165848</c:v>
                </c:pt>
                <c:pt idx="5">
                  <c:v>175135</c:v>
                </c:pt>
                <c:pt idx="6">
                  <c:v>184576</c:v>
                </c:pt>
                <c:pt idx="7">
                  <c:v>179029</c:v>
                </c:pt>
                <c:pt idx="8">
                  <c:v>194478</c:v>
                </c:pt>
                <c:pt idx="9">
                  <c:v>157777</c:v>
                </c:pt>
                <c:pt idx="10">
                  <c:v>156040</c:v>
                </c:pt>
                <c:pt idx="11">
                  <c:v>187035</c:v>
                </c:pt>
                <c:pt idx="12">
                  <c:v>181500</c:v>
                </c:pt>
                <c:pt idx="13">
                  <c:v>179235</c:v>
                </c:pt>
                <c:pt idx="14">
                  <c:v>183719</c:v>
                </c:pt>
                <c:pt idx="15">
                  <c:v>196566</c:v>
                </c:pt>
                <c:pt idx="16">
                  <c:v>174008</c:v>
                </c:pt>
                <c:pt idx="17">
                  <c:v>66731</c:v>
                </c:pt>
                <c:pt idx="18">
                  <c:v>194806</c:v>
                </c:pt>
                <c:pt idx="19">
                  <c:v>142022</c:v>
                </c:pt>
              </c:numCache>
            </c:numRef>
          </c:val>
          <c:smooth val="0"/>
          <c:extLst>
            <c:ext xmlns:c16="http://schemas.microsoft.com/office/drawing/2014/chart" uri="{C3380CC4-5D6E-409C-BE32-E72D297353CC}">
              <c16:uniqueId val="{00000000-D370-44B9-82B8-C11ABB80208B}"/>
            </c:ext>
          </c:extLst>
        </c:ser>
        <c:dLbls>
          <c:showLegendKey val="0"/>
          <c:showVal val="0"/>
          <c:showCatName val="0"/>
          <c:showSerName val="0"/>
          <c:showPercent val="0"/>
          <c:showBubbleSize val="0"/>
        </c:dLbls>
        <c:smooth val="0"/>
        <c:axId val="202253944"/>
        <c:axId val="1"/>
      </c:lineChart>
      <c:catAx>
        <c:axId val="202253944"/>
        <c:scaling>
          <c:orientation val="minMax"/>
        </c:scaling>
        <c:delete val="0"/>
        <c:axPos val="b"/>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02253944"/>
        <c:crosses val="autoZero"/>
        <c:crossBetween val="between"/>
      </c:valAx>
      <c:spPr>
        <a:noFill/>
        <a:ln w="25389">
          <a:noFill/>
        </a:ln>
      </c:spPr>
    </c:plotArea>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es-ES"/>
              <a:t>Resultados</a:t>
            </a:r>
            <a:r>
              <a:rPr lang="es-ES" baseline="0"/>
              <a:t> y Ebitda</a:t>
            </a:r>
            <a:endParaRPr lang="es-ES"/>
          </a:p>
        </c:rich>
      </c:tx>
      <c:overlay val="0"/>
      <c:spPr>
        <a:noFill/>
        <a:ln>
          <a:noFill/>
        </a:ln>
        <a:effectLst/>
      </c:spPr>
    </c:title>
    <c:autoTitleDeleted val="0"/>
    <c:plotArea>
      <c:layout/>
      <c:lineChart>
        <c:grouping val="standard"/>
        <c:varyColors val="0"/>
        <c:ser>
          <c:idx val="0"/>
          <c:order val="0"/>
          <c:tx>
            <c:strRef>
              <c:f>Hoja3!$F$12</c:f>
              <c:strCache>
                <c:ptCount val="1"/>
                <c:pt idx="0">
                  <c:v>Resultado ejercicio</c:v>
                </c:pt>
              </c:strCache>
            </c:strRef>
          </c:tx>
          <c:spPr>
            <a:ln w="28530" cap="rnd">
              <a:solidFill>
                <a:schemeClr val="accent1"/>
              </a:solidFill>
              <a:round/>
            </a:ln>
            <a:effectLst/>
          </c:spPr>
          <c:marker>
            <c:symbol val="none"/>
          </c:marker>
          <c:cat>
            <c:numRef>
              <c:f>Hoja3!$G$11:$Z$11</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Hoja3!$G$12:$Z$12</c:f>
              <c:numCache>
                <c:formatCode>General</c:formatCode>
                <c:ptCount val="20"/>
                <c:pt idx="0">
                  <c:v>-0.44</c:v>
                </c:pt>
                <c:pt idx="1">
                  <c:v>-2.58</c:v>
                </c:pt>
                <c:pt idx="2">
                  <c:v>-4</c:v>
                </c:pt>
                <c:pt idx="3">
                  <c:v>-4.46</c:v>
                </c:pt>
                <c:pt idx="4">
                  <c:v>-4.38</c:v>
                </c:pt>
                <c:pt idx="5">
                  <c:v>-4.17</c:v>
                </c:pt>
                <c:pt idx="6">
                  <c:v>-4.1399999999999997</c:v>
                </c:pt>
                <c:pt idx="7">
                  <c:v>-4.3</c:v>
                </c:pt>
                <c:pt idx="8">
                  <c:v>-4.04</c:v>
                </c:pt>
                <c:pt idx="9">
                  <c:v>-4.05</c:v>
                </c:pt>
                <c:pt idx="10">
                  <c:v>-3.8</c:v>
                </c:pt>
                <c:pt idx="11">
                  <c:v>-2.86</c:v>
                </c:pt>
                <c:pt idx="12">
                  <c:v>-2.93</c:v>
                </c:pt>
                <c:pt idx="13">
                  <c:v>-2.5</c:v>
                </c:pt>
                <c:pt idx="14">
                  <c:v>-2.54</c:v>
                </c:pt>
                <c:pt idx="15">
                  <c:v>-2.44</c:v>
                </c:pt>
                <c:pt idx="16">
                  <c:v>-2.69</c:v>
                </c:pt>
                <c:pt idx="17">
                  <c:v>-3.34</c:v>
                </c:pt>
                <c:pt idx="18">
                  <c:v>-2</c:v>
                </c:pt>
                <c:pt idx="19">
                  <c:v>-2.21</c:v>
                </c:pt>
              </c:numCache>
            </c:numRef>
          </c:val>
          <c:smooth val="0"/>
          <c:extLst>
            <c:ext xmlns:c16="http://schemas.microsoft.com/office/drawing/2014/chart" uri="{C3380CC4-5D6E-409C-BE32-E72D297353CC}">
              <c16:uniqueId val="{00000000-1F6A-4F94-B34C-1EAB8AFA3FA5}"/>
            </c:ext>
          </c:extLst>
        </c:ser>
        <c:ser>
          <c:idx val="1"/>
          <c:order val="1"/>
          <c:tx>
            <c:strRef>
              <c:f>Hoja3!$F$13</c:f>
              <c:strCache>
                <c:ptCount val="1"/>
                <c:pt idx="0">
                  <c:v>Ebitda*</c:v>
                </c:pt>
              </c:strCache>
            </c:strRef>
          </c:tx>
          <c:spPr>
            <a:ln w="28530" cap="rnd">
              <a:solidFill>
                <a:schemeClr val="accent2"/>
              </a:solidFill>
              <a:round/>
            </a:ln>
            <a:effectLst/>
          </c:spPr>
          <c:marker>
            <c:symbol val="none"/>
          </c:marker>
          <c:cat>
            <c:numRef>
              <c:f>Hoja3!$G$11:$Z$11</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Hoja3!$G$13:$Z$13</c:f>
              <c:numCache>
                <c:formatCode>General</c:formatCode>
                <c:ptCount val="20"/>
                <c:pt idx="0">
                  <c:v>-0.28000000000000003</c:v>
                </c:pt>
                <c:pt idx="1">
                  <c:v>-1.42</c:v>
                </c:pt>
                <c:pt idx="2">
                  <c:v>-2.16</c:v>
                </c:pt>
                <c:pt idx="3">
                  <c:v>-2.08</c:v>
                </c:pt>
                <c:pt idx="4">
                  <c:v>-1.73</c:v>
                </c:pt>
                <c:pt idx="5">
                  <c:v>-1.67</c:v>
                </c:pt>
                <c:pt idx="6">
                  <c:v>-1.64</c:v>
                </c:pt>
                <c:pt idx="7">
                  <c:v>-1.78</c:v>
                </c:pt>
                <c:pt idx="8">
                  <c:v>-1.56</c:v>
                </c:pt>
                <c:pt idx="9">
                  <c:v>-1.81</c:v>
                </c:pt>
                <c:pt idx="10">
                  <c:v>-1.88</c:v>
                </c:pt>
                <c:pt idx="11">
                  <c:v>-1.21</c:v>
                </c:pt>
                <c:pt idx="12">
                  <c:v>-1.28</c:v>
                </c:pt>
                <c:pt idx="13">
                  <c:v>-1.1599999999999999</c:v>
                </c:pt>
                <c:pt idx="14">
                  <c:v>-1.33</c:v>
                </c:pt>
                <c:pt idx="15">
                  <c:v>-1.23</c:v>
                </c:pt>
                <c:pt idx="16">
                  <c:v>-1.62</c:v>
                </c:pt>
                <c:pt idx="17">
                  <c:v>-2.2999999999999998</c:v>
                </c:pt>
                <c:pt idx="18">
                  <c:v>-0.98</c:v>
                </c:pt>
                <c:pt idx="19">
                  <c:v>-1.25</c:v>
                </c:pt>
              </c:numCache>
            </c:numRef>
          </c:val>
          <c:smooth val="0"/>
          <c:extLst>
            <c:ext xmlns:c16="http://schemas.microsoft.com/office/drawing/2014/chart" uri="{C3380CC4-5D6E-409C-BE32-E72D297353CC}">
              <c16:uniqueId val="{00000001-1F6A-4F94-B34C-1EAB8AFA3FA5}"/>
            </c:ext>
          </c:extLst>
        </c:ser>
        <c:dLbls>
          <c:showLegendKey val="0"/>
          <c:showVal val="0"/>
          <c:showCatName val="0"/>
          <c:showSerName val="0"/>
          <c:showPercent val="0"/>
          <c:showBubbleSize val="0"/>
        </c:dLbls>
        <c:smooth val="0"/>
        <c:axId val="202254272"/>
        <c:axId val="1"/>
      </c:lineChart>
      <c:catAx>
        <c:axId val="202254272"/>
        <c:scaling>
          <c:orientation val="minMax"/>
        </c:scaling>
        <c:delete val="0"/>
        <c:axPos val="b"/>
        <c:numFmt formatCode="General" sourceLinked="1"/>
        <c:majorTickMark val="none"/>
        <c:minorTickMark val="none"/>
        <c:tickLblPos val="nextTo"/>
        <c:spPr>
          <a:noFill/>
          <a:ln w="9510"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1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202254272"/>
        <c:crosses val="autoZero"/>
        <c:crossBetween val="between"/>
      </c:valAx>
      <c:spPr>
        <a:noFill/>
        <a:ln w="25360">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10"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'Resumen Sodena 2001-22  (2)'!$B$47</c:f>
              <c:strCache>
                <c:ptCount val="1"/>
                <c:pt idx="0">
                  <c:v>Rtdo Ejercicio</c:v>
                </c:pt>
              </c:strCache>
            </c:strRef>
          </c:tx>
          <c:spPr>
            <a:ln w="28556" cap="rnd">
              <a:solidFill>
                <a:schemeClr val="accent1"/>
              </a:solidFill>
              <a:round/>
            </a:ln>
            <a:effectLst/>
          </c:spPr>
          <c:marker>
            <c:symbol val="none"/>
          </c:marker>
          <c:cat>
            <c:numRef>
              <c:f>'Resumen Sodena 2001-22  (2)'!$C$46:$X$46</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'Resumen Sodena 2001-22  (2)'!$C$47:$X$47</c:f>
              <c:numCache>
                <c:formatCode>#.##000;\(#.##000\)</c:formatCode>
                <c:ptCount val="22"/>
                <c:pt idx="0">
                  <c:v>1.47E-3</c:v>
                </c:pt>
                <c:pt idx="1">
                  <c:v>-3.6540000000000003E-2</c:v>
                </c:pt>
                <c:pt idx="2">
                  <c:v>-0.436444</c:v>
                </c:pt>
                <c:pt idx="3">
                  <c:v>-2.5758139999999998</c:v>
                </c:pt>
                <c:pt idx="4">
                  <c:v>-3.9980560000000001</c:v>
                </c:pt>
                <c:pt idx="5">
                  <c:v>-4.4599669999999998</c:v>
                </c:pt>
                <c:pt idx="6">
                  <c:v>-4.3772669999999998</c:v>
                </c:pt>
                <c:pt idx="7">
                  <c:v>-4.1689850000000002</c:v>
                </c:pt>
                <c:pt idx="8">
                  <c:v>-4.1362069999999997</c:v>
                </c:pt>
                <c:pt idx="9">
                  <c:v>-4.3002760000000002</c:v>
                </c:pt>
                <c:pt idx="10">
                  <c:v>-4.0448310000000003</c:v>
                </c:pt>
                <c:pt idx="11">
                  <c:v>-4.0503130000000001</c:v>
                </c:pt>
                <c:pt idx="12">
                  <c:v>-3.7972489999999999</c:v>
                </c:pt>
                <c:pt idx="13">
                  <c:v>-2.8564660000000002</c:v>
                </c:pt>
                <c:pt idx="14">
                  <c:v>-2.9287070000000002</c:v>
                </c:pt>
                <c:pt idx="15">
                  <c:v>-2.50291</c:v>
                </c:pt>
                <c:pt idx="16">
                  <c:v>-2.5410560000000002</c:v>
                </c:pt>
                <c:pt idx="17">
                  <c:v>-2.4368820000000002</c:v>
                </c:pt>
                <c:pt idx="18">
                  <c:v>-2.694944</c:v>
                </c:pt>
                <c:pt idx="19">
                  <c:v>-3.3445670000000001</c:v>
                </c:pt>
                <c:pt idx="20">
                  <c:v>-1.9954559999999999</c:v>
                </c:pt>
                <c:pt idx="21">
                  <c:v>-2.2101980000000001</c:v>
                </c:pt>
              </c:numCache>
            </c:numRef>
          </c:val>
          <c:smooth val="0"/>
          <c:extLst>
            <c:ext xmlns:c16="http://schemas.microsoft.com/office/drawing/2014/chart" uri="{C3380CC4-5D6E-409C-BE32-E72D297353CC}">
              <c16:uniqueId val="{00000000-F71F-440C-98BF-9614E6D9D992}"/>
            </c:ext>
          </c:extLst>
        </c:ser>
        <c:ser>
          <c:idx val="1"/>
          <c:order val="1"/>
          <c:tx>
            <c:strRef>
              <c:f>'Resumen Sodena 2001-22  (2)'!$B$48</c:f>
              <c:strCache>
                <c:ptCount val="1"/>
                <c:pt idx="0">
                  <c:v>Deterioro Anual Préstamos</c:v>
                </c:pt>
              </c:strCache>
            </c:strRef>
          </c:tx>
          <c:spPr>
            <a:ln w="28556" cap="rnd">
              <a:solidFill>
                <a:schemeClr val="accent2"/>
              </a:solidFill>
              <a:round/>
            </a:ln>
            <a:effectLst/>
          </c:spPr>
          <c:marker>
            <c:symbol val="none"/>
          </c:marker>
          <c:cat>
            <c:numRef>
              <c:f>'Resumen Sodena 2001-22  (2)'!$C$46:$X$46</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'Resumen Sodena 2001-22  (2)'!$C$48:$X$48</c:f>
              <c:numCache>
                <c:formatCode>#.##000;\(#.##000\)</c:formatCode>
                <c:ptCount val="22"/>
                <c:pt idx="0">
                  <c:v>0</c:v>
                </c:pt>
                <c:pt idx="1">
                  <c:v>0</c:v>
                </c:pt>
                <c:pt idx="2">
                  <c:v>0</c:v>
                </c:pt>
                <c:pt idx="3">
                  <c:v>0</c:v>
                </c:pt>
                <c:pt idx="4">
                  <c:v>-4.0401490000000004</c:v>
                </c:pt>
                <c:pt idx="5">
                  <c:v>-2.3798010000000001</c:v>
                </c:pt>
                <c:pt idx="6">
                  <c:v>-4.0124649999999997</c:v>
                </c:pt>
                <c:pt idx="7">
                  <c:v>-3.826559</c:v>
                </c:pt>
                <c:pt idx="8">
                  <c:v>-2.7529089999999998</c:v>
                </c:pt>
                <c:pt idx="9">
                  <c:v>-2.8164470000000001</c:v>
                </c:pt>
                <c:pt idx="10">
                  <c:v>-4.3537650000000001</c:v>
                </c:pt>
                <c:pt idx="11">
                  <c:v>-4.0307399999999998</c:v>
                </c:pt>
                <c:pt idx="12">
                  <c:v>-4</c:v>
                </c:pt>
                <c:pt idx="13">
                  <c:v>-2.6830949999999998</c:v>
                </c:pt>
                <c:pt idx="14">
                  <c:v>-2.9110900000000002</c:v>
                </c:pt>
                <c:pt idx="15">
                  <c:v>-2.7096979999999999</c:v>
                </c:pt>
                <c:pt idx="16">
                  <c:v>-2.4905759999999999</c:v>
                </c:pt>
                <c:pt idx="17">
                  <c:v>-2.3630779999999998</c:v>
                </c:pt>
                <c:pt idx="18">
                  <c:v>-2.85</c:v>
                </c:pt>
                <c:pt idx="19">
                  <c:v>-3.3450009999999999</c:v>
                </c:pt>
                <c:pt idx="20">
                  <c:v>-1.9948710000000001</c:v>
                </c:pt>
                <c:pt idx="21">
                  <c:v>-2.2200000000000002</c:v>
                </c:pt>
              </c:numCache>
            </c:numRef>
          </c:val>
          <c:smooth val="0"/>
          <c:extLst>
            <c:ext xmlns:c16="http://schemas.microsoft.com/office/drawing/2014/chart" uri="{C3380CC4-5D6E-409C-BE32-E72D297353CC}">
              <c16:uniqueId val="{00000001-F71F-440C-98BF-9614E6D9D992}"/>
            </c:ext>
          </c:extLst>
        </c:ser>
        <c:dLbls>
          <c:showLegendKey val="0"/>
          <c:showVal val="0"/>
          <c:showCatName val="0"/>
          <c:showSerName val="0"/>
          <c:showPercent val="0"/>
          <c:showBubbleSize val="0"/>
        </c:dLbls>
        <c:smooth val="0"/>
        <c:axId val="202258208"/>
        <c:axId val="1"/>
      </c:lineChart>
      <c:catAx>
        <c:axId val="202258208"/>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202258208"/>
        <c:crosses val="autoZero"/>
        <c:crossBetween val="between"/>
      </c:valAx>
      <c:spPr>
        <a:noFill/>
        <a:ln w="25383">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'Resumen Sodena 2001-22  (2)'!$B$72</c:f>
              <c:strCache>
                <c:ptCount val="1"/>
                <c:pt idx="0">
                  <c:v>Deterioro anual prestamos</c:v>
                </c:pt>
              </c:strCache>
            </c:strRef>
          </c:tx>
          <c:spPr>
            <a:ln w="28558" cap="rnd">
              <a:solidFill>
                <a:schemeClr val="accent1"/>
              </a:solidFill>
              <a:round/>
            </a:ln>
            <a:effectLst/>
          </c:spPr>
          <c:marker>
            <c:symbol val="none"/>
          </c:marker>
          <c:cat>
            <c:numRef>
              <c:f>'Resumen Sodena 2001-22  (2)'!$C$71:$X$71</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'Resumen Sodena 2001-22  (2)'!$C$72:$X$72</c:f>
              <c:numCache>
                <c:formatCode>General</c:formatCode>
                <c:ptCount val="22"/>
                <c:pt idx="0">
                  <c:v>0</c:v>
                </c:pt>
                <c:pt idx="1">
                  <c:v>0</c:v>
                </c:pt>
                <c:pt idx="2">
                  <c:v>0</c:v>
                </c:pt>
                <c:pt idx="3">
                  <c:v>0</c:v>
                </c:pt>
                <c:pt idx="4">
                  <c:v>-4.04</c:v>
                </c:pt>
                <c:pt idx="5">
                  <c:v>-2.38</c:v>
                </c:pt>
                <c:pt idx="6">
                  <c:v>-4.01</c:v>
                </c:pt>
                <c:pt idx="7">
                  <c:v>-3.83</c:v>
                </c:pt>
                <c:pt idx="8">
                  <c:v>-2.75</c:v>
                </c:pt>
                <c:pt idx="9">
                  <c:v>-2.82</c:v>
                </c:pt>
                <c:pt idx="10">
                  <c:v>-4.3499999999999996</c:v>
                </c:pt>
                <c:pt idx="11">
                  <c:v>-4.03</c:v>
                </c:pt>
                <c:pt idx="12">
                  <c:v>-4</c:v>
                </c:pt>
                <c:pt idx="13">
                  <c:v>-2.68</c:v>
                </c:pt>
                <c:pt idx="14">
                  <c:v>-2.91</c:v>
                </c:pt>
                <c:pt idx="15">
                  <c:v>-2.71</c:v>
                </c:pt>
                <c:pt idx="16">
                  <c:v>-2.4900000000000002</c:v>
                </c:pt>
                <c:pt idx="17">
                  <c:v>-2.36</c:v>
                </c:pt>
                <c:pt idx="18">
                  <c:v>-2.85</c:v>
                </c:pt>
                <c:pt idx="19">
                  <c:v>-3.35</c:v>
                </c:pt>
                <c:pt idx="20">
                  <c:v>-1.99</c:v>
                </c:pt>
                <c:pt idx="21">
                  <c:v>-2.2200000000000002</c:v>
                </c:pt>
              </c:numCache>
            </c:numRef>
          </c:val>
          <c:smooth val="0"/>
          <c:extLst>
            <c:ext xmlns:c16="http://schemas.microsoft.com/office/drawing/2014/chart" uri="{C3380CC4-5D6E-409C-BE32-E72D297353CC}">
              <c16:uniqueId val="{00000000-5A71-4AC8-AEFB-FF08D9951A4F}"/>
            </c:ext>
          </c:extLst>
        </c:ser>
        <c:ser>
          <c:idx val="1"/>
          <c:order val="1"/>
          <c:tx>
            <c:strRef>
              <c:f>'Resumen Sodena 2001-22  (2)'!$B$73</c:f>
              <c:strCache>
                <c:ptCount val="1"/>
                <c:pt idx="0">
                  <c:v>Importe anual préstamo participativo</c:v>
                </c:pt>
              </c:strCache>
            </c:strRef>
          </c:tx>
          <c:spPr>
            <a:ln w="28558" cap="rnd">
              <a:solidFill>
                <a:schemeClr val="accent2"/>
              </a:solidFill>
              <a:round/>
            </a:ln>
            <a:effectLst/>
          </c:spPr>
          <c:marker>
            <c:symbol val="none"/>
          </c:marker>
          <c:cat>
            <c:numRef>
              <c:f>'Resumen Sodena 2001-22  (2)'!$C$71:$X$71</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'Resumen Sodena 2001-22  (2)'!$C$73:$X$73</c:f>
              <c:numCache>
                <c:formatCode>General</c:formatCode>
                <c:ptCount val="22"/>
                <c:pt idx="0">
                  <c:v>0</c:v>
                </c:pt>
                <c:pt idx="1">
                  <c:v>0</c:v>
                </c:pt>
                <c:pt idx="2">
                  <c:v>0</c:v>
                </c:pt>
                <c:pt idx="3">
                  <c:v>0</c:v>
                </c:pt>
                <c:pt idx="4">
                  <c:v>0</c:v>
                </c:pt>
                <c:pt idx="5">
                  <c:v>4.3</c:v>
                </c:pt>
                <c:pt idx="6">
                  <c:v>4.4000000000000004</c:v>
                </c:pt>
                <c:pt idx="7">
                  <c:v>4.2</c:v>
                </c:pt>
                <c:pt idx="8">
                  <c:v>3.85</c:v>
                </c:pt>
                <c:pt idx="9">
                  <c:v>4.3</c:v>
                </c:pt>
                <c:pt idx="10">
                  <c:v>4.33</c:v>
                </c:pt>
                <c:pt idx="11">
                  <c:v>4.05</c:v>
                </c:pt>
                <c:pt idx="12">
                  <c:v>3.75</c:v>
                </c:pt>
                <c:pt idx="13">
                  <c:v>3</c:v>
                </c:pt>
                <c:pt idx="14">
                  <c:v>2.9</c:v>
                </c:pt>
                <c:pt idx="15">
                  <c:v>2.5</c:v>
                </c:pt>
                <c:pt idx="16">
                  <c:v>2.5</c:v>
                </c:pt>
                <c:pt idx="17">
                  <c:v>2.4500000000000002</c:v>
                </c:pt>
                <c:pt idx="18">
                  <c:v>2.7</c:v>
                </c:pt>
                <c:pt idx="19">
                  <c:v>3.35</c:v>
                </c:pt>
                <c:pt idx="20">
                  <c:v>2</c:v>
                </c:pt>
                <c:pt idx="21">
                  <c:v>2.2200000000000002</c:v>
                </c:pt>
              </c:numCache>
            </c:numRef>
          </c:val>
          <c:smooth val="0"/>
          <c:extLst>
            <c:ext xmlns:c16="http://schemas.microsoft.com/office/drawing/2014/chart" uri="{C3380CC4-5D6E-409C-BE32-E72D297353CC}">
              <c16:uniqueId val="{00000001-5A71-4AC8-AEFB-FF08D9951A4F}"/>
            </c:ext>
          </c:extLst>
        </c:ser>
        <c:dLbls>
          <c:showLegendKey val="0"/>
          <c:showVal val="0"/>
          <c:showCatName val="0"/>
          <c:showSerName val="0"/>
          <c:showPercent val="0"/>
          <c:showBubbleSize val="0"/>
        </c:dLbls>
        <c:smooth val="0"/>
        <c:axId val="173659392"/>
        <c:axId val="1"/>
      </c:lineChart>
      <c:catAx>
        <c:axId val="173659392"/>
        <c:scaling>
          <c:orientation val="minMax"/>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1"/>
        <c:crosses val="autoZero"/>
        <c:auto val="1"/>
        <c:lblAlgn val="ctr"/>
        <c:lblOffset val="100"/>
        <c:noMultiLvlLbl val="0"/>
      </c:catAx>
      <c:valAx>
        <c:axId val="1"/>
        <c:scaling>
          <c:orientation val="minMax"/>
        </c:scaling>
        <c:delete val="0"/>
        <c:axPos val="l"/>
        <c:majorGridlines>
          <c:spPr>
            <a:ln w="9519"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crossAx val="173659392"/>
        <c:crosses val="autoZero"/>
        <c:crossBetween val="between"/>
      </c:valAx>
      <c:spPr>
        <a:noFill/>
        <a:ln w="25385">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19"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BC24-1FCE-4E91-A7F0-22D5C10C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46</Pages>
  <Words>14549</Words>
  <Characters>80103</Characters>
  <Application>Microsoft Office Word</Application>
  <DocSecurity>0</DocSecurity>
  <Lines>667</Lines>
  <Paragraphs>188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Aranaz, Carlota</cp:lastModifiedBy>
  <cp:revision>16</cp:revision>
  <cp:lastPrinted>2023-11-07T08:17:00Z</cp:lastPrinted>
  <dcterms:created xsi:type="dcterms:W3CDTF">2023-10-23T11:56:00Z</dcterms:created>
  <dcterms:modified xsi:type="dcterms:W3CDTF">2023-11-10T11:27:00Z</dcterms:modified>
</cp:coreProperties>
</file>