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E3C6" w14:textId="3085BCC0" w:rsidR="004B53B5" w:rsidRPr="00064D74" w:rsidRDefault="00064D74" w:rsidP="00064D74">
      <w:pPr>
        <w:pStyle w:val="Ttulo1"/>
        <w:spacing w:before="100" w:beforeAutospacing="1" w:after="200" w:line="276" w:lineRule="auto"/>
        <w:ind w:left="0" w:firstLine="672"/>
        <w:jc w:val="both"/>
        <w:rPr>
          <w:rFonts w:ascii="Calibri" w:hAnsi="Calibri" w:cs="Calibri"/>
          <w:b w:val="0"/>
          <w:bCs/>
          <w:sz w:val="22"/>
          <w:szCs w:val="22"/>
        </w:rPr>
      </w:pPr>
      <w:r w:rsidRPr="00064D74">
        <w:rPr>
          <w:rFonts w:ascii="Calibri" w:hAnsi="Calibri" w:cs="Calibri"/>
          <w:b w:val="0"/>
          <w:bCs/>
          <w:sz w:val="22"/>
          <w:szCs w:val="22"/>
        </w:rPr>
        <w:t>24MOC-29</w:t>
      </w:r>
    </w:p>
    <w:p w14:paraId="503B55B1" w14:textId="1F196C3B" w:rsidR="00064D74" w:rsidRDefault="00C64E39" w:rsidP="00064D74">
      <w:pPr>
        <w:spacing w:before="100" w:beforeAutospacing="1" w:after="200" w:line="276" w:lineRule="auto"/>
        <w:ind w:left="687" w:right="0" w:firstLine="0"/>
        <w:rPr>
          <w:rFonts w:ascii="Calibri" w:hAnsi="Calibri" w:cs="Calibri"/>
          <w:szCs w:val="22"/>
        </w:rPr>
      </w:pPr>
      <w:r w:rsidRPr="00064D74">
        <w:rPr>
          <w:rFonts w:ascii="Calibri" w:hAnsi="Calibri" w:cs="Calibri"/>
          <w:szCs w:val="22"/>
        </w:rPr>
        <w:t>Don Emilio Jiménez Román, miembro de las Cortes de Navarra, adscrito a la Agrupación Parlamentaria VOX Navarra, al amparo de lo dispuesto en el artículo 219 del Reglamento de la Cámara, presenta la siguiente</w:t>
      </w:r>
      <w:r w:rsidR="00064D74" w:rsidRPr="00064D74">
        <w:rPr>
          <w:rFonts w:ascii="Calibri" w:hAnsi="Calibri" w:cs="Calibri"/>
          <w:bCs/>
          <w:szCs w:val="22"/>
        </w:rPr>
        <w:t xml:space="preserve"> moción</w:t>
      </w:r>
      <w:r w:rsidR="00064D74" w:rsidRPr="00064D74">
        <w:rPr>
          <w:rFonts w:ascii="Calibri" w:hAnsi="Calibri" w:cs="Calibri"/>
          <w:szCs w:val="22"/>
        </w:rPr>
        <w:t xml:space="preserve"> </w:t>
      </w:r>
      <w:r w:rsidRPr="00064D74">
        <w:rPr>
          <w:rFonts w:ascii="Calibri" w:hAnsi="Calibri" w:cs="Calibri"/>
          <w:szCs w:val="22"/>
        </w:rPr>
        <w:t xml:space="preserve">para su debate y votación en el próximo Pleno: </w:t>
      </w:r>
      <w:r w:rsidR="00064D74">
        <w:rPr>
          <w:rFonts w:ascii="Calibri" w:hAnsi="Calibri" w:cs="Calibri"/>
          <w:szCs w:val="22"/>
        </w:rPr>
        <w:t>b</w:t>
      </w:r>
      <w:r w:rsidRPr="00064D74">
        <w:rPr>
          <w:rFonts w:ascii="Calibri" w:hAnsi="Calibri" w:cs="Calibri"/>
          <w:szCs w:val="22"/>
        </w:rPr>
        <w:t>onificación del ITP y del AJD</w:t>
      </w:r>
      <w:r w:rsidR="008839DF">
        <w:rPr>
          <w:rFonts w:ascii="Calibri" w:hAnsi="Calibri" w:cs="Calibri"/>
          <w:szCs w:val="22"/>
        </w:rPr>
        <w:t>.</w:t>
      </w:r>
    </w:p>
    <w:p w14:paraId="187C8BD9" w14:textId="21824EF7" w:rsidR="004B53B5" w:rsidRPr="00064D74" w:rsidRDefault="00064D74" w:rsidP="00064D74">
      <w:pPr>
        <w:spacing w:before="100" w:beforeAutospacing="1" w:after="200" w:line="276" w:lineRule="auto"/>
        <w:ind w:left="687" w:right="0" w:firstLine="0"/>
        <w:rPr>
          <w:rFonts w:ascii="Calibri" w:hAnsi="Calibri" w:cs="Calibri"/>
          <w:bCs/>
          <w:szCs w:val="22"/>
        </w:rPr>
      </w:pPr>
      <w:r w:rsidRPr="00064D74">
        <w:rPr>
          <w:rFonts w:ascii="Calibri" w:hAnsi="Calibri" w:cs="Calibri"/>
          <w:bCs/>
          <w:szCs w:val="22"/>
          <w:u w:color="000000"/>
        </w:rPr>
        <w:t>Exposición de motivos</w:t>
      </w:r>
      <w:r w:rsidRPr="00064D74">
        <w:rPr>
          <w:rFonts w:ascii="Calibri" w:hAnsi="Calibri" w:cs="Calibri"/>
          <w:bCs/>
          <w:szCs w:val="22"/>
        </w:rPr>
        <w:t xml:space="preserve"> </w:t>
      </w:r>
    </w:p>
    <w:p w14:paraId="154C0033" w14:textId="701F20C9" w:rsidR="004B53B5" w:rsidRPr="00064D74" w:rsidRDefault="00C64E39" w:rsidP="00064D74">
      <w:pPr>
        <w:spacing w:before="100" w:beforeAutospacing="1" w:after="200" w:line="276" w:lineRule="auto"/>
        <w:ind w:left="682" w:right="97"/>
        <w:rPr>
          <w:rFonts w:ascii="Calibri" w:hAnsi="Calibri" w:cs="Calibri"/>
          <w:szCs w:val="22"/>
        </w:rPr>
      </w:pPr>
      <w:r w:rsidRPr="00064D74">
        <w:rPr>
          <w:rFonts w:ascii="Calibri" w:hAnsi="Calibri" w:cs="Calibri"/>
          <w:szCs w:val="22"/>
        </w:rPr>
        <w:t>Nuestros hogares son una prolongación de las familias sobre su entorno, siendo el medio natural para la realización de los fines personales, familiares y sociales que el Estado debe garantizar y proteger. Sin embargo, la enorme precarización de las condiciones laborales, especialmente para los jóvenes, imposibilita un mínimo ahorro; y los precios desorbitados de la vivienda, ya sea compra o alquiler, están impidiendo la emancipación de nuestros jóvenes y, en consecuencia, la muerte de sus proyectos familiares antes de siquiera poder empezarlos.</w:t>
      </w:r>
    </w:p>
    <w:p w14:paraId="49DF7F09" w14:textId="11762CA5" w:rsidR="004B53B5" w:rsidRPr="00064D74" w:rsidRDefault="00C64E39" w:rsidP="00064D74">
      <w:pPr>
        <w:spacing w:before="100" w:beforeAutospacing="1" w:after="200" w:line="276" w:lineRule="auto"/>
        <w:ind w:left="687" w:right="97" w:firstLine="0"/>
        <w:rPr>
          <w:rFonts w:ascii="Calibri" w:hAnsi="Calibri" w:cs="Calibri"/>
          <w:szCs w:val="22"/>
        </w:rPr>
      </w:pPr>
      <w:r w:rsidRPr="00064D74">
        <w:rPr>
          <w:rFonts w:ascii="Calibri" w:hAnsi="Calibri" w:cs="Calibri"/>
          <w:szCs w:val="22"/>
        </w:rPr>
        <w:t>Los datos son demoledores. De acuerdo con Eurostat</w:t>
      </w:r>
      <w:r w:rsidRPr="00064D74">
        <w:rPr>
          <w:rFonts w:ascii="Calibri" w:hAnsi="Calibri" w:cs="Calibri"/>
          <w:szCs w:val="22"/>
          <w:vertAlign w:val="superscript"/>
        </w:rPr>
        <w:t>1</w:t>
      </w:r>
      <w:r w:rsidRPr="00064D74">
        <w:rPr>
          <w:rFonts w:ascii="Calibri" w:hAnsi="Calibri" w:cs="Calibri"/>
          <w:szCs w:val="22"/>
        </w:rPr>
        <w:t>, España es el cuarto país de la Unión Europea con la edad media de emancipación más tardía (30,3 años), solo por detrás de Croacia (33,4), Eslovaquia (30,8) y Grecia (30,7), y a la par que Bulgaria. Y la tendencia de los últimos años es inequívocamente mala. La tasa de emancipación en España ha caído de manera progresiva en los últimos 15 años: si en 2008 se situaba en el 26</w:t>
      </w:r>
      <w:r w:rsidR="00064D74">
        <w:rPr>
          <w:rFonts w:ascii="Calibri" w:hAnsi="Calibri" w:cs="Calibri"/>
          <w:szCs w:val="22"/>
        </w:rPr>
        <w:t xml:space="preserve"> </w:t>
      </w:r>
      <w:r w:rsidRPr="00064D74">
        <w:rPr>
          <w:rFonts w:ascii="Calibri" w:hAnsi="Calibri" w:cs="Calibri"/>
          <w:szCs w:val="22"/>
        </w:rPr>
        <w:t>% el porcentaje de jóvenes españoles de entre 18 y 34 años que vivía fuera de casa de sus padres, esa cifra ha caído hasta el actual 16,3</w:t>
      </w:r>
      <w:r w:rsidR="00064D74">
        <w:rPr>
          <w:rFonts w:ascii="Calibri" w:hAnsi="Calibri" w:cs="Calibri"/>
          <w:szCs w:val="22"/>
        </w:rPr>
        <w:t xml:space="preserve"> </w:t>
      </w:r>
      <w:r w:rsidRPr="00064D74">
        <w:rPr>
          <w:rFonts w:ascii="Calibri" w:hAnsi="Calibri" w:cs="Calibri"/>
          <w:szCs w:val="22"/>
        </w:rPr>
        <w:t>%, según el informe “Observatorio de Emancipación”, mientras que la media de la UE se sitúa en el 31,9</w:t>
      </w:r>
      <w:r w:rsidR="00064D74">
        <w:rPr>
          <w:rFonts w:ascii="Calibri" w:hAnsi="Calibri" w:cs="Calibri"/>
          <w:szCs w:val="22"/>
        </w:rPr>
        <w:t xml:space="preserve"> </w:t>
      </w:r>
      <w:r w:rsidRPr="00064D74">
        <w:rPr>
          <w:rFonts w:ascii="Calibri" w:hAnsi="Calibri" w:cs="Calibri"/>
          <w:szCs w:val="22"/>
        </w:rPr>
        <w:t>%</w:t>
      </w:r>
      <w:r w:rsidRPr="00064D74">
        <w:rPr>
          <w:rFonts w:ascii="Calibri" w:hAnsi="Calibri" w:cs="Calibri"/>
          <w:szCs w:val="22"/>
          <w:vertAlign w:val="superscript"/>
        </w:rPr>
        <w:t>2</w:t>
      </w:r>
      <w:r w:rsidRPr="00064D74">
        <w:rPr>
          <w:rFonts w:ascii="Calibri" w:hAnsi="Calibri" w:cs="Calibri"/>
          <w:szCs w:val="22"/>
        </w:rPr>
        <w:t xml:space="preserve">. </w:t>
      </w:r>
    </w:p>
    <w:p w14:paraId="4F9E6419" w14:textId="0E6E067D" w:rsidR="004B53B5" w:rsidRPr="00064D74" w:rsidRDefault="00C64E39" w:rsidP="00064D74">
      <w:pPr>
        <w:spacing w:before="100" w:beforeAutospacing="1" w:after="200" w:line="276" w:lineRule="auto"/>
        <w:ind w:left="682" w:right="97"/>
        <w:rPr>
          <w:rFonts w:ascii="Calibri" w:hAnsi="Calibri" w:cs="Calibri"/>
          <w:szCs w:val="22"/>
        </w:rPr>
      </w:pPr>
      <w:r w:rsidRPr="00064D74">
        <w:rPr>
          <w:rFonts w:ascii="Calibri" w:hAnsi="Calibri" w:cs="Calibri"/>
          <w:szCs w:val="22"/>
        </w:rPr>
        <w:t xml:space="preserve">Si la situación ya era insostenible, la emergencia económica y social que hoy padecemos la ha empeorado exponencialmente. La drástica pérdida de poder adquisitivo de las familias, la subida de los tipos de interés y la galopante inflación, unida al precio prohibitivo de las viviendas, son los ingredientes de un colapso social y generacional que está arrinconando a generaciones enteras de jóvenes al sumidero de la subsistencia. Una generación entera de desposeídos donde el derecho a permanecer y prosperar en sus barrios o pueblos es una quimera. </w:t>
      </w:r>
    </w:p>
    <w:p w14:paraId="7795D8C8" w14:textId="29961870" w:rsidR="004B53B5" w:rsidRPr="00064D74" w:rsidRDefault="00C64E39" w:rsidP="00064D74">
      <w:pPr>
        <w:spacing w:before="100" w:beforeAutospacing="1" w:after="200" w:line="276" w:lineRule="auto"/>
        <w:ind w:left="682" w:right="97"/>
        <w:rPr>
          <w:rFonts w:ascii="Calibri" w:hAnsi="Calibri" w:cs="Calibri"/>
          <w:szCs w:val="22"/>
        </w:rPr>
      </w:pPr>
      <w:r w:rsidRPr="00064D74">
        <w:rPr>
          <w:rFonts w:ascii="Calibri" w:hAnsi="Calibri" w:cs="Calibri"/>
          <w:szCs w:val="22"/>
        </w:rPr>
        <w:t xml:space="preserve">Según el “Observatorio de Emancipación”, la primera mensualidad de una hipoteca corresponde al 65,9 % del salario mediano joven y para pagar la entrada de una vivienda una persona joven tendría que ahorrar 53.796 euros -precio medio de la entrada de una vivienda libre en España-, el equivalente a cuatro años y medio de su salario neto íntegro. </w:t>
      </w:r>
    </w:p>
    <w:p w14:paraId="2DEC8D10" w14:textId="564C5DE5" w:rsidR="004B53B5" w:rsidRPr="00064D74" w:rsidRDefault="00C64E39" w:rsidP="005B35BD">
      <w:pPr>
        <w:spacing w:before="100" w:beforeAutospacing="1" w:after="200" w:line="276" w:lineRule="auto"/>
        <w:ind w:left="687" w:right="97" w:firstLine="0"/>
        <w:rPr>
          <w:rFonts w:ascii="Calibri" w:hAnsi="Calibri" w:cs="Calibri"/>
          <w:szCs w:val="22"/>
        </w:rPr>
      </w:pPr>
      <w:r w:rsidRPr="00064D74">
        <w:rPr>
          <w:rFonts w:ascii="Calibri" w:hAnsi="Calibri" w:cs="Calibri"/>
          <w:szCs w:val="22"/>
        </w:rPr>
        <w:t xml:space="preserve">Y hay culpables. Los sucesivos gobiernos han convertido España en un páramo de falta de oportunidades para nuestros compatriotas y en un escaparate “en liquidación por cierre” para lejanas élites que gozan de beneficios fiscales que no se aplican para los nacionales y que redundan en mayores dificultades para acceder a una vivienda para las clases medias y trabajadoras. </w:t>
      </w:r>
    </w:p>
    <w:p w14:paraId="16C6C866" w14:textId="6527C644" w:rsidR="004B53B5" w:rsidRPr="00064D74" w:rsidRDefault="00C64E39" w:rsidP="00A909E5">
      <w:pPr>
        <w:spacing w:before="100" w:beforeAutospacing="1" w:after="200" w:line="276" w:lineRule="auto"/>
        <w:ind w:left="687" w:right="97" w:firstLine="0"/>
        <w:rPr>
          <w:rFonts w:ascii="Calibri" w:hAnsi="Calibri" w:cs="Calibri"/>
          <w:szCs w:val="22"/>
        </w:rPr>
      </w:pPr>
      <w:r w:rsidRPr="00064D74">
        <w:rPr>
          <w:rFonts w:ascii="Calibri" w:hAnsi="Calibri" w:cs="Calibri"/>
          <w:szCs w:val="22"/>
        </w:rPr>
        <w:t xml:space="preserve">En este contexto, el martes 13 de febrero, el Gobierno de España aprobó una línea de avales de 2.500 millones de euros a través del Instituto de Crédito Oficial (ICO) dirigida a facilitar que jóvenes y familias con menores a cargo puedan acceder a la compra de la primera vivienda. Esta línea de avales se dirige a menores de 35 años con ingresos anuales inferiores a 37.800 euros anuales (4,5 veces el IPREM) y a familias con menores a cargo, que se modificará en caso de que sea una pareja o tengan menores a cargo. Podrán solicitarla las personas físicas, mayores de 18 años, con residencia legal en España en </w:t>
      </w:r>
      <w:r w:rsidRPr="00064D74">
        <w:rPr>
          <w:rFonts w:ascii="Calibri" w:hAnsi="Calibri" w:cs="Calibri"/>
          <w:szCs w:val="22"/>
        </w:rPr>
        <w:lastRenderedPageBreak/>
        <w:t xml:space="preserve">los últimos dos años anteriores de manera acreditada e ininterrumpida. En el caso de que sean dos personas las prestatarias, ambas deberán cumplir estos requisitos. Además, las personas que piden la hipoteca no podrán tener un patrimonio superior a los 100.000 euros. </w:t>
      </w:r>
    </w:p>
    <w:p w14:paraId="7740C925" w14:textId="5CE27F84" w:rsidR="004B53B5" w:rsidRPr="00064D74" w:rsidRDefault="00C64E39" w:rsidP="00A909E5">
      <w:pPr>
        <w:spacing w:before="100" w:beforeAutospacing="1" w:after="200" w:line="276" w:lineRule="auto"/>
        <w:ind w:left="682" w:right="97"/>
        <w:rPr>
          <w:rFonts w:ascii="Calibri" w:hAnsi="Calibri" w:cs="Calibri"/>
          <w:szCs w:val="22"/>
        </w:rPr>
      </w:pPr>
      <w:r w:rsidRPr="00064D74">
        <w:rPr>
          <w:rFonts w:ascii="Calibri" w:hAnsi="Calibri" w:cs="Calibri"/>
          <w:szCs w:val="22"/>
        </w:rPr>
        <w:t xml:space="preserve">Una medida insuficiente que viene a parchear problemas estructurales que este Ejecutivo no hace más que empeorar con sus políticas; que impone unas condiciones irreales para el común de las familias españolas y que no impide que sean otros quienes capitalicen esta ayuda en detrimento de todos los españoles. </w:t>
      </w:r>
    </w:p>
    <w:p w14:paraId="1D17AF17" w14:textId="77B8C71A" w:rsidR="004B53B5" w:rsidRPr="00064D74" w:rsidRDefault="00C64E39" w:rsidP="00A909E5">
      <w:pPr>
        <w:spacing w:before="100" w:beforeAutospacing="1" w:after="200" w:line="276" w:lineRule="auto"/>
        <w:ind w:left="682" w:right="97"/>
        <w:rPr>
          <w:rFonts w:ascii="Calibri" w:hAnsi="Calibri" w:cs="Calibri"/>
          <w:szCs w:val="22"/>
        </w:rPr>
      </w:pPr>
      <w:r w:rsidRPr="00064D74">
        <w:rPr>
          <w:rFonts w:ascii="Calibri" w:hAnsi="Calibri" w:cs="Calibri"/>
          <w:szCs w:val="22"/>
        </w:rPr>
        <w:t>En cualquier caso, y a</w:t>
      </w:r>
      <w:r w:rsidR="00A909E5">
        <w:rPr>
          <w:rFonts w:ascii="Calibri" w:hAnsi="Calibri" w:cs="Calibri"/>
          <w:szCs w:val="22"/>
        </w:rPr>
        <w:t>u</w:t>
      </w:r>
      <w:r w:rsidRPr="00064D74">
        <w:rPr>
          <w:rFonts w:ascii="Calibri" w:hAnsi="Calibri" w:cs="Calibri"/>
          <w:szCs w:val="22"/>
        </w:rPr>
        <w:t>n asumiendo que la ayuda se ejecute correctamente,</w:t>
      </w:r>
      <w:r w:rsidRPr="00A909E5">
        <w:rPr>
          <w:rFonts w:ascii="Calibri" w:hAnsi="Calibri" w:cs="Calibri"/>
          <w:color w:val="auto"/>
          <w:szCs w:val="22"/>
        </w:rPr>
        <w:t xml:space="preserve"> </w:t>
      </w:r>
      <w:r w:rsidRPr="00064D74">
        <w:rPr>
          <w:rFonts w:ascii="Calibri" w:hAnsi="Calibri" w:cs="Calibri"/>
          <w:szCs w:val="22"/>
        </w:rPr>
        <w:t xml:space="preserve">los jóvenes y familias que logren un préstamo hipotecario, aunque ya no </w:t>
      </w:r>
      <w:proofErr w:type="gramStart"/>
      <w:r w:rsidRPr="00064D74">
        <w:rPr>
          <w:rFonts w:ascii="Calibri" w:hAnsi="Calibri" w:cs="Calibri"/>
          <w:szCs w:val="22"/>
        </w:rPr>
        <w:t>tengan que tener</w:t>
      </w:r>
      <w:proofErr w:type="gramEnd"/>
      <w:r w:rsidRPr="00064D74">
        <w:rPr>
          <w:rFonts w:ascii="Calibri" w:hAnsi="Calibri" w:cs="Calibri"/>
          <w:szCs w:val="22"/>
        </w:rPr>
        <w:t xml:space="preserve"> un 20</w:t>
      </w:r>
      <w:r w:rsidR="00A909E5">
        <w:rPr>
          <w:rFonts w:ascii="Calibri" w:hAnsi="Calibri" w:cs="Calibri"/>
          <w:szCs w:val="22"/>
        </w:rPr>
        <w:t xml:space="preserve"> </w:t>
      </w:r>
      <w:r w:rsidRPr="00064D74">
        <w:rPr>
          <w:rFonts w:ascii="Calibri" w:hAnsi="Calibri" w:cs="Calibri"/>
          <w:szCs w:val="22"/>
        </w:rPr>
        <w:t>% de la vivienda ahorrado, seguirán necesitando un ahorro de entre el 7</w:t>
      </w:r>
      <w:r w:rsidR="00A909E5">
        <w:rPr>
          <w:rFonts w:ascii="Calibri" w:hAnsi="Calibri" w:cs="Calibri"/>
          <w:szCs w:val="22"/>
        </w:rPr>
        <w:t xml:space="preserve"> </w:t>
      </w:r>
      <w:r w:rsidRPr="00064D74">
        <w:rPr>
          <w:rFonts w:ascii="Calibri" w:hAnsi="Calibri" w:cs="Calibri"/>
          <w:szCs w:val="22"/>
        </w:rPr>
        <w:t>% y el 12% dependiendo de la comunidad autónoma para hacer frente</w:t>
      </w:r>
      <w:r w:rsidRPr="00A909E5">
        <w:rPr>
          <w:rFonts w:ascii="Calibri" w:hAnsi="Calibri" w:cs="Calibri"/>
          <w:color w:val="auto"/>
          <w:szCs w:val="22"/>
        </w:rPr>
        <w:t xml:space="preserve"> </w:t>
      </w:r>
      <w:r w:rsidRPr="00064D74">
        <w:rPr>
          <w:rFonts w:ascii="Calibri" w:hAnsi="Calibri" w:cs="Calibri"/>
          <w:szCs w:val="22"/>
        </w:rPr>
        <w:t xml:space="preserve">al Impuesto de Actos Jurídicos Documentados (AJD) y al Impuesto de Transmisiones Patrimoniales (ITP). </w:t>
      </w:r>
    </w:p>
    <w:p w14:paraId="30A4C3B2" w14:textId="680BE77A" w:rsidR="004B53B5" w:rsidRPr="00064D74" w:rsidRDefault="00C64E39" w:rsidP="00064D74">
      <w:pPr>
        <w:spacing w:before="100" w:beforeAutospacing="1" w:after="200" w:line="276" w:lineRule="auto"/>
        <w:ind w:left="682" w:right="97"/>
        <w:rPr>
          <w:rFonts w:ascii="Calibri" w:hAnsi="Calibri" w:cs="Calibri"/>
          <w:szCs w:val="22"/>
        </w:rPr>
      </w:pPr>
      <w:r w:rsidRPr="00064D74">
        <w:rPr>
          <w:rFonts w:ascii="Calibri" w:hAnsi="Calibri" w:cs="Calibri"/>
          <w:szCs w:val="22"/>
        </w:rPr>
        <w:t>En V</w:t>
      </w:r>
      <w:r w:rsidR="00A909E5">
        <w:rPr>
          <w:rFonts w:ascii="Calibri" w:hAnsi="Calibri" w:cs="Calibri"/>
          <w:szCs w:val="22"/>
        </w:rPr>
        <w:t>ox</w:t>
      </w:r>
      <w:r w:rsidRPr="00064D74">
        <w:rPr>
          <w:rFonts w:ascii="Calibri" w:hAnsi="Calibri" w:cs="Calibri"/>
          <w:szCs w:val="22"/>
        </w:rPr>
        <w:t xml:space="preserve"> no vamos a permitir que ni una sola traba fiscal ni burocrática trunque los anhelos y necesidades de los jóvenes y familias españolas. Es necesario garantizar que todos los españoles tengan un verdadero hogar en el que puedan desarrollar su proyecto de vida sin incertidumbre. Los poderes públicos deben facilitar y hacer asequible el acceso a la vivienda en condiciones dignas y adecuadas, especialmente para los españoles más necesitados.  </w:t>
      </w:r>
    </w:p>
    <w:p w14:paraId="5B66E418" w14:textId="123AF3E0" w:rsidR="004B53B5" w:rsidRPr="00064D74" w:rsidRDefault="00C64E39" w:rsidP="00574E18">
      <w:pPr>
        <w:spacing w:before="100" w:beforeAutospacing="1" w:after="200" w:line="276" w:lineRule="auto"/>
        <w:ind w:left="687" w:right="0" w:firstLine="0"/>
        <w:rPr>
          <w:rFonts w:ascii="Calibri" w:hAnsi="Calibri" w:cs="Calibri"/>
          <w:szCs w:val="22"/>
        </w:rPr>
      </w:pPr>
      <w:r w:rsidRPr="00064D74">
        <w:rPr>
          <w:rFonts w:ascii="Calibri" w:hAnsi="Calibri" w:cs="Calibri"/>
          <w:szCs w:val="22"/>
        </w:rPr>
        <w:t>Por todo ello, la Agrupación Parlamentaria V</w:t>
      </w:r>
      <w:r w:rsidR="00574E18">
        <w:rPr>
          <w:rFonts w:ascii="Calibri" w:hAnsi="Calibri" w:cs="Calibri"/>
          <w:szCs w:val="22"/>
        </w:rPr>
        <w:t>ox</w:t>
      </w:r>
      <w:r w:rsidRPr="00064D74">
        <w:rPr>
          <w:rFonts w:ascii="Calibri" w:hAnsi="Calibri" w:cs="Calibri"/>
          <w:szCs w:val="22"/>
        </w:rPr>
        <w:t xml:space="preserve"> en Navarra solicita l</w:t>
      </w:r>
      <w:r w:rsidR="00574E18">
        <w:rPr>
          <w:rFonts w:ascii="Calibri" w:hAnsi="Calibri" w:cs="Calibri"/>
          <w:szCs w:val="22"/>
        </w:rPr>
        <w:t>a</w:t>
      </w:r>
      <w:r w:rsidRPr="00064D74">
        <w:rPr>
          <w:rFonts w:ascii="Calibri" w:hAnsi="Calibri" w:cs="Calibri"/>
          <w:szCs w:val="22"/>
        </w:rPr>
        <w:t xml:space="preserve"> siguiente</w:t>
      </w:r>
      <w:r w:rsidR="00574E18">
        <w:rPr>
          <w:rFonts w:ascii="Calibri" w:hAnsi="Calibri" w:cs="Calibri"/>
          <w:szCs w:val="22"/>
        </w:rPr>
        <w:t xml:space="preserve"> </w:t>
      </w:r>
      <w:r w:rsidR="00574E18" w:rsidRPr="00574E18">
        <w:rPr>
          <w:rFonts w:ascii="Calibri" w:hAnsi="Calibri" w:cs="Calibri"/>
          <w:color w:val="auto"/>
          <w:szCs w:val="22"/>
        </w:rPr>
        <w:t>p</w:t>
      </w:r>
      <w:r w:rsidRPr="00574E18">
        <w:rPr>
          <w:rFonts w:ascii="Calibri" w:hAnsi="Calibri" w:cs="Calibri"/>
          <w:color w:val="auto"/>
          <w:szCs w:val="22"/>
        </w:rPr>
        <w:t>ropuesta de acuerdo</w:t>
      </w:r>
      <w:r w:rsidR="00574E18">
        <w:rPr>
          <w:rFonts w:ascii="Calibri" w:hAnsi="Calibri" w:cs="Calibri"/>
          <w:b/>
          <w:color w:val="auto"/>
          <w:szCs w:val="22"/>
        </w:rPr>
        <w:t>:</w:t>
      </w:r>
    </w:p>
    <w:p w14:paraId="37DE03BB" w14:textId="2D59C650" w:rsidR="004B53B5" w:rsidRPr="00064D74" w:rsidRDefault="00C64E39" w:rsidP="00574E18">
      <w:pPr>
        <w:spacing w:before="100" w:beforeAutospacing="1" w:after="200" w:line="276" w:lineRule="auto"/>
        <w:ind w:left="687" w:right="0" w:firstLine="0"/>
        <w:rPr>
          <w:rFonts w:ascii="Calibri" w:hAnsi="Calibri" w:cs="Calibri"/>
          <w:szCs w:val="22"/>
        </w:rPr>
      </w:pPr>
      <w:r w:rsidRPr="00064D74">
        <w:rPr>
          <w:rFonts w:ascii="Calibri" w:hAnsi="Calibri" w:cs="Calibri"/>
          <w:b/>
          <w:szCs w:val="22"/>
        </w:rPr>
        <w:t xml:space="preserve"> </w:t>
      </w:r>
      <w:r w:rsidRPr="00064D74">
        <w:rPr>
          <w:rFonts w:ascii="Calibri" w:hAnsi="Calibri" w:cs="Calibri"/>
          <w:szCs w:val="22"/>
        </w:rPr>
        <w:t xml:space="preserve">Instamos al Gobierno de Navarra a: </w:t>
      </w:r>
    </w:p>
    <w:p w14:paraId="09B0DD9E" w14:textId="00B443F8" w:rsidR="004B53B5" w:rsidRPr="00574E18" w:rsidRDefault="00C64E39" w:rsidP="00574E18">
      <w:pPr>
        <w:numPr>
          <w:ilvl w:val="0"/>
          <w:numId w:val="1"/>
        </w:numPr>
        <w:spacing w:before="100" w:beforeAutospacing="1" w:after="200" w:line="276" w:lineRule="auto"/>
        <w:ind w:right="97" w:hanging="360"/>
        <w:rPr>
          <w:rFonts w:ascii="Calibri" w:hAnsi="Calibri" w:cs="Calibri"/>
          <w:szCs w:val="22"/>
        </w:rPr>
      </w:pPr>
      <w:r w:rsidRPr="00064D74">
        <w:rPr>
          <w:rFonts w:ascii="Calibri" w:hAnsi="Calibri" w:cs="Calibri"/>
          <w:szCs w:val="22"/>
        </w:rPr>
        <w:t>Establecer una bonificación del 100</w:t>
      </w:r>
      <w:r w:rsidR="00574E18">
        <w:rPr>
          <w:rFonts w:ascii="Calibri" w:hAnsi="Calibri" w:cs="Calibri"/>
          <w:szCs w:val="22"/>
        </w:rPr>
        <w:t xml:space="preserve"> </w:t>
      </w:r>
      <w:r w:rsidRPr="00064D74">
        <w:rPr>
          <w:rFonts w:ascii="Calibri" w:hAnsi="Calibri" w:cs="Calibri"/>
          <w:szCs w:val="22"/>
        </w:rPr>
        <w:t xml:space="preserve">% de la cuota tributaria del Impuesto de Actos Jurídicos Documentados (AJD) y del Impuesto de Transmisiones Patrimoniales (ITP) para todos los supuestos contemplados en la línea de avales que ha anunciado el Gobierno de España.  </w:t>
      </w:r>
    </w:p>
    <w:p w14:paraId="6A2C15EA" w14:textId="7321DD88" w:rsidR="004B53B5" w:rsidRPr="00574E18" w:rsidRDefault="00C64E39" w:rsidP="00574E18">
      <w:pPr>
        <w:numPr>
          <w:ilvl w:val="0"/>
          <w:numId w:val="1"/>
        </w:numPr>
        <w:spacing w:before="100" w:beforeAutospacing="1" w:after="200" w:line="276" w:lineRule="auto"/>
        <w:ind w:right="97" w:hanging="360"/>
        <w:rPr>
          <w:rFonts w:ascii="Calibri" w:hAnsi="Calibri" w:cs="Calibri"/>
          <w:szCs w:val="22"/>
        </w:rPr>
      </w:pPr>
      <w:r w:rsidRPr="00064D74">
        <w:rPr>
          <w:rFonts w:ascii="Calibri" w:hAnsi="Calibri" w:cs="Calibri"/>
          <w:szCs w:val="22"/>
        </w:rPr>
        <w:t>Establecer una bonificación del ITP en cuota del 100</w:t>
      </w:r>
      <w:r w:rsidR="00574E18">
        <w:rPr>
          <w:rFonts w:ascii="Calibri" w:hAnsi="Calibri" w:cs="Calibri"/>
          <w:szCs w:val="22"/>
        </w:rPr>
        <w:t xml:space="preserve"> </w:t>
      </w:r>
      <w:r w:rsidRPr="00064D74">
        <w:rPr>
          <w:rFonts w:ascii="Calibri" w:hAnsi="Calibri" w:cs="Calibri"/>
          <w:szCs w:val="22"/>
        </w:rPr>
        <w:t xml:space="preserve">% para compra de vivienda habitual, cuyo precio sea inferior o igual a 300.000 euros, para familias numerosas y personas con discapacidad. </w:t>
      </w:r>
    </w:p>
    <w:p w14:paraId="2D65DEE0" w14:textId="65AA5C51" w:rsidR="004B53B5" w:rsidRPr="00574E18" w:rsidRDefault="00C64E39" w:rsidP="00574E18">
      <w:pPr>
        <w:numPr>
          <w:ilvl w:val="0"/>
          <w:numId w:val="1"/>
        </w:numPr>
        <w:spacing w:before="100" w:beforeAutospacing="1" w:after="200" w:line="276" w:lineRule="auto"/>
        <w:ind w:right="97" w:hanging="360"/>
        <w:rPr>
          <w:rFonts w:ascii="Calibri" w:hAnsi="Calibri" w:cs="Calibri"/>
          <w:szCs w:val="22"/>
        </w:rPr>
      </w:pPr>
      <w:r w:rsidRPr="00064D74">
        <w:rPr>
          <w:rFonts w:ascii="Calibri" w:hAnsi="Calibri" w:cs="Calibri"/>
          <w:szCs w:val="22"/>
        </w:rPr>
        <w:t>Modificar la Ley 19/1992, de 30 de diciembre, del Impuesto sobre el Valor Añadido (IVA) con el fin de considerar no sujeta, a efectos de este impuesto, la adquisición de una primera vivienda por parte de un es</w:t>
      </w:r>
      <w:r w:rsidRPr="00064D74">
        <w:rPr>
          <w:rFonts w:ascii="Calibri" w:eastAsia="Calibri" w:hAnsi="Calibri" w:cs="Calibri"/>
          <w:szCs w:val="22"/>
        </w:rPr>
        <w:t xml:space="preserve">pañol. </w:t>
      </w:r>
    </w:p>
    <w:p w14:paraId="560C5252" w14:textId="312E5DE6" w:rsidR="004B53B5" w:rsidRPr="00064D74" w:rsidRDefault="00C64E39" w:rsidP="00574E18">
      <w:pPr>
        <w:spacing w:before="100" w:beforeAutospacing="1" w:after="200" w:line="276" w:lineRule="auto"/>
        <w:ind w:left="682" w:right="97"/>
        <w:rPr>
          <w:rFonts w:ascii="Calibri" w:hAnsi="Calibri" w:cs="Calibri"/>
          <w:szCs w:val="22"/>
        </w:rPr>
      </w:pPr>
      <w:r w:rsidRPr="00064D74">
        <w:rPr>
          <w:rFonts w:ascii="Calibri" w:hAnsi="Calibri" w:cs="Calibri"/>
          <w:szCs w:val="22"/>
        </w:rPr>
        <w:t xml:space="preserve">A su vez, instamos al Gobierno de la Nación a: </w:t>
      </w:r>
    </w:p>
    <w:p w14:paraId="07F38588" w14:textId="6132FD5A" w:rsidR="004B53B5" w:rsidRPr="00574E18" w:rsidRDefault="00C64E39" w:rsidP="00574E18">
      <w:pPr>
        <w:numPr>
          <w:ilvl w:val="0"/>
          <w:numId w:val="2"/>
        </w:numPr>
        <w:spacing w:before="100" w:beforeAutospacing="1" w:after="200" w:line="276" w:lineRule="auto"/>
        <w:ind w:right="97" w:hanging="360"/>
        <w:rPr>
          <w:rFonts w:ascii="Calibri" w:hAnsi="Calibri" w:cs="Calibri"/>
          <w:szCs w:val="22"/>
        </w:rPr>
      </w:pPr>
      <w:r w:rsidRPr="00064D74">
        <w:rPr>
          <w:rFonts w:ascii="Calibri" w:hAnsi="Calibri" w:cs="Calibri"/>
          <w:szCs w:val="22"/>
        </w:rPr>
        <w:t xml:space="preserve">Modificar la Ley 22/2009, de 18 de diciembre, por la que se regula el sistema de financiación de las Comunidades Autónomas de régimen común y Ciudades con Estatuto de Autonomía y se modifican determinadas normas tributarias para asegurar la igualdad esencial entre españoles en los impuestos cedidos, siempre reduciendo al mínimo la cuota tributaria, especialmente en el Impuesto de Actos Jurídicos Documentados (AJD) y en el Impuesto de Transmisiones Patrimoniales (ITP). </w:t>
      </w:r>
    </w:p>
    <w:p w14:paraId="1FFFD2C1" w14:textId="456882EF" w:rsidR="004B53B5" w:rsidRPr="00574E18" w:rsidRDefault="00C64E39" w:rsidP="00574E18">
      <w:pPr>
        <w:numPr>
          <w:ilvl w:val="0"/>
          <w:numId w:val="2"/>
        </w:numPr>
        <w:spacing w:before="100" w:beforeAutospacing="1" w:after="200" w:line="276" w:lineRule="auto"/>
        <w:ind w:right="97" w:hanging="360"/>
        <w:rPr>
          <w:rFonts w:ascii="Calibri" w:hAnsi="Calibri" w:cs="Calibri"/>
          <w:szCs w:val="22"/>
        </w:rPr>
      </w:pPr>
      <w:r w:rsidRPr="00064D74">
        <w:rPr>
          <w:rFonts w:ascii="Calibri" w:hAnsi="Calibri" w:cs="Calibri"/>
          <w:szCs w:val="22"/>
        </w:rPr>
        <w:lastRenderedPageBreak/>
        <w:t>Tomar las medidas necesarias para establecer una bonificación del 100</w:t>
      </w:r>
      <w:r w:rsidR="00574E18">
        <w:rPr>
          <w:rFonts w:ascii="Calibri" w:hAnsi="Calibri" w:cs="Calibri"/>
          <w:szCs w:val="22"/>
        </w:rPr>
        <w:t xml:space="preserve"> </w:t>
      </w:r>
      <w:r w:rsidRPr="00064D74">
        <w:rPr>
          <w:rFonts w:ascii="Calibri" w:hAnsi="Calibri" w:cs="Calibri"/>
          <w:szCs w:val="22"/>
        </w:rPr>
        <w:t xml:space="preserve">% de la cuota tributaria del AJD y del ITP para todos los supuestos contemplados en la línea de avales que ha anunciado el Gobierno de España. </w:t>
      </w:r>
    </w:p>
    <w:p w14:paraId="524C3CD4" w14:textId="076B3A48" w:rsidR="004B53B5" w:rsidRPr="00574E18" w:rsidRDefault="00C64E39" w:rsidP="00574E18">
      <w:pPr>
        <w:numPr>
          <w:ilvl w:val="0"/>
          <w:numId w:val="2"/>
        </w:numPr>
        <w:spacing w:before="100" w:beforeAutospacing="1" w:after="200" w:line="276" w:lineRule="auto"/>
        <w:ind w:right="97" w:hanging="360"/>
        <w:rPr>
          <w:rFonts w:ascii="Calibri" w:hAnsi="Calibri" w:cs="Calibri"/>
          <w:szCs w:val="22"/>
        </w:rPr>
      </w:pPr>
      <w:r w:rsidRPr="00064D74">
        <w:rPr>
          <w:rFonts w:ascii="Calibri" w:hAnsi="Calibri" w:cs="Calibri"/>
          <w:szCs w:val="22"/>
        </w:rPr>
        <w:t xml:space="preserve">Recuperar la deducción por inversión en vivienda habitual en el IRPF para que los españoles con préstamo hipotecario vigente para su vivienda habitual puedan deducirse los intereses que abonan y compensar directamente en sus bolsillos la subida de tipos de interés, favoreciendo la adquisición en propiedad. </w:t>
      </w:r>
    </w:p>
    <w:p w14:paraId="463FEB3C" w14:textId="13E83003" w:rsidR="004B53B5" w:rsidRPr="00574E18" w:rsidRDefault="00C64E39" w:rsidP="00574E18">
      <w:pPr>
        <w:numPr>
          <w:ilvl w:val="0"/>
          <w:numId w:val="2"/>
        </w:numPr>
        <w:spacing w:before="100" w:beforeAutospacing="1" w:after="200" w:line="276" w:lineRule="auto"/>
        <w:ind w:right="97" w:hanging="360"/>
        <w:rPr>
          <w:rFonts w:ascii="Calibri" w:hAnsi="Calibri" w:cs="Calibri"/>
          <w:szCs w:val="22"/>
        </w:rPr>
      </w:pPr>
      <w:r w:rsidRPr="00064D74">
        <w:rPr>
          <w:rFonts w:ascii="Calibri" w:hAnsi="Calibri" w:cs="Calibri"/>
          <w:szCs w:val="22"/>
        </w:rPr>
        <w:t xml:space="preserve">Extender a toda la Nación la deducción por gastos de alquiler en el IRPF para que todos los españoles con contratos de alquiler puedan deducirse parte de su coste y compensar directamente en sus bolsillos la subida del IPC. </w:t>
      </w:r>
    </w:p>
    <w:p w14:paraId="5CAA3DF2" w14:textId="1D6F4FE7" w:rsidR="004B53B5" w:rsidRPr="00574E18" w:rsidRDefault="00C64E39" w:rsidP="00574E18">
      <w:pPr>
        <w:numPr>
          <w:ilvl w:val="0"/>
          <w:numId w:val="2"/>
        </w:numPr>
        <w:spacing w:before="100" w:beforeAutospacing="1" w:after="200" w:line="276" w:lineRule="auto"/>
        <w:ind w:right="97" w:hanging="360"/>
        <w:rPr>
          <w:rFonts w:ascii="Calibri" w:hAnsi="Calibri" w:cs="Calibri"/>
          <w:szCs w:val="22"/>
        </w:rPr>
      </w:pPr>
      <w:r w:rsidRPr="00064D74">
        <w:rPr>
          <w:rFonts w:ascii="Calibri" w:hAnsi="Calibri" w:cs="Calibri"/>
          <w:szCs w:val="22"/>
        </w:rPr>
        <w:t xml:space="preserve">Modificar la Ley 37/1992, de 28 de diciembre, del Impuesto sobre el Valor Añadido (IVA) con el fin de considerar no sujeta, a efectos de este impuesto, la adquisición de una primera vivienda por parte de un español. </w:t>
      </w:r>
    </w:p>
    <w:p w14:paraId="24C600F1" w14:textId="19D9ECE4" w:rsidR="004B53B5" w:rsidRDefault="00C64E39" w:rsidP="00574E18">
      <w:pPr>
        <w:spacing w:before="100" w:beforeAutospacing="1" w:after="200" w:line="276" w:lineRule="auto"/>
        <w:ind w:left="931" w:right="0" w:firstLine="116"/>
        <w:rPr>
          <w:rFonts w:ascii="Calibri" w:hAnsi="Calibri" w:cs="Calibri"/>
          <w:szCs w:val="22"/>
        </w:rPr>
      </w:pPr>
      <w:r w:rsidRPr="00064D74">
        <w:rPr>
          <w:rFonts w:ascii="Calibri" w:hAnsi="Calibri" w:cs="Calibri"/>
          <w:szCs w:val="22"/>
        </w:rPr>
        <w:t xml:space="preserve">En Pamplona, a 15 de febrero de 2024 </w:t>
      </w:r>
    </w:p>
    <w:p w14:paraId="0C8DC521" w14:textId="35D03F15" w:rsidR="005D0E30" w:rsidRDefault="00574E18" w:rsidP="005D0E30">
      <w:pPr>
        <w:spacing w:before="100" w:beforeAutospacing="1" w:after="200" w:line="276" w:lineRule="auto"/>
        <w:ind w:left="931" w:right="0" w:firstLine="116"/>
        <w:rPr>
          <w:rFonts w:ascii="Calibri" w:hAnsi="Calibri" w:cs="Calibri"/>
          <w:szCs w:val="22"/>
        </w:rPr>
      </w:pPr>
      <w:r>
        <w:rPr>
          <w:rFonts w:ascii="Calibri" w:hAnsi="Calibri" w:cs="Calibri"/>
          <w:szCs w:val="22"/>
        </w:rPr>
        <w:t xml:space="preserve">El Parlamentario Foral: </w:t>
      </w:r>
      <w:r w:rsidR="00C64E39" w:rsidRPr="00064D74">
        <w:rPr>
          <w:rFonts w:ascii="Calibri" w:hAnsi="Calibri" w:cs="Calibri"/>
          <w:szCs w:val="22"/>
        </w:rPr>
        <w:t xml:space="preserve">Emilio Jiménez Román </w:t>
      </w:r>
    </w:p>
    <w:p w14:paraId="0E71892B" w14:textId="71C99AFB" w:rsidR="00713238" w:rsidRPr="003E7BBA" w:rsidRDefault="00713238" w:rsidP="00713238">
      <w:pPr>
        <w:autoSpaceDE w:val="0"/>
        <w:autoSpaceDN w:val="0"/>
        <w:adjustRightInd w:val="0"/>
        <w:spacing w:after="0" w:line="240" w:lineRule="auto"/>
        <w:ind w:left="0" w:right="0" w:firstLine="0"/>
        <w:jc w:val="left"/>
        <w:rPr>
          <w:rFonts w:ascii="Times New Roman" w:eastAsiaTheme="minorEastAsia" w:hAnsi="Times New Roman" w:cs="Times New Roman"/>
          <w:color w:val="215E99" w:themeColor="text2" w:themeTint="BF"/>
          <w:kern w:val="0"/>
          <w:sz w:val="20"/>
          <w:szCs w:val="20"/>
        </w:rPr>
      </w:pPr>
      <w:r w:rsidRPr="00B90D77">
        <w:rPr>
          <w:rFonts w:ascii="Times New Roman" w:eastAsiaTheme="minorEastAsia" w:hAnsi="Times New Roman" w:cs="Times New Roman"/>
          <w:color w:val="auto"/>
          <w:kern w:val="0"/>
          <w:sz w:val="20"/>
          <w:szCs w:val="20"/>
          <w:vertAlign w:val="superscript"/>
        </w:rPr>
        <w:t>1</w:t>
      </w:r>
      <w:r w:rsidRPr="003E7BBA">
        <w:rPr>
          <w:rFonts w:ascii="Times New Roman" w:eastAsiaTheme="minorEastAsia" w:hAnsi="Times New Roman" w:cs="Times New Roman"/>
          <w:color w:val="215E99" w:themeColor="text2" w:themeTint="BF"/>
          <w:kern w:val="0"/>
          <w:sz w:val="20"/>
          <w:szCs w:val="20"/>
        </w:rPr>
        <w:t xml:space="preserve"> </w:t>
      </w:r>
      <w:hyperlink r:id="rId7" w:history="1">
        <w:r w:rsidR="00E423F1" w:rsidRPr="003E7BBA">
          <w:rPr>
            <w:rStyle w:val="Hipervnculo"/>
            <w:rFonts w:ascii="Times New Roman" w:eastAsiaTheme="minorEastAsia" w:hAnsi="Times New Roman" w:cs="Times New Roman"/>
            <w:color w:val="215E99" w:themeColor="text2" w:themeTint="BF"/>
            <w:kern w:val="0"/>
            <w:sz w:val="20"/>
            <w:szCs w:val="20"/>
            <w:u w:val="none"/>
          </w:rPr>
          <w:t>https://ec.europa.eu/eurostat/web/products-eurostat-news/w/ddn-20230904-1</w:t>
        </w:r>
      </w:hyperlink>
      <w:r w:rsidR="00E423F1" w:rsidRPr="003E7BBA">
        <w:rPr>
          <w:rFonts w:ascii="Times New Roman" w:eastAsiaTheme="minorEastAsia" w:hAnsi="Times New Roman" w:cs="Times New Roman"/>
          <w:color w:val="215E99" w:themeColor="text2" w:themeTint="BF"/>
          <w:kern w:val="0"/>
          <w:sz w:val="20"/>
          <w:szCs w:val="20"/>
        </w:rPr>
        <w:t xml:space="preserve"> </w:t>
      </w:r>
    </w:p>
    <w:p w14:paraId="66F2FF4A" w14:textId="095D1048" w:rsidR="00713238" w:rsidRPr="003E7BBA" w:rsidRDefault="00713238" w:rsidP="00E423F1">
      <w:pPr>
        <w:autoSpaceDE w:val="0"/>
        <w:autoSpaceDN w:val="0"/>
        <w:adjustRightInd w:val="0"/>
        <w:spacing w:after="0" w:line="240" w:lineRule="auto"/>
        <w:ind w:left="0" w:right="0" w:firstLine="0"/>
        <w:jc w:val="left"/>
        <w:rPr>
          <w:rFonts w:ascii="Times New Roman" w:eastAsiaTheme="minorEastAsia" w:hAnsi="Times New Roman" w:cs="Times New Roman"/>
          <w:color w:val="215E99" w:themeColor="text2" w:themeTint="BF"/>
          <w:kern w:val="0"/>
          <w:sz w:val="20"/>
          <w:szCs w:val="20"/>
        </w:rPr>
      </w:pPr>
      <w:r w:rsidRPr="00B90D77">
        <w:rPr>
          <w:rFonts w:ascii="Times New Roman" w:eastAsiaTheme="minorEastAsia" w:hAnsi="Times New Roman" w:cs="Times New Roman"/>
          <w:color w:val="auto"/>
          <w:kern w:val="0"/>
          <w:sz w:val="20"/>
          <w:szCs w:val="20"/>
          <w:vertAlign w:val="superscript"/>
        </w:rPr>
        <w:t>2</w:t>
      </w:r>
      <w:r w:rsidRPr="003E7BBA">
        <w:rPr>
          <w:rFonts w:ascii="Times New Roman" w:eastAsiaTheme="minorEastAsia" w:hAnsi="Times New Roman" w:cs="Times New Roman"/>
          <w:color w:val="215E99" w:themeColor="text2" w:themeTint="BF"/>
          <w:kern w:val="0"/>
          <w:sz w:val="20"/>
          <w:szCs w:val="20"/>
          <w:vertAlign w:val="superscript"/>
        </w:rPr>
        <w:t xml:space="preserve"> </w:t>
      </w:r>
      <w:hyperlink r:id="rId8" w:history="1">
        <w:r w:rsidR="00E423F1" w:rsidRPr="003E7BBA">
          <w:rPr>
            <w:rStyle w:val="Hipervnculo"/>
            <w:rFonts w:ascii="Times New Roman" w:eastAsiaTheme="minorEastAsia" w:hAnsi="Times New Roman" w:cs="Times New Roman"/>
            <w:color w:val="215E99" w:themeColor="text2" w:themeTint="BF"/>
            <w:kern w:val="0"/>
            <w:sz w:val="20"/>
            <w:szCs w:val="20"/>
            <w:u w:val="none"/>
          </w:rPr>
          <w:t>https://www.cje.org/las-personas-jovenes-se-emancipan-a-los-303-anos-de-media-en-espana-la-cifra-mas-alta-de-los-</w:t>
        </w:r>
      </w:hyperlink>
      <w:r w:rsidRPr="003E7BBA">
        <w:rPr>
          <w:rFonts w:ascii="Times New Roman" w:eastAsiaTheme="minorEastAsia" w:hAnsi="Times New Roman" w:cs="Times New Roman"/>
          <w:color w:val="215E99" w:themeColor="text2" w:themeTint="BF"/>
          <w:kern w:val="0"/>
          <w:sz w:val="20"/>
          <w:szCs w:val="20"/>
        </w:rPr>
        <w:t>ultimos-veinte-anos/</w:t>
      </w:r>
      <w:r w:rsidR="00E423F1" w:rsidRPr="003E7BBA">
        <w:rPr>
          <w:rFonts w:ascii="Times New Roman" w:eastAsiaTheme="minorEastAsia" w:hAnsi="Times New Roman" w:cs="Times New Roman"/>
          <w:color w:val="215E99" w:themeColor="text2" w:themeTint="BF"/>
          <w:kern w:val="0"/>
          <w:sz w:val="20"/>
          <w:szCs w:val="20"/>
        </w:rPr>
        <w:t xml:space="preserve"> </w:t>
      </w:r>
    </w:p>
    <w:sectPr w:rsidR="00713238" w:rsidRPr="003E7BBA" w:rsidSect="00064D74">
      <w:headerReference w:type="even" r:id="rId9"/>
      <w:headerReference w:type="default" r:id="rId10"/>
      <w:footerReference w:type="even" r:id="rId11"/>
      <w:headerReference w:type="first" r:id="rId12"/>
      <w:footerReference w:type="first" r:id="rId13"/>
      <w:pgSz w:w="11909" w:h="16834"/>
      <w:pgMar w:top="1440" w:right="1080" w:bottom="1440" w:left="1080" w:header="720" w:footer="7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BC35" w14:textId="77777777" w:rsidR="00C64E39" w:rsidRDefault="00C64E39">
      <w:pPr>
        <w:spacing w:after="0" w:line="240" w:lineRule="auto"/>
      </w:pPr>
      <w:r>
        <w:separator/>
      </w:r>
    </w:p>
  </w:endnote>
  <w:endnote w:type="continuationSeparator" w:id="0">
    <w:p w14:paraId="4D2680FE" w14:textId="77777777" w:rsidR="00C64E39" w:rsidRDefault="00C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71C2" w14:textId="77777777" w:rsidR="004B53B5" w:rsidRDefault="00C64E39">
    <w:pPr>
      <w:spacing w:after="0" w:line="259" w:lineRule="auto"/>
      <w:ind w:left="0" w:right="108"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3D2C" w14:textId="77777777" w:rsidR="004B53B5" w:rsidRDefault="00C64E39">
    <w:pPr>
      <w:spacing w:after="0" w:line="259" w:lineRule="auto"/>
      <w:ind w:left="0" w:right="108"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031D" w14:textId="77777777" w:rsidR="00C64E39" w:rsidRDefault="00C64E39">
      <w:pPr>
        <w:spacing w:after="0" w:line="240" w:lineRule="auto"/>
      </w:pPr>
      <w:r>
        <w:separator/>
      </w:r>
    </w:p>
  </w:footnote>
  <w:footnote w:type="continuationSeparator" w:id="0">
    <w:p w14:paraId="473B2B77" w14:textId="77777777" w:rsidR="00C64E39" w:rsidRDefault="00C6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15F7" w14:textId="77777777" w:rsidR="004B53B5" w:rsidRDefault="00C64E39">
    <w:pPr>
      <w:spacing w:after="0" w:line="259" w:lineRule="auto"/>
      <w:ind w:left="-753" w:right="10580" w:firstLine="0"/>
      <w:jc w:val="left"/>
    </w:pPr>
    <w:r>
      <w:rPr>
        <w:noProof/>
      </w:rPr>
      <w:drawing>
        <wp:anchor distT="0" distB="0" distL="114300" distR="114300" simplePos="0" relativeHeight="251658240" behindDoc="0" locked="0" layoutInCell="1" allowOverlap="0" wp14:anchorId="16FF9717" wp14:editId="6653FD3C">
          <wp:simplePos x="0" y="0"/>
          <wp:positionH relativeFrom="page">
            <wp:posOffset>5314950</wp:posOffset>
          </wp:positionH>
          <wp:positionV relativeFrom="page">
            <wp:posOffset>0</wp:posOffset>
          </wp:positionV>
          <wp:extent cx="1868424" cy="408432"/>
          <wp:effectExtent l="0" t="0" r="0" b="0"/>
          <wp:wrapSquare wrapText="bothSides"/>
          <wp:docPr id="2739"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1"/>
                  <a:stretch>
                    <a:fillRect/>
                  </a:stretch>
                </pic:blipFill>
                <pic:spPr>
                  <a:xfrm>
                    <a:off x="0" y="0"/>
                    <a:ext cx="1868424" cy="40843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90B" w14:textId="15A6E17A" w:rsidR="004B53B5" w:rsidRDefault="004B53B5">
    <w:pPr>
      <w:spacing w:after="0" w:line="259" w:lineRule="auto"/>
      <w:ind w:left="-753" w:right="1058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B30" w14:textId="77777777" w:rsidR="004B53B5" w:rsidRDefault="00C64E39">
    <w:pPr>
      <w:spacing w:after="0" w:line="259" w:lineRule="auto"/>
      <w:ind w:left="-753" w:right="10580" w:firstLine="0"/>
      <w:jc w:val="left"/>
    </w:pPr>
    <w:r>
      <w:rPr>
        <w:noProof/>
      </w:rPr>
      <w:drawing>
        <wp:anchor distT="0" distB="0" distL="114300" distR="114300" simplePos="0" relativeHeight="251660288" behindDoc="0" locked="0" layoutInCell="1" allowOverlap="0" wp14:anchorId="03B79E08" wp14:editId="36364DE2">
          <wp:simplePos x="0" y="0"/>
          <wp:positionH relativeFrom="page">
            <wp:posOffset>5314950</wp:posOffset>
          </wp:positionH>
          <wp:positionV relativeFrom="page">
            <wp:posOffset>0</wp:posOffset>
          </wp:positionV>
          <wp:extent cx="1868424" cy="408432"/>
          <wp:effectExtent l="0" t="0" r="0" b="0"/>
          <wp:wrapSquare wrapText="bothSides"/>
          <wp:docPr id="372784444"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1"/>
                  <a:stretch>
                    <a:fillRect/>
                  </a:stretch>
                </pic:blipFill>
                <pic:spPr>
                  <a:xfrm>
                    <a:off x="0" y="0"/>
                    <a:ext cx="1868424" cy="4084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1B4"/>
    <w:multiLevelType w:val="hybridMultilevel"/>
    <w:tmpl w:val="9BE07AD4"/>
    <w:lvl w:ilvl="0" w:tplc="BD54E338">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C66C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80EF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4C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A07C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5EFE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A0B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6FD7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C422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35CC6"/>
    <w:multiLevelType w:val="hybridMultilevel"/>
    <w:tmpl w:val="AFDC35B4"/>
    <w:lvl w:ilvl="0" w:tplc="ADBC9152">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A87FE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E25A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83F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6C6D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B8FE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50F0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4C53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6A10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62694418">
    <w:abstractNumId w:val="1"/>
  </w:num>
  <w:num w:numId="2" w16cid:durableId="3180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B5"/>
    <w:rsid w:val="00064D74"/>
    <w:rsid w:val="003E7BBA"/>
    <w:rsid w:val="00405FB7"/>
    <w:rsid w:val="004B53B5"/>
    <w:rsid w:val="00574E18"/>
    <w:rsid w:val="005B35BD"/>
    <w:rsid w:val="005D0E30"/>
    <w:rsid w:val="00713238"/>
    <w:rsid w:val="008147D7"/>
    <w:rsid w:val="008839DF"/>
    <w:rsid w:val="00A909E5"/>
    <w:rsid w:val="00B90D77"/>
    <w:rsid w:val="00C64E39"/>
    <w:rsid w:val="00E42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25A3"/>
  <w15:docId w15:val="{3301761E-E7DF-4EDE-831D-6979AFD0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0" w:lineRule="auto"/>
      <w:ind w:left="697" w:right="106"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spacing w:after="158" w:line="259" w:lineRule="auto"/>
      <w:ind w:left="2228"/>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line="259" w:lineRule="auto"/>
      <w:ind w:left="697" w:right="106" w:hanging="10"/>
      <w:jc w:val="center"/>
      <w:outlineLvl w:val="1"/>
    </w:pPr>
    <w:rPr>
      <w:rFonts w:ascii="Arial" w:eastAsia="Arial" w:hAnsi="Arial" w:cs="Arial"/>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rPr>
  </w:style>
  <w:style w:type="character" w:customStyle="1" w:styleId="Ttulo1Car">
    <w:name w:val="Título 1 Car"/>
    <w:link w:val="Ttulo1"/>
    <w:rPr>
      <w:rFonts w:ascii="Arial" w:eastAsia="Arial" w:hAnsi="Arial" w:cs="Arial"/>
      <w:b/>
      <w:color w:val="000000"/>
      <w:sz w:val="24"/>
    </w:rPr>
  </w:style>
  <w:style w:type="character" w:styleId="Hipervnculo">
    <w:name w:val="Hyperlink"/>
    <w:basedOn w:val="Fuentedeprrafopredeter"/>
    <w:uiPriority w:val="99"/>
    <w:unhideWhenUsed/>
    <w:rsid w:val="00064D74"/>
    <w:rPr>
      <w:color w:val="467886" w:themeColor="hyperlink"/>
      <w:u w:val="single"/>
    </w:rPr>
  </w:style>
  <w:style w:type="character" w:styleId="Mencinsinresolver">
    <w:name w:val="Unresolved Mention"/>
    <w:basedOn w:val="Fuentedeprrafopredeter"/>
    <w:uiPriority w:val="99"/>
    <w:semiHidden/>
    <w:unhideWhenUsed/>
    <w:rsid w:val="00064D74"/>
    <w:rPr>
      <w:color w:val="605E5C"/>
      <w:shd w:val="clear" w:color="auto" w:fill="E1DFDD"/>
    </w:rPr>
  </w:style>
  <w:style w:type="paragraph" w:styleId="Piedepgina">
    <w:name w:val="footer"/>
    <w:basedOn w:val="Normal"/>
    <w:link w:val="PiedepginaCar"/>
    <w:uiPriority w:val="99"/>
    <w:semiHidden/>
    <w:unhideWhenUsed/>
    <w:rsid w:val="00405F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05FB7"/>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je.org/las-personas-jovenes-se-emancipan-a-los-303-anos-de-media-en-espana-la-cifra-mas-alta-de-l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c.europa.eu/eurostat/web/products-eurostat-news/w/ddn-2023090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11</cp:revision>
  <dcterms:created xsi:type="dcterms:W3CDTF">2024-02-15T17:08:00Z</dcterms:created>
  <dcterms:modified xsi:type="dcterms:W3CDTF">2024-02-15T17:46:00Z</dcterms:modified>
</cp:coreProperties>
</file>