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2768" w14:textId="7879B06F" w:rsidR="003D2416" w:rsidRPr="00CB04C5" w:rsidRDefault="003D2416" w:rsidP="00CB04C5">
      <w:pPr>
        <w:spacing w:before="100" w:beforeAutospacing="1" w:after="200" w:line="276" w:lineRule="auto"/>
        <w:ind w:left="813" w:right="0" w:firstLine="0"/>
        <w:jc w:val="left"/>
        <w:rPr>
          <w:rFonts w:ascii="Calibri" w:hAnsi="Calibri" w:cs="Calibri"/>
          <w:b/>
          <w:sz w:val="22"/>
          <w:szCs w:val="22"/>
        </w:rPr>
      </w:pPr>
    </w:p>
    <w:p w14:paraId="3EA5312E" w14:textId="77777777" w:rsidR="00492223" w:rsidRPr="00CB04C5" w:rsidRDefault="00492223" w:rsidP="00FC395B">
      <w:pPr>
        <w:spacing w:before="100" w:beforeAutospacing="1" w:after="200" w:line="276" w:lineRule="auto"/>
        <w:ind w:left="0" w:right="0" w:firstLine="0"/>
        <w:jc w:val="left"/>
        <w:rPr>
          <w:rFonts w:ascii="Calibri" w:hAnsi="Calibri" w:cs="Calibri"/>
          <w:b/>
          <w:sz w:val="22"/>
          <w:szCs w:val="22"/>
        </w:rPr>
      </w:pPr>
    </w:p>
    <w:p w14:paraId="11ECC2B6" w14:textId="4321077B" w:rsidR="00492223" w:rsidRPr="00CB04C5" w:rsidRDefault="00492223" w:rsidP="00CB04C5">
      <w:pPr>
        <w:spacing w:before="100" w:beforeAutospacing="1" w:after="200" w:line="276" w:lineRule="auto"/>
        <w:ind w:left="813" w:right="0" w:firstLine="0"/>
        <w:jc w:val="left"/>
        <w:rPr>
          <w:sz w:val="22"/>
          <w:szCs w:val="22"/>
          <w:rFonts w:ascii="Calibri" w:hAnsi="Calibri" w:cs="Calibri"/>
        </w:rPr>
      </w:pPr>
      <w:r>
        <w:rPr>
          <w:b/>
          <w:sz w:val="22"/>
          <w:rFonts w:ascii="Calibri" w:hAnsi="Calibri"/>
        </w:rPr>
        <w:t xml:space="preserve">24MOC-32</w:t>
      </w:r>
    </w:p>
    <w:p w14:paraId="5556DF80" w14:textId="4551A4F7" w:rsidR="00EB6C87" w:rsidRPr="00CB04C5" w:rsidRDefault="00316E58" w:rsidP="00333A7F">
      <w:pPr>
        <w:spacing w:before="100" w:beforeAutospacing="1" w:after="200" w:line="276" w:lineRule="auto"/>
        <w:ind w:left="808" w:right="198"/>
        <w:rPr>
          <w:sz w:val="22"/>
          <w:szCs w:val="22"/>
          <w:rFonts w:ascii="Calibri" w:hAnsi="Calibri" w:cs="Calibri"/>
        </w:rPr>
      </w:pPr>
      <w:r>
        <w:rPr>
          <w:sz w:val="22"/>
          <w:rFonts w:ascii="Calibri" w:hAnsi="Calibri"/>
        </w:rPr>
        <w:t xml:space="preserve">Behean sinatzen duten talde parlamentarioek, Legebiltzarreko Erregelamenduan ezarritakoaren babesean, honako mozio hau aurkezten dute, Foru Araubideko Batzordean presaz eztabaidatu eta bozkatzeko, martxoaren 6an, asteazkenarekin:</w:t>
      </w:r>
    </w:p>
    <w:p w14:paraId="3647840B" w14:textId="68326E92" w:rsidR="00884056" w:rsidRPr="00CB04C5" w:rsidRDefault="00EB6C87" w:rsidP="00333A7F">
      <w:pPr>
        <w:spacing w:before="100" w:beforeAutospacing="1" w:after="200" w:line="276" w:lineRule="auto"/>
        <w:ind w:left="808" w:right="198"/>
        <w:rPr>
          <w:bCs/>
          <w:sz w:val="22"/>
          <w:szCs w:val="22"/>
          <w:rFonts w:ascii="Calibri" w:hAnsi="Calibri" w:cs="Calibri"/>
        </w:rPr>
      </w:pPr>
      <w:r>
        <w:rPr>
          <w:sz w:val="22"/>
          <w:rFonts w:ascii="Calibri" w:hAnsi="Calibri"/>
        </w:rPr>
        <w:t xml:space="preserve">Zioen azalpena</w:t>
      </w:r>
    </w:p>
    <w:p w14:paraId="53625A54" w14:textId="3E35F6E1" w:rsidR="003D2416" w:rsidRPr="00CB04C5" w:rsidRDefault="00316E58" w:rsidP="00333A7F">
      <w:pPr>
        <w:spacing w:before="100" w:beforeAutospacing="1" w:after="200" w:line="276" w:lineRule="auto"/>
        <w:ind w:left="808" w:right="198"/>
        <w:rPr>
          <w:sz w:val="22"/>
          <w:szCs w:val="22"/>
          <w:rFonts w:ascii="Calibri" w:hAnsi="Calibri" w:cs="Calibri"/>
        </w:rPr>
      </w:pPr>
      <w:r>
        <w:rPr>
          <w:sz w:val="22"/>
          <w:rFonts w:ascii="Calibri" w:hAnsi="Calibri"/>
        </w:rPr>
        <w:t xml:space="preserve">Nafarroako Foru Komunitateari Estatuko Administrazioak trafikoaren eta ibilgailu motordunen zirkulazioaren arloan dituen zenbait eginkizun eta zerbitzu eskualdatzeari buruzko apirilaren 4ko 252/2023 Errege-dekretua deuseztatzen duen Auzitegi Goreneko Administrazioarekiko Auzien Laugarren Salaren 258/2024 zenbakiko epaia ikusita, Nafarroako Parlamentuak honako erabaki-proposamen hauek onestea proposatzen du:</w:t>
      </w:r>
    </w:p>
    <w:p w14:paraId="73F3769E" w14:textId="1F55FE02" w:rsidR="003D2416" w:rsidRPr="00CB04C5" w:rsidRDefault="00316E58" w:rsidP="00333A7F">
      <w:pPr>
        <w:spacing w:before="100" w:beforeAutospacing="1" w:after="200" w:line="276" w:lineRule="auto"/>
        <w:ind w:left="808" w:right="198"/>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 Legebiltzarreko zerbitzu juridikoek aldeztutako interpretazioarekiko koherentziari heldurik, ez dago ados Auzitegi Gorenaren 2024ko otsailaren 15eko epaiarekin, aurka egiten dielako Foru Komunitatearen eskubide historikoei, zeinek Konstituzioaren eta LORAFNAren babesa baitute, bai eta Auzitegi Gorenaren beraren jurisprudentziak emandako babesa ere.</w:t>
      </w:r>
      <w:r>
        <w:rPr>
          <w:sz w:val="22"/>
          <w:rFonts w:ascii="Calibri" w:hAnsi="Calibri"/>
        </w:rPr>
        <w:t xml:space="preserve"> </w:t>
      </w:r>
      <w:r>
        <w:rPr>
          <w:sz w:val="22"/>
          <w:rFonts w:ascii="Calibri" w:hAnsi="Calibri"/>
        </w:rPr>
        <w:t xml:space="preserve">Ondorioz, trafikoko eta ibilgailu motordunen zirkulazioko eginkizunak eta zerbitzuak Nafarroari eskualdatzeko, egoki deritzo Errege Dekretuaren bideari.</w:t>
      </w:r>
      <w:r>
        <w:rPr>
          <w:sz w:val="22"/>
          <w:rFonts w:ascii="Calibri" w:hAnsi="Calibri"/>
        </w:rPr>
        <w:t xml:space="preserve"> </w:t>
      </w:r>
    </w:p>
    <w:p w14:paraId="38C9C2F5" w14:textId="75EF0986" w:rsidR="003D2416" w:rsidRPr="00CB04C5" w:rsidRDefault="00316E58" w:rsidP="00333A7F">
      <w:pPr>
        <w:spacing w:before="100" w:beforeAutospacing="1" w:after="200" w:line="276" w:lineRule="auto"/>
        <w:ind w:left="808" w:right="198"/>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beharrezkotzat jotzen du ezen, Transferentzien Batzordearen aho bateko erabakia beterik, 2023ko martxoaren 22koa, Nafarroako Foru Komunitateko Gobernuak posible diren modu guztiak azter ditzan ebazpen judizial horrek eragindako egoera leheneratzeko, eta trafikoaren nahiz ibilgailu motordunen arloan Estatuko Administrazioaren eginkizun eta zerbitzuak Nafarroako Foru Komunitateari eskualdatzea gauzatzeko, hain zuzen erabaki horretan zehaztutako moduaren arabera.</w:t>
      </w:r>
    </w:p>
    <w:p w14:paraId="5BD0B457" w14:textId="6E4D5ED3" w:rsidR="00A06441" w:rsidRPr="00CB04C5" w:rsidRDefault="00316E58" w:rsidP="00333A7F">
      <w:pPr>
        <w:spacing w:before="100" w:beforeAutospacing="1" w:after="200" w:line="276" w:lineRule="auto"/>
        <w:ind w:left="808" w:right="198"/>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Nafarroako Parlamentuak berretsi egiten du Nafarroaren autogobernuarekiko konpromisoa, eta trafiko nahiz bide-segurtasunaren gaineko eskumena Nafarroari LORAFNAn aitortzen zaion eskumena dela eta Konstituzioak eskubide historiko bezala babestua dela jotzen du.</w:t>
      </w:r>
    </w:p>
    <w:p w14:paraId="4503DA8C" w14:textId="293BBC51" w:rsidR="00A06441" w:rsidRPr="00CB04C5" w:rsidRDefault="00316E58" w:rsidP="00333A7F">
      <w:pPr>
        <w:spacing w:before="100" w:beforeAutospacing="1" w:after="200" w:line="276" w:lineRule="auto"/>
        <w:ind w:left="808" w:right="198"/>
        <w:rPr>
          <w:sz w:val="22"/>
          <w:szCs w:val="22"/>
          <w:rFonts w:ascii="Calibri" w:hAnsi="Calibri" w:cs="Calibri"/>
        </w:rPr>
      </w:pPr>
      <w:r>
        <w:rPr>
          <w:sz w:val="22"/>
          <w:rFonts w:ascii="Calibri" w:hAnsi="Calibri"/>
        </w:rPr>
        <w:t xml:space="preserve">Iruñean, 2024ko otsailaren 29an</w:t>
      </w:r>
    </w:p>
    <w:p w14:paraId="549763F5" w14:textId="26A9EACF" w:rsidR="00333A7F" w:rsidRPr="00CB04C5" w:rsidRDefault="00EB6C87" w:rsidP="00333A7F">
      <w:pPr>
        <w:spacing w:before="100" w:beforeAutospacing="1" w:after="200" w:line="276" w:lineRule="auto"/>
        <w:ind w:left="808" w:right="198"/>
        <w:rPr>
          <w:sz w:val="22"/>
          <w:szCs w:val="22"/>
          <w:rFonts w:ascii="Calibri" w:hAnsi="Calibri" w:cs="Calibri"/>
        </w:rPr>
      </w:pPr>
      <w:r>
        <w:rPr>
          <w:sz w:val="22"/>
          <w:rFonts w:ascii="Calibri" w:hAnsi="Calibri"/>
        </w:rPr>
        <w:t xml:space="preserve">Eledunak:</w:t>
      </w:r>
      <w:r>
        <w:rPr>
          <w:sz w:val="22"/>
          <w:rFonts w:ascii="Calibri" w:hAnsi="Calibri"/>
        </w:rPr>
        <w:t xml:space="preserve"> </w:t>
      </w:r>
      <w:r>
        <w:rPr>
          <w:sz w:val="22"/>
          <w:rFonts w:ascii="Calibri" w:hAnsi="Calibri"/>
        </w:rPr>
        <w:t xml:space="preserve">Pablo Azcona Molinet, Laura Aznal Sagasti, Ramón Alzórriz Goñi, Carlos Guzmán Pérez</w:t>
      </w:r>
    </w:p>
    <w:sectPr w:rsidR="00333A7F" w:rsidRPr="00CB04C5">
      <w:pgSz w:w="11906" w:h="16838"/>
      <w:pgMar w:top="142" w:right="1207" w:bottom="2636"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D2416"/>
    <w:rsid w:val="00316E58"/>
    <w:rsid w:val="0032058A"/>
    <w:rsid w:val="00333A7F"/>
    <w:rsid w:val="003D2416"/>
    <w:rsid w:val="00492223"/>
    <w:rsid w:val="00557629"/>
    <w:rsid w:val="006B216A"/>
    <w:rsid w:val="007F7503"/>
    <w:rsid w:val="0086577A"/>
    <w:rsid w:val="00884056"/>
    <w:rsid w:val="00A06441"/>
    <w:rsid w:val="00CB04C5"/>
    <w:rsid w:val="00CB5285"/>
    <w:rsid w:val="00EB6C87"/>
    <w:rsid w:val="00FC3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9358"/>
  <w15:docId w15:val="{7B72B4EA-082B-44EE-A8F6-ECE3AD8A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823" w:right="208"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1" w:line="259" w:lineRule="auto"/>
      <w:ind w:left="1020"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Unzu Gárate, Ainhoa</dc:creator>
  <cp:keywords/>
  <dc:description/>
  <cp:lastModifiedBy>Mauleón, Fernando</cp:lastModifiedBy>
  <cp:revision>12</cp:revision>
  <dcterms:created xsi:type="dcterms:W3CDTF">2024-03-01T06:50:00Z</dcterms:created>
  <dcterms:modified xsi:type="dcterms:W3CDTF">2024-03-01T07:32:00Z</dcterms:modified>
</cp:coreProperties>
</file>