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423BF" w14:textId="77777777" w:rsidR="00907ECA" w:rsidRPr="00D44048" w:rsidRDefault="00907ECA">
      <w:pPr>
        <w:pStyle w:val="DICTA-TEXTO"/>
        <w:rPr>
          <w:lang w:val="es-ES_tradnl"/>
        </w:rPr>
        <w:sectPr w:rsidR="00907ECA" w:rsidRPr="00D44048">
          <w:headerReference w:type="first" r:id="rId8"/>
          <w:pgSz w:w="11907" w:h="16840" w:code="9"/>
          <w:pgMar w:top="2268" w:right="1418" w:bottom="1418" w:left="2268" w:header="1134" w:footer="1134" w:gutter="0"/>
          <w:paperSrc w:first="1" w:other="1"/>
          <w:cols w:space="720"/>
          <w:titlePg/>
          <w:docGrid w:linePitch="354"/>
        </w:sectPr>
      </w:pPr>
    </w:p>
    <w:p w14:paraId="7F2C4B92" w14:textId="4A1E3E46" w:rsidR="0062621F" w:rsidRPr="00C0709C" w:rsidRDefault="00975A08" w:rsidP="00C0709C">
      <w:pPr>
        <w:pStyle w:val="DICTA-TEXTO"/>
        <w:spacing w:beforeLines="60" w:before="144" w:afterLines="60" w:after="144" w:line="280" w:lineRule="exact"/>
        <w:rPr>
          <w:rFonts w:cs="Arial"/>
          <w:sz w:val="22"/>
          <w:szCs w:val="22"/>
          <w:lang w:val="es-ES_tradnl"/>
        </w:rPr>
      </w:pPr>
      <w:r w:rsidRPr="00D44048">
        <w:rPr>
          <w:lang w:val="es-ES_tradnl"/>
        </w:rPr>
        <w:t xml:space="preserve">La Mesa de la Comisión de </w:t>
      </w:r>
      <w:r w:rsidR="003C0C4F" w:rsidRPr="00D44048">
        <w:rPr>
          <w:lang w:val="es-ES_tradnl"/>
        </w:rPr>
        <w:t xml:space="preserve">Economía y Hacienda </w:t>
      </w:r>
      <w:r w:rsidRPr="00D44048">
        <w:rPr>
          <w:lang w:val="es-ES_tradnl"/>
        </w:rPr>
        <w:t xml:space="preserve">en virtud de lo </w:t>
      </w:r>
      <w:r w:rsidRPr="00C0709C">
        <w:rPr>
          <w:rFonts w:cs="Arial"/>
          <w:sz w:val="22"/>
          <w:szCs w:val="22"/>
          <w:lang w:val="es-ES_tradnl"/>
        </w:rPr>
        <w:t xml:space="preserve">establecido en el </w:t>
      </w:r>
      <w:r w:rsidR="00894214" w:rsidRPr="00C0709C">
        <w:rPr>
          <w:rFonts w:cs="Arial"/>
          <w:sz w:val="22"/>
          <w:szCs w:val="22"/>
          <w:lang w:val="es-ES_tradnl"/>
        </w:rPr>
        <w:t>157.1</w:t>
      </w:r>
      <w:r w:rsidRPr="00C0709C">
        <w:rPr>
          <w:rFonts w:cs="Arial"/>
          <w:sz w:val="22"/>
          <w:szCs w:val="22"/>
          <w:lang w:val="es-ES_tradnl"/>
        </w:rPr>
        <w:t xml:space="preserve"> del Reglamento del Parlamento de Navarra, tiene el honor de elevar a la Mesa de la Cámara el siguiente</w:t>
      </w:r>
    </w:p>
    <w:p w14:paraId="24631C4D" w14:textId="77777777" w:rsidR="00884DB1" w:rsidRPr="00C0709C" w:rsidRDefault="00884DB1" w:rsidP="00C0709C">
      <w:pPr>
        <w:pStyle w:val="DICTAMEN"/>
        <w:spacing w:beforeLines="60" w:before="144" w:afterLines="60" w:after="144" w:line="280" w:lineRule="exact"/>
        <w:rPr>
          <w:rFonts w:cs="Arial"/>
          <w:sz w:val="22"/>
          <w:szCs w:val="22"/>
          <w:lang w:val="es-ES_tradnl"/>
        </w:rPr>
      </w:pPr>
      <w:r w:rsidRPr="00C0709C">
        <w:rPr>
          <w:rFonts w:cs="Arial"/>
          <w:sz w:val="22"/>
          <w:szCs w:val="22"/>
          <w:lang w:val="es-ES_tradnl"/>
        </w:rPr>
        <w:t>dictamen</w:t>
      </w:r>
    </w:p>
    <w:p w14:paraId="094186E6" w14:textId="3CC568A5" w:rsidR="00884DB1" w:rsidRPr="00C0709C" w:rsidRDefault="00884DB1"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Aprobado por la Comisión de Economía y Hacienda en sesión celebrada entre los días </w:t>
      </w:r>
      <w:r w:rsidR="00894214" w:rsidRPr="00C0709C">
        <w:rPr>
          <w:rFonts w:cs="Arial"/>
          <w:sz w:val="22"/>
          <w:szCs w:val="22"/>
          <w:lang w:val="es-ES_tradnl"/>
        </w:rPr>
        <w:t xml:space="preserve">23 de febrero y </w:t>
      </w:r>
      <w:r w:rsidR="00E87A30" w:rsidRPr="00C0709C">
        <w:rPr>
          <w:rFonts w:cs="Arial"/>
          <w:sz w:val="22"/>
          <w:szCs w:val="22"/>
          <w:lang w:val="es-ES_tradnl"/>
        </w:rPr>
        <w:t>4</w:t>
      </w:r>
      <w:r w:rsidR="00894214" w:rsidRPr="00C0709C">
        <w:rPr>
          <w:rFonts w:cs="Arial"/>
          <w:sz w:val="22"/>
          <w:szCs w:val="22"/>
          <w:lang w:val="es-ES_tradnl"/>
        </w:rPr>
        <w:t xml:space="preserve"> de marzo de 20</w:t>
      </w:r>
      <w:r w:rsidR="00097A3B">
        <w:rPr>
          <w:rFonts w:cs="Arial"/>
          <w:sz w:val="22"/>
          <w:szCs w:val="22"/>
          <w:lang w:val="es-ES_tradnl"/>
        </w:rPr>
        <w:t>2</w:t>
      </w:r>
      <w:r w:rsidR="00894214" w:rsidRPr="00C0709C">
        <w:rPr>
          <w:rFonts w:cs="Arial"/>
          <w:sz w:val="22"/>
          <w:szCs w:val="22"/>
          <w:lang w:val="es-ES_tradnl"/>
        </w:rPr>
        <w:t>4.</w:t>
      </w:r>
    </w:p>
    <w:p w14:paraId="31E0DFA0" w14:textId="0291BCEF" w:rsidR="00884DB1" w:rsidRPr="00C0709C" w:rsidRDefault="00884DB1" w:rsidP="00C0709C">
      <w:pPr>
        <w:pStyle w:val="DICTA-TITULO"/>
        <w:spacing w:beforeLines="60" w:before="144" w:afterLines="60" w:after="144" w:line="280" w:lineRule="exact"/>
        <w:rPr>
          <w:rFonts w:cs="Arial"/>
          <w:sz w:val="22"/>
          <w:szCs w:val="22"/>
          <w:lang w:val="es-ES_tradnl"/>
        </w:rPr>
      </w:pPr>
      <w:r w:rsidRPr="00C0709C">
        <w:rPr>
          <w:rFonts w:cs="Arial"/>
          <w:sz w:val="22"/>
          <w:szCs w:val="22"/>
          <w:lang w:val="es-ES_tradnl"/>
        </w:rPr>
        <w:t>Proyecto de Ley Foral de Presupuestos Generales de Navarra para el año 202</w:t>
      </w:r>
      <w:r w:rsidR="00894214" w:rsidRPr="00C0709C">
        <w:rPr>
          <w:rFonts w:cs="Arial"/>
          <w:sz w:val="22"/>
          <w:szCs w:val="22"/>
          <w:lang w:val="es-ES_tradnl"/>
        </w:rPr>
        <w:t>4</w:t>
      </w:r>
    </w:p>
    <w:p w14:paraId="1AEFCE33" w14:textId="77777777" w:rsidR="00884DB1" w:rsidRPr="00C0709C" w:rsidRDefault="00884DB1" w:rsidP="00C0709C">
      <w:pPr>
        <w:pStyle w:val="DICTA-TITULO1"/>
        <w:spacing w:beforeLines="60" w:before="144" w:afterLines="60" w:after="144" w:line="280" w:lineRule="exact"/>
        <w:rPr>
          <w:rFonts w:cs="Arial"/>
          <w:sz w:val="22"/>
          <w:szCs w:val="22"/>
          <w:lang w:val="es-ES_tradnl"/>
        </w:rPr>
      </w:pPr>
      <w:r w:rsidRPr="00C0709C">
        <w:rPr>
          <w:rFonts w:cs="Arial"/>
          <w:sz w:val="22"/>
          <w:szCs w:val="22"/>
          <w:lang w:val="es-ES_tradnl"/>
        </w:rPr>
        <w:t>TÍTULO I</w:t>
      </w:r>
    </w:p>
    <w:p w14:paraId="7CC64288" w14:textId="77777777" w:rsidR="00884DB1" w:rsidRPr="00C0709C" w:rsidRDefault="00884DB1" w:rsidP="00C0709C">
      <w:pPr>
        <w:pStyle w:val="DICTA-SUBTITULO"/>
        <w:spacing w:beforeLines="60" w:before="144" w:afterLines="60" w:after="144" w:line="280" w:lineRule="exact"/>
        <w:rPr>
          <w:rFonts w:cs="Arial"/>
          <w:sz w:val="22"/>
          <w:szCs w:val="22"/>
          <w:lang w:val="es-ES_tradnl"/>
        </w:rPr>
      </w:pPr>
      <w:r w:rsidRPr="00C0709C">
        <w:rPr>
          <w:rFonts w:cs="Arial"/>
          <w:sz w:val="22"/>
          <w:szCs w:val="22"/>
          <w:lang w:val="es-ES_tradnl"/>
        </w:rPr>
        <w:t>De los créditos y sus modificaciones</w:t>
      </w:r>
    </w:p>
    <w:p w14:paraId="5CF34A99" w14:textId="77777777" w:rsidR="00884DB1" w:rsidRPr="00C0709C" w:rsidRDefault="00884DB1" w:rsidP="00C0709C">
      <w:pPr>
        <w:pStyle w:val="DICTA-CAPITULO"/>
        <w:spacing w:beforeLines="60" w:before="144" w:afterLines="60" w:after="144" w:line="280" w:lineRule="exact"/>
        <w:rPr>
          <w:rFonts w:ascii="Arial" w:hAnsi="Arial" w:cs="Arial"/>
          <w:sz w:val="22"/>
          <w:szCs w:val="22"/>
          <w:lang w:val="es-ES_tradnl"/>
        </w:rPr>
      </w:pPr>
      <w:r w:rsidRPr="00C0709C">
        <w:rPr>
          <w:rFonts w:ascii="Arial" w:hAnsi="Arial" w:cs="Arial"/>
          <w:sz w:val="22"/>
          <w:szCs w:val="22"/>
          <w:lang w:val="es-ES_tradnl"/>
        </w:rPr>
        <w:t>CAPÍTULO I</w:t>
      </w:r>
    </w:p>
    <w:p w14:paraId="7C81BEB3" w14:textId="77777777" w:rsidR="00884DB1" w:rsidRPr="00C0709C" w:rsidRDefault="00884DB1" w:rsidP="00C0709C">
      <w:pPr>
        <w:pStyle w:val="DICTA-SUBTITULO2"/>
        <w:spacing w:beforeLines="60" w:before="144" w:afterLines="60" w:after="144" w:line="280" w:lineRule="exact"/>
        <w:rPr>
          <w:rFonts w:cs="Arial"/>
          <w:sz w:val="22"/>
          <w:szCs w:val="22"/>
          <w:lang w:val="es-ES_tradnl"/>
        </w:rPr>
      </w:pPr>
      <w:r w:rsidRPr="00C0709C">
        <w:rPr>
          <w:rFonts w:cs="Arial"/>
          <w:sz w:val="22"/>
          <w:szCs w:val="22"/>
          <w:lang w:val="es-ES_tradnl"/>
        </w:rPr>
        <w:t>Créditos iniciales y su financiación</w:t>
      </w:r>
    </w:p>
    <w:p w14:paraId="187DC12E" w14:textId="77777777" w:rsidR="00884DB1" w:rsidRPr="00C0709C" w:rsidRDefault="00884DB1"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Artículo 1.</w:t>
      </w:r>
      <w:r w:rsidRPr="00C0709C">
        <w:rPr>
          <w:rFonts w:cs="Arial"/>
          <w:sz w:val="22"/>
          <w:szCs w:val="22"/>
          <w:lang w:val="es-ES_tradnl"/>
        </w:rPr>
        <w:t xml:space="preserve"> Ámbito de los Presupuestos Generales de Navarra.</w:t>
      </w:r>
    </w:p>
    <w:p w14:paraId="2B68C7C5" w14:textId="2222A426" w:rsidR="00884DB1" w:rsidRPr="00C0709C" w:rsidRDefault="00884DB1"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1. Se aprueban los Presupuestos Generales de Navarra para el año 202</w:t>
      </w:r>
      <w:r w:rsidR="00031627" w:rsidRPr="00C0709C">
        <w:rPr>
          <w:rFonts w:cs="Arial"/>
          <w:sz w:val="22"/>
          <w:szCs w:val="22"/>
          <w:lang w:val="es-ES_tradnl"/>
        </w:rPr>
        <w:t>4</w:t>
      </w:r>
      <w:r w:rsidRPr="00C0709C">
        <w:rPr>
          <w:rFonts w:cs="Arial"/>
          <w:sz w:val="22"/>
          <w:szCs w:val="22"/>
          <w:lang w:val="es-ES_tradnl"/>
        </w:rPr>
        <w:t>, integrados por:</w:t>
      </w:r>
    </w:p>
    <w:p w14:paraId="6DC4A409" w14:textId="77777777" w:rsidR="00884DB1" w:rsidRPr="00C0709C" w:rsidRDefault="00884DB1"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a) El Presupuesto del Parlamento de Navarra, el de la Cámara de Comptos y el de la Institución del Defensor del Pueblo.</w:t>
      </w:r>
    </w:p>
    <w:p w14:paraId="2BD5D473" w14:textId="77777777" w:rsidR="00884DB1" w:rsidRPr="00C0709C" w:rsidRDefault="00884DB1"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b) El Presupuesto de la Administración de la Comunidad Foral y de sus organismos autónomos.</w:t>
      </w:r>
    </w:p>
    <w:p w14:paraId="4543F7E6" w14:textId="77777777" w:rsidR="00884DB1" w:rsidRPr="00C0709C" w:rsidRDefault="00884DB1"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c) El Presupuesto del Consejo de Navarra.</w:t>
      </w:r>
    </w:p>
    <w:p w14:paraId="5B8A0E44" w14:textId="77777777" w:rsidR="00884DB1" w:rsidRPr="00C0709C" w:rsidRDefault="00884DB1"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d) Los presupuestos de las fundaciones públicas de la Comunidad Foral.</w:t>
      </w:r>
    </w:p>
    <w:p w14:paraId="5A522D21" w14:textId="77777777" w:rsidR="00884DB1" w:rsidRPr="00C0709C" w:rsidRDefault="00884DB1"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e) Los presupuestos de las sociedades públicas de la Comunidad Foral.</w:t>
      </w:r>
    </w:p>
    <w:p w14:paraId="4FEBF73F" w14:textId="77777777" w:rsidR="00031627" w:rsidRPr="00C0709C" w:rsidRDefault="00031627"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f) El presupuesto estimativo y la financiación de la Universidad Pública de Navarra.</w:t>
      </w:r>
    </w:p>
    <w:p w14:paraId="5D617579" w14:textId="01C62C43" w:rsidR="00031627" w:rsidRPr="00C0709C" w:rsidRDefault="00031627"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g) El presupuesto de la Oficina de Buenas Prácticas y Anticorrupción.</w:t>
      </w:r>
    </w:p>
    <w:p w14:paraId="1D9A3072" w14:textId="56477BD0" w:rsidR="00884DB1" w:rsidRPr="00C0709C" w:rsidRDefault="00031627"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2. </w:t>
      </w:r>
      <w:r w:rsidR="00884DB1" w:rsidRPr="00C0709C">
        <w:rPr>
          <w:rFonts w:cs="Arial"/>
          <w:sz w:val="22"/>
          <w:szCs w:val="22"/>
          <w:lang w:val="es-ES_tradnl"/>
        </w:rPr>
        <w:t xml:space="preserve">Asimismo, </w:t>
      </w:r>
      <w:r w:rsidRPr="00C0709C">
        <w:rPr>
          <w:rFonts w:cs="Arial"/>
          <w:sz w:val="22"/>
          <w:szCs w:val="22"/>
          <w:lang w:val="es-ES_tradnl"/>
        </w:rPr>
        <w:t>se acompaña la información de los presupuestos de otros sujetos y entidades comprendidos en el ámbito de aplicación de la Ley Orgánica 2/2012, de 27 de abril, de Estabilidad Presupuestaria y Sostenibilidad Financiera, de acuerdo con lo establecido en su artículo 6.1.</w:t>
      </w:r>
    </w:p>
    <w:p w14:paraId="3F4136A4" w14:textId="77777777" w:rsidR="00884DB1" w:rsidRPr="00C0709C" w:rsidRDefault="00884DB1"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Artículo 2</w:t>
      </w:r>
      <w:r w:rsidRPr="00C0709C">
        <w:rPr>
          <w:rFonts w:cs="Arial"/>
          <w:sz w:val="22"/>
          <w:szCs w:val="22"/>
          <w:lang w:val="es-ES_tradnl"/>
        </w:rPr>
        <w:t>. Cuantía de los créditos y de los derechos económicos.</w:t>
      </w:r>
    </w:p>
    <w:p w14:paraId="181B3299" w14:textId="77777777" w:rsidR="002F36D4" w:rsidRPr="00C0709C" w:rsidRDefault="002F36D4"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1. Para la ejecución de los programas integrados en los estados de gastos de los Presupuestos mencionados en el artículo anterior, se aprueban créditos por un importe consolidado de 6.355.410.182 euros.</w:t>
      </w:r>
    </w:p>
    <w:p w14:paraId="11A63F0E" w14:textId="77777777" w:rsidR="002F36D4" w:rsidRPr="00C0709C" w:rsidRDefault="002F36D4"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2. En los estados de ingresos de los Presupuestos referidos en el artículo anterior se contienen las estimaciones de los derechos económicos que se prevén liquidar durante el ejercicio presupuestario, por un importe consolidado de 6.355.410.182 euros.</w:t>
      </w:r>
    </w:p>
    <w:p w14:paraId="39BB45A9" w14:textId="77777777" w:rsidR="002F36D4" w:rsidRPr="00C0709C" w:rsidRDefault="002F36D4"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lastRenderedPageBreak/>
        <w:t>3. De acuerdo con lo establecido en el artículo 30 de la Ley Orgánica 2/2012, de 27 de abril, de Estabilidad Presupuestaria y Sostenibilidad Financiera, el límite de gasto no financiero como resultado de la suma de ingresos no financieros, ajustes de contabilidad nacional y límite de déficit, una vez descontado el Fondo de Haciendas Locales y la Aportación económica al Estado, queda establecido en 4.684.182.014 euros.</w:t>
      </w:r>
    </w:p>
    <w:p w14:paraId="2A1E3FC5" w14:textId="77777777" w:rsidR="00884DB1" w:rsidRPr="00C0709C" w:rsidRDefault="00884DB1" w:rsidP="00C0709C">
      <w:pPr>
        <w:pStyle w:val="DICTA-CAPITULO"/>
        <w:spacing w:beforeLines="60" w:before="144" w:afterLines="60" w:after="144" w:line="280" w:lineRule="exact"/>
        <w:rPr>
          <w:rFonts w:ascii="Arial" w:hAnsi="Arial" w:cs="Arial"/>
          <w:sz w:val="22"/>
          <w:szCs w:val="22"/>
          <w:lang w:val="es-ES_tradnl"/>
        </w:rPr>
      </w:pPr>
      <w:r w:rsidRPr="00C0709C">
        <w:rPr>
          <w:rFonts w:ascii="Arial" w:hAnsi="Arial" w:cs="Arial"/>
          <w:sz w:val="22"/>
          <w:szCs w:val="22"/>
          <w:lang w:val="es-ES_tradnl"/>
        </w:rPr>
        <w:t>CAPÍTULO II</w:t>
      </w:r>
    </w:p>
    <w:p w14:paraId="658138E3" w14:textId="77777777" w:rsidR="00884DB1" w:rsidRPr="00C0709C" w:rsidRDefault="00884DB1" w:rsidP="00C0709C">
      <w:pPr>
        <w:pStyle w:val="DICTA-SUBTITULO2"/>
        <w:spacing w:beforeLines="60" w:before="144" w:afterLines="60" w:after="144" w:line="280" w:lineRule="exact"/>
        <w:rPr>
          <w:rFonts w:cs="Arial"/>
          <w:sz w:val="22"/>
          <w:szCs w:val="22"/>
          <w:lang w:val="es-ES_tradnl"/>
        </w:rPr>
      </w:pPr>
      <w:r w:rsidRPr="00C0709C">
        <w:rPr>
          <w:rFonts w:cs="Arial"/>
          <w:sz w:val="22"/>
          <w:szCs w:val="22"/>
          <w:lang w:val="es-ES_tradnl"/>
        </w:rPr>
        <w:t>Modificación de los créditos presupuestarios</w:t>
      </w:r>
    </w:p>
    <w:p w14:paraId="297051E1" w14:textId="77FA8E11" w:rsidR="00884DB1" w:rsidRPr="00C0709C" w:rsidRDefault="00884DB1"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Artículo 3</w:t>
      </w:r>
      <w:r w:rsidRPr="00C0709C">
        <w:rPr>
          <w:rFonts w:cs="Arial"/>
          <w:sz w:val="22"/>
          <w:szCs w:val="22"/>
          <w:lang w:val="es-ES_tradnl"/>
        </w:rPr>
        <w:t xml:space="preserve">. Modificación de </w:t>
      </w:r>
      <w:proofErr w:type="gramStart"/>
      <w:r w:rsidRPr="00C0709C">
        <w:rPr>
          <w:rFonts w:cs="Arial"/>
          <w:sz w:val="22"/>
          <w:szCs w:val="22"/>
          <w:lang w:val="es-ES_tradnl"/>
        </w:rPr>
        <w:t>créditos presupuestarios</w:t>
      </w:r>
      <w:r w:rsidR="00862E05" w:rsidRPr="00C0709C">
        <w:rPr>
          <w:rFonts w:cs="Arial"/>
          <w:sz w:val="22"/>
          <w:szCs w:val="22"/>
          <w:lang w:val="es-ES_tradnl"/>
        </w:rPr>
        <w:t xml:space="preserve"> y movimientos presupuestarios</w:t>
      </w:r>
      <w:proofErr w:type="gramEnd"/>
      <w:r w:rsidRPr="00C0709C">
        <w:rPr>
          <w:rFonts w:cs="Arial"/>
          <w:sz w:val="22"/>
          <w:szCs w:val="22"/>
          <w:lang w:val="es-ES_tradnl"/>
        </w:rPr>
        <w:t>.</w:t>
      </w:r>
    </w:p>
    <w:p w14:paraId="1271C231" w14:textId="77777777" w:rsidR="00862E05" w:rsidRPr="00C0709C" w:rsidRDefault="00862E05"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Las modificaciones de los créditos presupuestarios se ajustarán a los preceptos de la Ley Foral 13/2007, de 4 de abril, de la Hacienda Pública de Navarra, en cuanto no resulten modificados por la presente ley foral.</w:t>
      </w:r>
    </w:p>
    <w:p w14:paraId="2186DB37" w14:textId="77777777" w:rsidR="00862E05" w:rsidRPr="00C0709C" w:rsidRDefault="00862E05"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Se podrán realizar movimientos de fondos entre partidas en las que figuran créditos destinados a una misma finalidad pero que son distintas por exigencias de la Unión Europea para el mejor control del destino de los gastos al estar, en parte, cofinanciados por aquella. Estos movimientos no tendrán la consideración de modificaciones presupuestarias.</w:t>
      </w:r>
    </w:p>
    <w:p w14:paraId="58C28FA0" w14:textId="77777777" w:rsidR="00862E05" w:rsidRPr="00C0709C" w:rsidRDefault="00862E05"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La competencia para autorizar los mencionados movimientos de fondos corresponderá a la persona titular del departamento donde se encuadre la partida.</w:t>
      </w:r>
    </w:p>
    <w:p w14:paraId="62BF9E2B" w14:textId="77777777" w:rsidR="00884DB1" w:rsidRPr="00C0709C" w:rsidRDefault="00884DB1"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Artículo 4.</w:t>
      </w:r>
      <w:r w:rsidRPr="00C0709C">
        <w:rPr>
          <w:rFonts w:cs="Arial"/>
          <w:sz w:val="22"/>
          <w:szCs w:val="22"/>
          <w:lang w:val="es-ES_tradnl"/>
        </w:rPr>
        <w:t xml:space="preserve"> Modificaciones presupuestarias de los programas comunitarios.</w:t>
      </w:r>
    </w:p>
    <w:p w14:paraId="5D6B41FD" w14:textId="77777777" w:rsidR="0045723C" w:rsidRPr="00C0709C" w:rsidRDefault="0045723C"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1. El Gobierno de Navarra, a propuesta de la persona titular del Departamento de Economía y Hacienda, previo informe de la persona titular de la Dirección General de Fomento Empresarial, podrá autorizar las modificaciones presupuestarias necesarias para llevar a efecto durante el ejercicio la mejor ejecución de los programas y proyectos cofinanciados por la Unión Europea, de conformidad con lo aprobado por la Comisión en el documento inicial, o con las modificaciones posteriores que los Comités de Seguimiento o la propia Comisión hayan introducido. Las modificaciones presupuestarias deberán financiarse con créditos de cualquier naturaleza que figuren en los estados de gastos.</w:t>
      </w:r>
    </w:p>
    <w:p w14:paraId="0C693B4E" w14:textId="77777777" w:rsidR="0045723C" w:rsidRPr="00C0709C" w:rsidRDefault="0045723C"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2. Cualquier modificación de crédito que afecte directamente a las partidas en las que se recojan proyectos cofinanciados por la Unión Europea requerirá informe previo de la Dirección General de Fomento Empresarial. Se exceptúan las modificaciones que afecten a créditos cofinanciados por el Fondo Europeo Agrícola de Desarrollo Rural (FEADER).</w:t>
      </w:r>
    </w:p>
    <w:p w14:paraId="5AB5B18C" w14:textId="77777777" w:rsidR="00884DB1" w:rsidRPr="00C0709C" w:rsidRDefault="00884DB1"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Artículo 5</w:t>
      </w:r>
      <w:r w:rsidRPr="00C0709C">
        <w:rPr>
          <w:rFonts w:cs="Arial"/>
          <w:sz w:val="22"/>
          <w:szCs w:val="22"/>
          <w:lang w:val="es-ES_tradnl"/>
        </w:rPr>
        <w:t>. Ampliaciones de crédito.</w:t>
      </w:r>
    </w:p>
    <w:p w14:paraId="497867EF" w14:textId="446805C6"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Además de los créditos referidos en las letras a) a g) del apartado 1 del artículo 47 de la Ley Foral 13/2007, de 4 de abril, de la Hacienda Pública de Navarra, tendrán la consideración de ampliables para el ejercicio 2024 todas las partidas existentes o que fuera necesario crear durante el ejercicio, para la concesión de indemnizaciones, subvenciones y préstamos que pudieran aprobarse como consecuencia del reconocimiento y reparación de las víctimas del terrorismo o de las víctimas de actos de motivación política contemplados en la legislación vigente, así como todas las partidas correspondientes al pago de cotizaciones a la Seguridad Social.</w:t>
      </w:r>
    </w:p>
    <w:p w14:paraId="2B3811B2"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Además, tendrán la consideración de ampliables para el ejercicio 2024, todas las partidas existentes o que fuera necesario crear durante el ejercicio, sin las limitaciones del </w:t>
      </w:r>
      <w:r w:rsidRPr="00C0709C">
        <w:rPr>
          <w:rFonts w:cs="Arial"/>
          <w:sz w:val="22"/>
          <w:szCs w:val="22"/>
          <w:lang w:val="es-ES_tradnl"/>
        </w:rPr>
        <w:lastRenderedPageBreak/>
        <w:t>artículo 38 de la Ley Foral 13/2007, de 4 de abril, de la Hacienda Pública de Navarra, para financiar las medidas para la reducción de las listas de espera en el Servicio Navarro de Salud-</w:t>
      </w:r>
      <w:proofErr w:type="spellStart"/>
      <w:r w:rsidRPr="00C0709C">
        <w:rPr>
          <w:rFonts w:cs="Arial"/>
          <w:sz w:val="22"/>
          <w:szCs w:val="22"/>
          <w:lang w:val="es-ES_tradnl"/>
        </w:rPr>
        <w:t>Osasunbidea</w:t>
      </w:r>
      <w:proofErr w:type="spellEnd"/>
      <w:r w:rsidRPr="00C0709C">
        <w:rPr>
          <w:rFonts w:cs="Arial"/>
          <w:sz w:val="22"/>
          <w:szCs w:val="22"/>
          <w:lang w:val="es-ES_tradnl"/>
        </w:rPr>
        <w:t xml:space="preserve"> que contendrán en su denominación Listas de espera.</w:t>
      </w:r>
    </w:p>
    <w:p w14:paraId="541E2525"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Además de lo anterior, se considerarán ampliables:</w:t>
      </w:r>
    </w:p>
    <w:p w14:paraId="14C8CDEF"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1. Las siguientes partidas del Departamento de Economía y Hacienda:</w:t>
      </w:r>
    </w:p>
    <w:p w14:paraId="33ED7DA9"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a) 100000-10000-4709-441100 denominada “AUDENASA. Política comercial”.</w:t>
      </w:r>
    </w:p>
    <w:p w14:paraId="0176410F"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b) 114001-13100-3101-923700 denominada “Intereses y comisiones de créditos”.</w:t>
      </w:r>
    </w:p>
    <w:p w14:paraId="18831E3E"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c) 114001-13100-3509-923700 denominada “Retribución por saldos en cuentas corrientes y similares”.</w:t>
      </w:r>
    </w:p>
    <w:p w14:paraId="24876DB8"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d) 111002-11300-6002-923100 denominada “Terrenos y bienes naturales”.</w:t>
      </w:r>
    </w:p>
    <w:p w14:paraId="74FF6401"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e) 111002-11300-6003-923100 denominada “Demoliciones”.</w:t>
      </w:r>
    </w:p>
    <w:p w14:paraId="64AB03AB"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f) 111002-11300-6020-923100 denominada “Edificios y obras de nueva instalación, y reforma del patrimonio inmobiliario”.</w:t>
      </w:r>
    </w:p>
    <w:p w14:paraId="373C17ED"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g) 111002-11300-6020-923104 denominada “Plan de Inmuebles. Oficinas administrativas”.</w:t>
      </w:r>
    </w:p>
    <w:p w14:paraId="0E2F7B8F"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h) 111002-11300-6050-923100 denominada “Plan de Inmuebles. Mobiliario y equipamiento de edificios y obras”.</w:t>
      </w:r>
    </w:p>
    <w:p w14:paraId="00DB309B"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i) 111002-11300-8500-923100 denominada “Adquisición de acciones del sector público”.</w:t>
      </w:r>
    </w:p>
    <w:p w14:paraId="1A2E225C"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j) 151000-17300-2273-923400 denominada “Encargo a TRACASA Instrumental. Recepción e integración datos fiscales en sistemas de información tributaria”.</w:t>
      </w:r>
    </w:p>
    <w:p w14:paraId="6057A6E5"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k) 155003-17800-3501-932100 denominada “Intereses por demora en devoluciones de ingresos indebidos e impuestos”.</w:t>
      </w:r>
    </w:p>
    <w:p w14:paraId="30B570C9"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2. Las siguientes partidas del Departamento de Cohesión Territorial:</w:t>
      </w:r>
    </w:p>
    <w:p w14:paraId="1AED268C"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a) 210001-21100-4609-942300 denominada “Compensación a entes locales por bonificaciones en tributos locales”.</w:t>
      </w:r>
    </w:p>
    <w:p w14:paraId="0BA9A70D"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b) 220000-22000-6010-453300 denominada “Revisión de precios”.</w:t>
      </w:r>
    </w:p>
    <w:p w14:paraId="206F81D6"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c) 220003-22200-2090-453200 denominada “Canon de la autovía A-12 Pamplona-Logroño”.</w:t>
      </w:r>
    </w:p>
    <w:p w14:paraId="29F27DE9"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d) 220003-22200-2090-453202 denominada “Canon de la autovía A-21 Autovía del Pirineo”.</w:t>
      </w:r>
    </w:p>
    <w:p w14:paraId="4AF9C2D2"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e) 220003-22200-6010-453305 denominada “Conservación de la red viaria y centro de control”.</w:t>
      </w:r>
    </w:p>
    <w:p w14:paraId="11EC7A29"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f) 220003-22200-6010-453306 denominada “Refuerzos de firmes”.</w:t>
      </w:r>
    </w:p>
    <w:p w14:paraId="6ACFDB0B"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g) 220004-22100-4700-452100 denominada “Canon de los riegos del Canal de Navarra. Ampliación 1ª Fase”.</w:t>
      </w:r>
    </w:p>
    <w:p w14:paraId="52FDF67F"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lastRenderedPageBreak/>
        <w:t>3. Las siguientes partidas del Departamento de Vivienda, Juventud y Políticas Migratorias:</w:t>
      </w:r>
    </w:p>
    <w:p w14:paraId="663668B4"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a) 320000-32100-4809-261400 denominada “Subvenciones para arrendatarios de vivienda”.</w:t>
      </w:r>
    </w:p>
    <w:p w14:paraId="65E8F1E5"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b) 320000-32100-7800-261400 denominada “Subvenciones y subsidios para actuaciones en vivienda”.</w:t>
      </w:r>
    </w:p>
    <w:p w14:paraId="4D2D657C"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4. Las siguientes partidas del Departamento de Educación:</w:t>
      </w:r>
    </w:p>
    <w:p w14:paraId="18708A23"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a) 400000-40100-3501-321100 denominada “Intereses de demora”.</w:t>
      </w:r>
    </w:p>
    <w:p w14:paraId="59CB8A8E"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b) 400000-41000-1220-322000 denominada “Retribuciones del personal contratado temporal”.</w:t>
      </w:r>
    </w:p>
    <w:p w14:paraId="43037F4E"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c) 400000-41000-1800-322000 denominada “Reconocimiento de servicios, nuevos complementos, grado, antigüedad, reingresos de excedencias y otros”.</w:t>
      </w:r>
    </w:p>
    <w:p w14:paraId="0A20F2DA"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d) 400000-41000-1810-322000 denominada “Retribuciones de personal de ejercicios anteriores”.</w:t>
      </w:r>
    </w:p>
    <w:p w14:paraId="0C03B5D0"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e) 400000-41000-1820-322000 denominada “Ejecución de sentencias indemnizaciones y compensaciones por estabilización”.</w:t>
      </w:r>
    </w:p>
    <w:p w14:paraId="35E7172F"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f) 410000-41600-4609-322004 denominada “Transferencias por uso de espacios municipales por alumnado de Secundaria y Formación Profesional”.</w:t>
      </w:r>
    </w:p>
    <w:p w14:paraId="789774C0"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g) 430004-43500-6081-322000 denominada “Plan de gratuidad de libros de texto escolares”.</w:t>
      </w:r>
    </w:p>
    <w:p w14:paraId="38B4012E"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h) 430004-43500-7811-322000 denominada “Programa de gratuidad de libros de texto escolares”.</w:t>
      </w:r>
    </w:p>
    <w:p w14:paraId="08A7E0FE"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i) Las del proyecto 410003 Subvenciones a la enseñanza privada concertada y asimilada de código económico 4811.</w:t>
      </w:r>
    </w:p>
    <w:p w14:paraId="6319FEA4"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j) 430005-43500-2210-324100 denominada “Comedores”.</w:t>
      </w:r>
    </w:p>
    <w:p w14:paraId="0CE52717"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k) 430005-43500-2230-324100 denominada “Transporte escolar”.</w:t>
      </w:r>
    </w:p>
    <w:p w14:paraId="3EC2B015"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l) 430005-43500-2230-324102 denominada “Transporte escolar educación especial”.</w:t>
      </w:r>
    </w:p>
    <w:p w14:paraId="2227652F"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m) 430005-43500-4800-324100 denominada “Ayudas individualizadas por transporte escolar”.</w:t>
      </w:r>
    </w:p>
    <w:p w14:paraId="2168C13E"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n) 430005-43500-4800-324102 denominada “Ayudas individualizadas para comedores”.</w:t>
      </w:r>
    </w:p>
    <w:p w14:paraId="472CD8A7"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ñ) 420007-42900-4609-322100 denominada “Convenios con ayuntamientos para la escolarización de 0 a 3 años”. </w:t>
      </w:r>
    </w:p>
    <w:p w14:paraId="3EB32F2C"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o) 430001 43100 4800 322E00 denominada “Prácticas alumnado de FP: Seguridad Social”.</w:t>
      </w:r>
    </w:p>
    <w:p w14:paraId="690F2834"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5. Las siguientes partidas del Departamento de Salud:</w:t>
      </w:r>
    </w:p>
    <w:p w14:paraId="08A545A4"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lastRenderedPageBreak/>
        <w:t>a) Las del grupo de programas 54 correspondientes a los códigos económicos siguientes: 2210, 2213, 2214, 2215, 2216, 2286, 2287 y 2500; así como las del grupo de programas 52 correspondientes al código económico 2215.</w:t>
      </w:r>
    </w:p>
    <w:p w14:paraId="4B110927" w14:textId="77777777" w:rsidR="0021485D" w:rsidRPr="00C0709C" w:rsidRDefault="0021485D" w:rsidP="00C0709C">
      <w:pPr>
        <w:pStyle w:val="DICTA-TEXTO"/>
        <w:spacing w:beforeLines="60" w:before="144" w:afterLines="60" w:after="144" w:line="280" w:lineRule="exact"/>
        <w:rPr>
          <w:rFonts w:cs="Arial"/>
          <w:strike/>
          <w:sz w:val="22"/>
          <w:szCs w:val="22"/>
          <w:lang w:val="es-ES_tradnl"/>
        </w:rPr>
      </w:pPr>
      <w:r w:rsidRPr="00C0709C">
        <w:rPr>
          <w:rFonts w:cs="Arial"/>
          <w:sz w:val="22"/>
          <w:szCs w:val="22"/>
          <w:lang w:val="es-ES_tradnl"/>
        </w:rPr>
        <w:t>b) 540000-52000-1800-311100 denominada: “Carrera profesional servicios temporales”.</w:t>
      </w:r>
    </w:p>
    <w:p w14:paraId="70AAEC05"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c) 540000-52000-1810-311100 denominada “Retribuciones de personal de ejercicios anteriores”.</w:t>
      </w:r>
    </w:p>
    <w:p w14:paraId="30DC8184"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d) 540000-52000-1820-311100 denominada “Ejecución de sentencias, indemnizaciones y compensaciones por estabilización”.</w:t>
      </w:r>
    </w:p>
    <w:p w14:paraId="357AE138"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e) 540002-52833-2231-311100 denominada “Plan de atención de emergencia sanitaria y ambulancias”.</w:t>
      </w:r>
    </w:p>
    <w:p w14:paraId="2E85A103"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f) 540002-52833-4809-311104 denominada “Prótesis, órtesis y vehículos para personas con discapacidad”.</w:t>
      </w:r>
    </w:p>
    <w:p w14:paraId="367FDC59"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g) 540005-52831-4809-313100 denominada “Prestaciones farmacéuticas”.</w:t>
      </w:r>
    </w:p>
    <w:p w14:paraId="2A9AB4C1"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h) 540005-52831-4809-313102 denominada “Absorbentes y otros productos sanitarios”.</w:t>
      </w:r>
    </w:p>
    <w:p w14:paraId="1E9359E2"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i) 540005-52831-4809-313103 denominada “Prestaciones farmacéuticas-regulación copago”.</w:t>
      </w:r>
    </w:p>
    <w:p w14:paraId="15EB2E16"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j) 543000-52200-6057-312802 denominada “Instrumental quirúrgico”.</w:t>
      </w:r>
    </w:p>
    <w:p w14:paraId="7B6ACB79"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k) 543004-52214-2276-312700 denominada “Trabajos de fraccionamiento de plasma para la producción de fármacos”.</w:t>
      </w:r>
    </w:p>
    <w:p w14:paraId="48B0AD6F"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l) 545000 52400 6057 312803 denominada “Instrumental quirúrgico”.</w:t>
      </w:r>
    </w:p>
    <w:p w14:paraId="6AB61D06"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m) 546000 52500 6057 312803 denominada “Instrumental quirúrgico”.</w:t>
      </w:r>
    </w:p>
    <w:p w14:paraId="5A4DE6D7"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6. Las siguientes partidas del Departamento de Desarrollo Rural y Medio Ambiente:</w:t>
      </w:r>
    </w:p>
    <w:p w14:paraId="2EFF793C"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a) 710000-71200-4700-412100 denominada “Indemnización por arranque de plantaciones”.</w:t>
      </w:r>
    </w:p>
    <w:p w14:paraId="7731BA2E"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b) 710000-71200-4700-412107 denominada “Ayudas a los daños en infraestructuras privadas y a la pérdida de rentas por inundaciones extraordinarias”. </w:t>
      </w:r>
    </w:p>
    <w:p w14:paraId="7787C1C9"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c) 710001-71200-4700-414210 denominada “Compensación por primas de seguro a través de </w:t>
      </w:r>
      <w:proofErr w:type="spellStart"/>
      <w:r w:rsidRPr="00C0709C">
        <w:rPr>
          <w:rFonts w:cs="Arial"/>
          <w:sz w:val="22"/>
          <w:szCs w:val="22"/>
          <w:lang w:val="es-ES_tradnl"/>
        </w:rPr>
        <w:t>Agroseguro</w:t>
      </w:r>
      <w:proofErr w:type="spellEnd"/>
      <w:r w:rsidRPr="00C0709C">
        <w:rPr>
          <w:rFonts w:cs="Arial"/>
          <w:sz w:val="22"/>
          <w:szCs w:val="22"/>
          <w:lang w:val="es-ES_tradnl"/>
        </w:rPr>
        <w:t>”.</w:t>
      </w:r>
    </w:p>
    <w:p w14:paraId="72984696"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d) 710004-71300-2279-412205 denominada “Vacunaciones oficiales de emergencia”.</w:t>
      </w:r>
    </w:p>
    <w:p w14:paraId="58E577AF"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e) 710004-71300-7700-412200 denominada “Indemnización por sacrificio a causa de epizootias”.</w:t>
      </w:r>
    </w:p>
    <w:p w14:paraId="46D1FFE4"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f) 710006-71500-4700-414100 denominada “Canon de los riegos del Canal de Navarra”.</w:t>
      </w:r>
    </w:p>
    <w:p w14:paraId="5A2DE5D8"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g) 710006-71500-7609-414402 denominada “Ayudas infraestructuras agrarias públicas dañadas por incendios e inundaciones extraordinarias”.</w:t>
      </w:r>
    </w:p>
    <w:p w14:paraId="3EDB3736"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lastRenderedPageBreak/>
        <w:t>h) 710006-71500-7700-414400 denominada “Ayudas infraestructuras agrarias privadas dañadas por incendios e inundaciones extraordinarias”.</w:t>
      </w:r>
    </w:p>
    <w:p w14:paraId="475BC022"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i) 710006 71500 7819 414100 denominada “Reparación de infraestructuras agrarias de Comunidades de Regantes por inundaciones extraordinarias”. </w:t>
      </w:r>
    </w:p>
    <w:p w14:paraId="1FD00225"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7. Las siguientes partidas del Departamento de Industria y de Transición Ecológica y Digital Empresarial:</w:t>
      </w:r>
    </w:p>
    <w:p w14:paraId="3339F9BB"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a) 810001-81100-4819-422203 denominada “Planes estratégicos comarcales”.</w:t>
      </w:r>
    </w:p>
    <w:p w14:paraId="529FEDD5"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b) 810001-81100-7819-422200 denominada “Planes estratégicos comarcales. Proyectos”.</w:t>
      </w:r>
    </w:p>
    <w:p w14:paraId="52E8FB72" w14:textId="7C2E4D66" w:rsidR="00814C4D" w:rsidRPr="00C0709C" w:rsidRDefault="00814C4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c) </w:t>
      </w:r>
      <w:r w:rsidR="00B66FE4" w:rsidRPr="00C0709C">
        <w:rPr>
          <w:rFonts w:cs="Arial"/>
          <w:sz w:val="22"/>
          <w:szCs w:val="22"/>
          <w:lang w:val="es-ES_tradnl"/>
        </w:rPr>
        <w:t xml:space="preserve">820001-82500-7809-425202 </w:t>
      </w:r>
      <w:r w:rsidRPr="00C0709C">
        <w:rPr>
          <w:rFonts w:cs="Arial"/>
          <w:sz w:val="22"/>
          <w:szCs w:val="22"/>
          <w:lang w:val="es-ES_tradnl"/>
        </w:rPr>
        <w:t>denominada “Convocatoria ayudas achatarramiento vehículos”.</w:t>
      </w:r>
    </w:p>
    <w:p w14:paraId="628E6E1F"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8. Las siguientes partidas del Departamento de Derechos Sociales, Economía Social y Empleo:</w:t>
      </w:r>
    </w:p>
    <w:p w14:paraId="2478764F"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a) Las de código económico 2600, ubicadas en los proyectos 901003, 920005, 920006 y 920008, destinadas a financiar las prestaciones garantizadas que se establecen en el Decreto Foral 69/2008, de 17 de junio, por el que se aprueba la Cartera de Servicios Sociales de ámbito general prevista en la Ley Foral 15/2006, de 14 de diciembre, de Servicios Sociales.</w:t>
      </w:r>
    </w:p>
    <w:p w14:paraId="35F537F3"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b) 901002-91100-4809-212100 denominada “Pensiones no contributivas”.</w:t>
      </w:r>
    </w:p>
    <w:p w14:paraId="38721EC4"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c) 901002-91100-4809-231500 denominada “Renta garantizada”.</w:t>
      </w:r>
    </w:p>
    <w:p w14:paraId="30D74377"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d) 901002-91100-4809-231502 denominada “Ayudas extraordinarias para la inclusión social”.</w:t>
      </w:r>
    </w:p>
    <w:p w14:paraId="41992107"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e) 901002-91100-4809-231505 denominada “Ingreso mínimo vital”.</w:t>
      </w:r>
    </w:p>
    <w:p w14:paraId="2C2C008D"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f) 901003-91600-4809-231600 denominada “Prestaciones económicas y acompañamiento social en medio abierto para personas en exclusión social”.</w:t>
      </w:r>
    </w:p>
    <w:p w14:paraId="2B6C2F8A"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g) 901003-91600-4609-231500 denominada “Servicio de acogida para personas sin hogar”.</w:t>
      </w:r>
    </w:p>
    <w:p w14:paraId="7539B4B7"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h) 901003-91600-4609-231502 denominada “Servicios Sociales de atención primaria”.</w:t>
      </w:r>
    </w:p>
    <w:p w14:paraId="696C972E"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i) 901001-91100-4819-143103 denominada “Respuesta inmediata a emergencias internacionales”.</w:t>
      </w:r>
    </w:p>
    <w:p w14:paraId="7E757765"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j) 920004-93200-4809-231B00 denominada “Ayudas vinculadas a servicio”.</w:t>
      </w:r>
    </w:p>
    <w:p w14:paraId="6BD6DF64"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k) 920004-93200-4809-231B02 denominada “Ayudas para la atención de servicios personales”.</w:t>
      </w:r>
    </w:p>
    <w:p w14:paraId="20222812" w14:textId="52403A25" w:rsidR="00916FD3" w:rsidRPr="00C0709C" w:rsidRDefault="00AF002A"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l</w:t>
      </w:r>
      <w:r w:rsidR="00916FD3" w:rsidRPr="00C0709C">
        <w:rPr>
          <w:rFonts w:cs="Arial"/>
          <w:sz w:val="22"/>
          <w:szCs w:val="22"/>
          <w:lang w:val="es-ES_tradnl"/>
        </w:rPr>
        <w:t xml:space="preserve">) </w:t>
      </w:r>
      <w:r w:rsidR="003E659B" w:rsidRPr="00C0709C">
        <w:rPr>
          <w:rFonts w:cs="Arial"/>
          <w:sz w:val="22"/>
          <w:szCs w:val="22"/>
          <w:lang w:val="es-ES_tradnl"/>
        </w:rPr>
        <w:t xml:space="preserve">320000-32100-7609-261405 </w:t>
      </w:r>
      <w:r w:rsidR="00916FD3" w:rsidRPr="00C0709C">
        <w:rPr>
          <w:rFonts w:cs="Arial"/>
          <w:sz w:val="22"/>
          <w:szCs w:val="22"/>
          <w:lang w:val="es-ES_tradnl"/>
        </w:rPr>
        <w:t xml:space="preserve">denominada “Convenio con el Ayuntamiento de </w:t>
      </w:r>
      <w:proofErr w:type="spellStart"/>
      <w:r w:rsidR="00916FD3" w:rsidRPr="00C0709C">
        <w:rPr>
          <w:rFonts w:cs="Arial"/>
          <w:sz w:val="22"/>
          <w:szCs w:val="22"/>
          <w:lang w:val="es-ES_tradnl"/>
        </w:rPr>
        <w:t>Arakil</w:t>
      </w:r>
      <w:proofErr w:type="spellEnd"/>
      <w:r w:rsidR="00916FD3" w:rsidRPr="00C0709C">
        <w:rPr>
          <w:rFonts w:cs="Arial"/>
          <w:sz w:val="22"/>
          <w:szCs w:val="22"/>
          <w:lang w:val="es-ES_tradnl"/>
        </w:rPr>
        <w:t xml:space="preserve"> para impulso de vivienda”.</w:t>
      </w:r>
    </w:p>
    <w:p w14:paraId="46828A67" w14:textId="4046DEF8" w:rsidR="0021485D" w:rsidRPr="00C0709C" w:rsidRDefault="00AF002A"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m</w:t>
      </w:r>
      <w:r w:rsidR="0021485D" w:rsidRPr="00C0709C">
        <w:rPr>
          <w:rFonts w:cs="Arial"/>
          <w:sz w:val="22"/>
          <w:szCs w:val="22"/>
          <w:lang w:val="es-ES_tradnl"/>
        </w:rPr>
        <w:t>) 920004-93200-4809-231B06 denominada “Contratación de asistentes para vida independiente de personas con discapacidad”.</w:t>
      </w:r>
    </w:p>
    <w:p w14:paraId="5718513A" w14:textId="79E4AE6D" w:rsidR="0021485D" w:rsidRPr="00C0709C" w:rsidRDefault="00AF002A"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lastRenderedPageBreak/>
        <w:t>n</w:t>
      </w:r>
      <w:r w:rsidR="0021485D" w:rsidRPr="00C0709C">
        <w:rPr>
          <w:rFonts w:cs="Arial"/>
          <w:sz w:val="22"/>
          <w:szCs w:val="22"/>
          <w:lang w:val="es-ES_tradnl"/>
        </w:rPr>
        <w:t>) 920008-93300-4809-231700 denominada “Recursos para autonomía de jóvenes del sistema de protección”.</w:t>
      </w:r>
    </w:p>
    <w:p w14:paraId="6D93A713" w14:textId="55047FBC" w:rsidR="0021485D" w:rsidRPr="00C0709C" w:rsidRDefault="00AF002A"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ñ</w:t>
      </w:r>
      <w:r w:rsidR="0021485D" w:rsidRPr="00C0709C">
        <w:rPr>
          <w:rFonts w:cs="Arial"/>
          <w:sz w:val="22"/>
          <w:szCs w:val="22"/>
          <w:lang w:val="es-ES_tradnl"/>
        </w:rPr>
        <w:t>) 920008-93300-4809-231702 denominada “Prestaciones económicas a familias”.</w:t>
      </w:r>
    </w:p>
    <w:p w14:paraId="6DCBF6EE" w14:textId="28A53E1E" w:rsidR="0021485D" w:rsidRPr="00C0709C" w:rsidRDefault="00AF002A"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o</w:t>
      </w:r>
      <w:r w:rsidR="0021485D" w:rsidRPr="00C0709C">
        <w:rPr>
          <w:rFonts w:cs="Arial"/>
          <w:sz w:val="22"/>
          <w:szCs w:val="22"/>
          <w:lang w:val="es-ES_tradnl"/>
        </w:rPr>
        <w:t>) 920008-93300-4809-231704 denominada “Cuotas de niños en centros ajenos”.</w:t>
      </w:r>
    </w:p>
    <w:p w14:paraId="076AE3C0" w14:textId="664CD12C" w:rsidR="0021485D" w:rsidRPr="00C0709C" w:rsidRDefault="00AF002A"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p</w:t>
      </w:r>
      <w:r w:rsidR="0021485D" w:rsidRPr="00C0709C">
        <w:rPr>
          <w:rFonts w:cs="Arial"/>
          <w:sz w:val="22"/>
          <w:szCs w:val="22"/>
          <w:lang w:val="es-ES_tradnl"/>
        </w:rPr>
        <w:t>) 950001-96100-4709-241109 denominada “Ayudas a Centros Especiales de Empleo”.</w:t>
      </w:r>
    </w:p>
    <w:p w14:paraId="57284C36" w14:textId="4EB223BC" w:rsidR="00E33791" w:rsidRPr="00C0709C" w:rsidRDefault="00AF002A"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q</w:t>
      </w:r>
      <w:r w:rsidR="00E33791" w:rsidRPr="00C0709C">
        <w:rPr>
          <w:rFonts w:cs="Arial"/>
          <w:sz w:val="22"/>
          <w:szCs w:val="22"/>
          <w:lang w:val="es-ES_tradnl"/>
        </w:rPr>
        <w:t>) 950001 96100 4809 241109 denominada “Ayudas para la promoción del autoempleo”.</w:t>
      </w:r>
    </w:p>
    <w:p w14:paraId="395AE15B" w14:textId="50DB1A0F" w:rsidR="0021485D" w:rsidRPr="00C0709C" w:rsidRDefault="00AF002A"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r</w:t>
      </w:r>
      <w:r w:rsidR="0021485D" w:rsidRPr="00C0709C">
        <w:rPr>
          <w:rFonts w:cs="Arial"/>
          <w:sz w:val="22"/>
          <w:szCs w:val="22"/>
          <w:lang w:val="es-ES_tradnl"/>
        </w:rPr>
        <w:t>) 950001-96100-4819-241104 denominada “Ayudas a programas de reinserción sociolaboral de colectivos con mayores dificultades. Conferencia Sectorial”.</w:t>
      </w:r>
    </w:p>
    <w:p w14:paraId="6268D5D2"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9. Las siguientes partidas del Departamento de Interior, Función Pública y Justicia:</w:t>
      </w:r>
    </w:p>
    <w:p w14:paraId="22F34A25"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a) F20001-F2100-2279-112108 denominada “Asistencia jurídica gratuita”.</w:t>
      </w:r>
    </w:p>
    <w:p w14:paraId="6DE783CB"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b) F20001-F2300-6020-112102 denominada: “Adecuación local para </w:t>
      </w:r>
      <w:proofErr w:type="spellStart"/>
      <w:r w:rsidRPr="00C0709C">
        <w:rPr>
          <w:rFonts w:cs="Arial"/>
          <w:sz w:val="22"/>
          <w:szCs w:val="22"/>
          <w:lang w:val="es-ES_tradnl"/>
        </w:rPr>
        <w:t>Barnahus</w:t>
      </w:r>
      <w:proofErr w:type="spellEnd"/>
      <w:r w:rsidRPr="00C0709C">
        <w:rPr>
          <w:rFonts w:cs="Arial"/>
          <w:sz w:val="22"/>
          <w:szCs w:val="22"/>
          <w:lang w:val="es-ES_tradnl"/>
        </w:rPr>
        <w:t>”.</w:t>
      </w:r>
    </w:p>
    <w:p w14:paraId="5FA0B2A9"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c) F30001-F3100-1001-921400 denominada “Prestaciones a </w:t>
      </w:r>
      <w:proofErr w:type="spellStart"/>
      <w:r w:rsidRPr="00C0709C">
        <w:rPr>
          <w:rFonts w:cs="Arial"/>
          <w:sz w:val="22"/>
          <w:szCs w:val="22"/>
          <w:lang w:val="es-ES_tradnl"/>
        </w:rPr>
        <w:t>ex-presidentes</w:t>
      </w:r>
      <w:proofErr w:type="spellEnd"/>
      <w:r w:rsidRPr="00C0709C">
        <w:rPr>
          <w:rFonts w:cs="Arial"/>
          <w:sz w:val="22"/>
          <w:szCs w:val="22"/>
          <w:lang w:val="es-ES_tradnl"/>
        </w:rPr>
        <w:t xml:space="preserve">, </w:t>
      </w:r>
      <w:proofErr w:type="spellStart"/>
      <w:r w:rsidRPr="00C0709C">
        <w:rPr>
          <w:rFonts w:cs="Arial"/>
          <w:sz w:val="22"/>
          <w:szCs w:val="22"/>
          <w:lang w:val="es-ES_tradnl"/>
        </w:rPr>
        <w:t>ex-consejeros</w:t>
      </w:r>
      <w:proofErr w:type="spellEnd"/>
      <w:r w:rsidRPr="00C0709C">
        <w:rPr>
          <w:rFonts w:cs="Arial"/>
          <w:sz w:val="22"/>
          <w:szCs w:val="22"/>
          <w:lang w:val="es-ES_tradnl"/>
        </w:rPr>
        <w:t xml:space="preserve"> y otros altos cargos del Gobierno de Navarra”.</w:t>
      </w:r>
    </w:p>
    <w:p w14:paraId="2B62B183"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d) F30001-F3100-1620-921400 denominada “Fondo para la aplicación de acuerdos en materia de personal”.</w:t>
      </w:r>
    </w:p>
    <w:p w14:paraId="400EC6E8"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e) F30001-F3100-1800-921400 denominada “Reconocimiento de servicios, nuevos complementos, grado, antigüedad, reingresos de excedencias y otros”.</w:t>
      </w:r>
    </w:p>
    <w:p w14:paraId="7A1DB87E"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f) F30001-F3100-1800-921402 denominada “Incremento retributivo”</w:t>
      </w:r>
    </w:p>
    <w:p w14:paraId="4918B7A3"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g) F30001-F3100-1810-921400 denominada “Retribuciones de personal de ejercicios anteriores”.</w:t>
      </w:r>
    </w:p>
    <w:p w14:paraId="2C530882"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h) F30001-F3100-1820-921400 denominada “Ejecución de sentencias, indemnizaciones y compensaciones por estabilización”.</w:t>
      </w:r>
    </w:p>
    <w:p w14:paraId="551DDFFE"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i) F30001-F3100-1820-921403 denominada “Indemnizaciones por accidentes laborales”.</w:t>
      </w:r>
    </w:p>
    <w:p w14:paraId="50154FAE"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j) F30001-F3200-1614-211100 denominada “Indemnizaciones por jubilaciones anticipadas”.</w:t>
      </w:r>
    </w:p>
    <w:p w14:paraId="16D55E36" w14:textId="1D92F1A3" w:rsidR="00E33791" w:rsidRPr="00C0709C" w:rsidRDefault="008937BB"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k</w:t>
      </w:r>
      <w:r w:rsidR="00E33791" w:rsidRPr="00C0709C">
        <w:rPr>
          <w:rFonts w:cs="Arial"/>
          <w:sz w:val="22"/>
          <w:szCs w:val="22"/>
          <w:lang w:val="es-ES_tradnl"/>
        </w:rPr>
        <w:t>) F40000 F4600 6000 131100 denominada “Adquisición de terrenos”.</w:t>
      </w:r>
    </w:p>
    <w:p w14:paraId="7B4917C0" w14:textId="294CCED0" w:rsidR="00E33791" w:rsidRPr="00C0709C" w:rsidRDefault="008937BB"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l</w:t>
      </w:r>
      <w:r w:rsidR="00E33791" w:rsidRPr="00C0709C">
        <w:rPr>
          <w:rFonts w:cs="Arial"/>
          <w:sz w:val="22"/>
          <w:szCs w:val="22"/>
          <w:lang w:val="es-ES_tradnl"/>
        </w:rPr>
        <w:t>) F40000 F4600 6020 131103 denominada “Obras Nueva sede Centro Coordinación Seguridad y Emergencias”.</w:t>
      </w:r>
    </w:p>
    <w:p w14:paraId="4B1BB3A8" w14:textId="3741A7EA" w:rsidR="0021485D" w:rsidRPr="00C0709C" w:rsidRDefault="008937BB"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m</w:t>
      </w:r>
      <w:r w:rsidR="0021485D" w:rsidRPr="00C0709C">
        <w:rPr>
          <w:rFonts w:cs="Arial"/>
          <w:sz w:val="22"/>
          <w:szCs w:val="22"/>
          <w:lang w:val="es-ES_tradnl"/>
        </w:rPr>
        <w:t>) F40002-F4600-2140-921800 denominada “Reparación y mantenimiento de vehículos y maquinaria”.</w:t>
      </w:r>
    </w:p>
    <w:p w14:paraId="13DA8BEE" w14:textId="6CD38835" w:rsidR="0021485D" w:rsidRPr="00C0709C" w:rsidRDefault="008937BB"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n</w:t>
      </w:r>
      <w:r w:rsidR="0021485D" w:rsidRPr="00C0709C">
        <w:rPr>
          <w:rFonts w:cs="Arial"/>
          <w:sz w:val="22"/>
          <w:szCs w:val="22"/>
          <w:lang w:val="es-ES_tradnl"/>
        </w:rPr>
        <w:t>) F40002-F4600-2281-921800 denominada “Combustibles y lubricantes”.</w:t>
      </w:r>
    </w:p>
    <w:p w14:paraId="5072E195" w14:textId="0A1D4F0B" w:rsidR="0021485D" w:rsidRPr="00C0709C" w:rsidRDefault="008937BB"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ñ</w:t>
      </w:r>
      <w:r w:rsidR="0021485D" w:rsidRPr="00C0709C">
        <w:rPr>
          <w:rFonts w:cs="Arial"/>
          <w:sz w:val="22"/>
          <w:szCs w:val="22"/>
          <w:lang w:val="es-ES_tradnl"/>
        </w:rPr>
        <w:t>) F41000-F4100-2274-132103 denominada “Servicios de seguridad para protección contra la violencia de género”.</w:t>
      </w:r>
    </w:p>
    <w:p w14:paraId="07D4AAD5"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lastRenderedPageBreak/>
        <w:t>10. La siguiente partida del Departamento de Universidad, Innovación y Transformación Digital:</w:t>
      </w:r>
    </w:p>
    <w:p w14:paraId="1663EDF8" w14:textId="77777777" w:rsidR="0021485D" w:rsidRPr="00C0709C" w:rsidRDefault="0021485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a) G10001-G1100-7455-322302 denominada “Transferencias de capital a la UPNA: Edificio Medicina”.</w:t>
      </w:r>
    </w:p>
    <w:p w14:paraId="576A2721" w14:textId="69DE550C" w:rsidR="00172C91" w:rsidRPr="00C0709C" w:rsidRDefault="00172C91"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11. </w:t>
      </w:r>
      <w:r w:rsidR="003D7657" w:rsidRPr="00C0709C">
        <w:rPr>
          <w:rFonts w:cs="Arial"/>
          <w:sz w:val="22"/>
          <w:szCs w:val="22"/>
          <w:lang w:val="es-ES_tradnl"/>
        </w:rPr>
        <w:t xml:space="preserve">A30001-A3100-7819-432107 denominada </w:t>
      </w:r>
      <w:r w:rsidRPr="00C0709C">
        <w:rPr>
          <w:rFonts w:cs="Arial"/>
          <w:sz w:val="22"/>
          <w:szCs w:val="22"/>
          <w:lang w:val="es-ES_tradnl"/>
        </w:rPr>
        <w:t xml:space="preserve">San Miguel de </w:t>
      </w:r>
      <w:proofErr w:type="spellStart"/>
      <w:r w:rsidRPr="00C0709C">
        <w:rPr>
          <w:rFonts w:cs="Arial"/>
          <w:sz w:val="22"/>
          <w:szCs w:val="22"/>
          <w:lang w:val="es-ES_tradnl"/>
        </w:rPr>
        <w:t>Aralar</w:t>
      </w:r>
      <w:proofErr w:type="spellEnd"/>
      <w:r w:rsidRPr="00C0709C">
        <w:rPr>
          <w:rFonts w:cs="Arial"/>
          <w:sz w:val="22"/>
          <w:szCs w:val="22"/>
          <w:lang w:val="es-ES_tradnl"/>
        </w:rPr>
        <w:t>–</w:t>
      </w:r>
      <w:proofErr w:type="gramStart"/>
      <w:r w:rsidRPr="00C0709C">
        <w:rPr>
          <w:rFonts w:cs="Arial"/>
          <w:sz w:val="22"/>
          <w:szCs w:val="22"/>
          <w:lang w:val="es-ES_tradnl"/>
        </w:rPr>
        <w:t>Hub</w:t>
      </w:r>
      <w:proofErr w:type="gramEnd"/>
      <w:r w:rsidRPr="00C0709C">
        <w:rPr>
          <w:rFonts w:cs="Arial"/>
          <w:sz w:val="22"/>
          <w:szCs w:val="22"/>
          <w:lang w:val="es-ES_tradnl"/>
        </w:rPr>
        <w:t xml:space="preserve"> de Caminos. Rehabilitación Albergue Hospedería.</w:t>
      </w:r>
    </w:p>
    <w:p w14:paraId="5CE6B8AB" w14:textId="77777777" w:rsidR="00884DB1" w:rsidRPr="00C0709C" w:rsidRDefault="00884DB1" w:rsidP="00C0709C">
      <w:pPr>
        <w:pStyle w:val="DICTA-TITULO1"/>
        <w:keepNext/>
        <w:spacing w:beforeLines="60" w:before="144" w:afterLines="60" w:after="144" w:line="280" w:lineRule="exact"/>
        <w:rPr>
          <w:rFonts w:cs="Arial"/>
          <w:sz w:val="22"/>
          <w:szCs w:val="22"/>
          <w:lang w:val="es-ES_tradnl"/>
        </w:rPr>
      </w:pPr>
      <w:r w:rsidRPr="00C0709C">
        <w:rPr>
          <w:rFonts w:cs="Arial"/>
          <w:sz w:val="22"/>
          <w:szCs w:val="22"/>
          <w:lang w:val="es-ES_tradnl"/>
        </w:rPr>
        <w:t>TÍTULO II</w:t>
      </w:r>
    </w:p>
    <w:p w14:paraId="1A4767EB" w14:textId="77777777" w:rsidR="00884DB1" w:rsidRPr="00C0709C" w:rsidRDefault="00884DB1" w:rsidP="00C0709C">
      <w:pPr>
        <w:pStyle w:val="DICTA-SUBTITULO"/>
        <w:keepNext/>
        <w:spacing w:beforeLines="60" w:before="144" w:afterLines="60" w:after="144" w:line="280" w:lineRule="exact"/>
        <w:rPr>
          <w:rFonts w:cs="Arial"/>
          <w:sz w:val="22"/>
          <w:szCs w:val="22"/>
          <w:lang w:val="es-ES_tradnl"/>
        </w:rPr>
      </w:pPr>
      <w:r w:rsidRPr="00C0709C">
        <w:rPr>
          <w:rFonts w:cs="Arial"/>
          <w:sz w:val="22"/>
          <w:szCs w:val="22"/>
          <w:lang w:val="es-ES_tradnl"/>
        </w:rPr>
        <w:t>De los gastos de personal</w:t>
      </w:r>
    </w:p>
    <w:p w14:paraId="406A5626" w14:textId="77777777" w:rsidR="00884DB1" w:rsidRPr="00C0709C" w:rsidRDefault="00884DB1" w:rsidP="00C0709C">
      <w:pPr>
        <w:pStyle w:val="DICTA-CAPITULO"/>
        <w:keepNext/>
        <w:spacing w:beforeLines="60" w:before="144" w:afterLines="60" w:after="144" w:line="280" w:lineRule="exact"/>
        <w:rPr>
          <w:rFonts w:ascii="Arial" w:hAnsi="Arial" w:cs="Arial"/>
          <w:sz w:val="22"/>
          <w:szCs w:val="22"/>
          <w:lang w:val="es-ES_tradnl"/>
        </w:rPr>
      </w:pPr>
      <w:r w:rsidRPr="00C0709C">
        <w:rPr>
          <w:rFonts w:ascii="Arial" w:hAnsi="Arial" w:cs="Arial"/>
          <w:sz w:val="22"/>
          <w:szCs w:val="22"/>
          <w:lang w:val="es-ES_tradnl"/>
        </w:rPr>
        <w:t>CAPÍTULO I</w:t>
      </w:r>
    </w:p>
    <w:p w14:paraId="4A77B6FC" w14:textId="77777777" w:rsidR="00884DB1" w:rsidRPr="00C0709C" w:rsidRDefault="00884DB1" w:rsidP="00C0709C">
      <w:pPr>
        <w:pStyle w:val="DICTA-SUBTITULO2"/>
        <w:spacing w:beforeLines="60" w:before="144" w:afterLines="60" w:after="144" w:line="280" w:lineRule="exact"/>
        <w:rPr>
          <w:rFonts w:cs="Arial"/>
          <w:sz w:val="22"/>
          <w:szCs w:val="22"/>
          <w:lang w:val="es-ES_tradnl"/>
        </w:rPr>
      </w:pPr>
      <w:r w:rsidRPr="00C0709C">
        <w:rPr>
          <w:rFonts w:cs="Arial"/>
          <w:sz w:val="22"/>
          <w:szCs w:val="22"/>
          <w:lang w:val="es-ES_tradnl"/>
        </w:rPr>
        <w:t>Retribuciones del personal en activo</w:t>
      </w:r>
    </w:p>
    <w:p w14:paraId="6DB3D0D0" w14:textId="77777777" w:rsidR="00884DB1" w:rsidRPr="00C0709C" w:rsidRDefault="00884DB1"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Artículo 6.</w:t>
      </w:r>
      <w:r w:rsidRPr="00C0709C">
        <w:rPr>
          <w:rFonts w:cs="Arial"/>
          <w:sz w:val="22"/>
          <w:szCs w:val="22"/>
          <w:lang w:val="es-ES_tradnl"/>
        </w:rPr>
        <w:t xml:space="preserve"> Retribuciones del personal funcionario y estatutario de las Administraciones Públicas de Navarra.</w:t>
      </w:r>
    </w:p>
    <w:p w14:paraId="45644A25" w14:textId="77777777" w:rsidR="00C53724" w:rsidRPr="00C0709C" w:rsidRDefault="00C53724"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1. Con efectos de 1 de enero de 2024, las retribuciones del personal funcionario y estatutario al servicio de las Administraciones Publicas de Navarra experimentarán el incremento máximo global establecido para 2024 en la legislación estatal para el personal al servicio del sector público sin perjuicio, en su caso, de las adecuaciones retributivas necesarias para asegurar que las asignadas a cada puesto de trabajo guarden relación procedente con el contenido de especial dificultad técnica, dedicación, responsabilidad, peligrosidad o penosidad del mismo.</w:t>
      </w:r>
    </w:p>
    <w:p w14:paraId="6A88AB48" w14:textId="77777777" w:rsidR="00C53724" w:rsidRPr="00C0709C" w:rsidRDefault="00C53724"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2. El sueldo inicial de cada uno de los niveles queda establecido para el año 2024 en las siguientes cuantías anuales:</w:t>
      </w:r>
    </w:p>
    <w:tbl>
      <w:tblPr>
        <w:tblW w:w="0" w:type="auto"/>
        <w:tblCellSpacing w:w="0" w:type="dxa"/>
        <w:tblInd w:w="78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2894"/>
        <w:gridCol w:w="2835"/>
      </w:tblGrid>
      <w:tr w:rsidR="00C53724" w:rsidRPr="00C0709C" w14:paraId="4DA55F2D" w14:textId="77777777" w:rsidTr="00C6348E">
        <w:trPr>
          <w:trHeight w:hRule="exact" w:val="735"/>
          <w:tblCellSpacing w:w="0" w:type="dxa"/>
        </w:trPr>
        <w:tc>
          <w:tcPr>
            <w:tcW w:w="2894" w:type="dxa"/>
            <w:vAlign w:val="center"/>
            <w:hideMark/>
          </w:tcPr>
          <w:p w14:paraId="16269B33" w14:textId="77777777" w:rsidR="00C53724" w:rsidRPr="00C0709C" w:rsidRDefault="00C53724" w:rsidP="00C0709C">
            <w:pPr>
              <w:pStyle w:val="DICTA-TEXTO"/>
              <w:spacing w:beforeLines="60" w:before="144" w:afterLines="60" w:after="144" w:line="280" w:lineRule="exact"/>
              <w:ind w:firstLine="0"/>
              <w:jc w:val="center"/>
              <w:rPr>
                <w:rFonts w:cs="Arial"/>
                <w:sz w:val="22"/>
                <w:szCs w:val="22"/>
                <w:lang w:val="es-ES_tradnl"/>
              </w:rPr>
            </w:pPr>
            <w:r w:rsidRPr="00C0709C">
              <w:rPr>
                <w:rFonts w:cs="Arial"/>
                <w:sz w:val="22"/>
                <w:szCs w:val="22"/>
                <w:lang w:val="es-ES_tradnl"/>
              </w:rPr>
              <w:t>NIVEL DE ENCUADRAMIENTO</w:t>
            </w:r>
          </w:p>
        </w:tc>
        <w:tc>
          <w:tcPr>
            <w:tcW w:w="2835" w:type="dxa"/>
            <w:vAlign w:val="center"/>
            <w:hideMark/>
          </w:tcPr>
          <w:p w14:paraId="00B57DBD" w14:textId="67F59E25" w:rsidR="00C53724" w:rsidRPr="00C0709C" w:rsidRDefault="00C53724" w:rsidP="00C0709C">
            <w:pPr>
              <w:pStyle w:val="DICTA-TEXTO"/>
              <w:spacing w:beforeLines="60" w:before="144" w:afterLines="60" w:after="144" w:line="280" w:lineRule="exact"/>
              <w:ind w:firstLine="0"/>
              <w:jc w:val="center"/>
              <w:rPr>
                <w:rFonts w:cs="Arial"/>
                <w:sz w:val="22"/>
                <w:szCs w:val="22"/>
                <w:lang w:val="es-ES_tradnl"/>
              </w:rPr>
            </w:pPr>
            <w:r w:rsidRPr="00C0709C">
              <w:rPr>
                <w:rFonts w:cs="Arial"/>
                <w:sz w:val="22"/>
                <w:szCs w:val="22"/>
                <w:lang w:val="es-ES_tradnl"/>
              </w:rPr>
              <w:t>CUANTÍA ANUAL</w:t>
            </w:r>
            <w:r w:rsidR="00C6348E" w:rsidRPr="00C0709C">
              <w:rPr>
                <w:rFonts w:cs="Arial"/>
                <w:sz w:val="22"/>
                <w:szCs w:val="22"/>
                <w:lang w:val="es-ES_tradnl"/>
              </w:rPr>
              <w:t xml:space="preserve"> </w:t>
            </w:r>
            <w:r w:rsidRPr="00C0709C">
              <w:rPr>
                <w:rFonts w:cs="Arial"/>
                <w:sz w:val="22"/>
                <w:szCs w:val="22"/>
                <w:lang w:val="es-ES_tradnl"/>
              </w:rPr>
              <w:t>EUROS</w:t>
            </w:r>
          </w:p>
        </w:tc>
      </w:tr>
      <w:tr w:rsidR="00C53724" w:rsidRPr="00C0709C" w14:paraId="1A4DD04F" w14:textId="77777777" w:rsidTr="00F4450D">
        <w:trPr>
          <w:trHeight w:hRule="exact" w:val="454"/>
          <w:tblCellSpacing w:w="0" w:type="dxa"/>
        </w:trPr>
        <w:tc>
          <w:tcPr>
            <w:tcW w:w="2894" w:type="dxa"/>
            <w:vAlign w:val="center"/>
          </w:tcPr>
          <w:p w14:paraId="5C411EEF" w14:textId="77777777" w:rsidR="00C53724" w:rsidRPr="00C0709C" w:rsidRDefault="00C53724"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A</w:t>
            </w:r>
          </w:p>
        </w:tc>
        <w:tc>
          <w:tcPr>
            <w:tcW w:w="2835" w:type="dxa"/>
            <w:vAlign w:val="center"/>
          </w:tcPr>
          <w:p w14:paraId="494C971B" w14:textId="77777777" w:rsidR="00C53724" w:rsidRPr="00C0709C" w:rsidRDefault="00C53724"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29.510,74</w:t>
            </w:r>
          </w:p>
        </w:tc>
      </w:tr>
      <w:tr w:rsidR="00C53724" w:rsidRPr="00C0709C" w14:paraId="5A532938" w14:textId="77777777" w:rsidTr="00F4450D">
        <w:trPr>
          <w:trHeight w:hRule="exact" w:val="454"/>
          <w:tblCellSpacing w:w="0" w:type="dxa"/>
        </w:trPr>
        <w:tc>
          <w:tcPr>
            <w:tcW w:w="2894" w:type="dxa"/>
            <w:vAlign w:val="center"/>
          </w:tcPr>
          <w:p w14:paraId="363D36F3" w14:textId="77777777" w:rsidR="00C53724" w:rsidRPr="00C0709C" w:rsidRDefault="00C53724"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B</w:t>
            </w:r>
          </w:p>
        </w:tc>
        <w:tc>
          <w:tcPr>
            <w:tcW w:w="2835" w:type="dxa"/>
            <w:vAlign w:val="center"/>
          </w:tcPr>
          <w:p w14:paraId="6571D05B" w14:textId="77777777" w:rsidR="00C53724" w:rsidRPr="00C0709C" w:rsidRDefault="00C53724"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24.826,34</w:t>
            </w:r>
          </w:p>
        </w:tc>
      </w:tr>
      <w:tr w:rsidR="00C53724" w:rsidRPr="00C0709C" w14:paraId="442098BD" w14:textId="77777777" w:rsidTr="00F4450D">
        <w:trPr>
          <w:trHeight w:hRule="exact" w:val="454"/>
          <w:tblCellSpacing w:w="0" w:type="dxa"/>
        </w:trPr>
        <w:tc>
          <w:tcPr>
            <w:tcW w:w="2894" w:type="dxa"/>
            <w:vAlign w:val="center"/>
          </w:tcPr>
          <w:p w14:paraId="43613457" w14:textId="77777777" w:rsidR="00C53724" w:rsidRPr="00C0709C" w:rsidRDefault="00C53724"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C</w:t>
            </w:r>
          </w:p>
        </w:tc>
        <w:tc>
          <w:tcPr>
            <w:tcW w:w="2835" w:type="dxa"/>
            <w:vAlign w:val="center"/>
          </w:tcPr>
          <w:p w14:paraId="0321D622" w14:textId="77777777" w:rsidR="00C53724" w:rsidRPr="00C0709C" w:rsidRDefault="00C53724"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20.594,56</w:t>
            </w:r>
          </w:p>
        </w:tc>
      </w:tr>
      <w:tr w:rsidR="00C53724" w:rsidRPr="00C0709C" w14:paraId="33FE5D64" w14:textId="77777777" w:rsidTr="00F4450D">
        <w:trPr>
          <w:trHeight w:hRule="exact" w:val="454"/>
          <w:tblCellSpacing w:w="0" w:type="dxa"/>
        </w:trPr>
        <w:tc>
          <w:tcPr>
            <w:tcW w:w="2894" w:type="dxa"/>
            <w:vAlign w:val="center"/>
          </w:tcPr>
          <w:p w14:paraId="319061F5" w14:textId="77777777" w:rsidR="00C53724" w:rsidRPr="00C0709C" w:rsidRDefault="00C53724"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D</w:t>
            </w:r>
          </w:p>
        </w:tc>
        <w:tc>
          <w:tcPr>
            <w:tcW w:w="2835" w:type="dxa"/>
            <w:vAlign w:val="center"/>
          </w:tcPr>
          <w:p w14:paraId="0B0AAF93" w14:textId="77777777" w:rsidR="00C53724" w:rsidRPr="00C0709C" w:rsidRDefault="00C53724"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17.935,96</w:t>
            </w:r>
          </w:p>
        </w:tc>
      </w:tr>
      <w:tr w:rsidR="00C53724" w:rsidRPr="00C0709C" w14:paraId="6E2462F7" w14:textId="77777777" w:rsidTr="00F4450D">
        <w:trPr>
          <w:trHeight w:hRule="exact" w:val="454"/>
          <w:tblCellSpacing w:w="0" w:type="dxa"/>
        </w:trPr>
        <w:tc>
          <w:tcPr>
            <w:tcW w:w="2894" w:type="dxa"/>
            <w:vAlign w:val="center"/>
          </w:tcPr>
          <w:p w14:paraId="405187A4" w14:textId="77777777" w:rsidR="00C53724" w:rsidRPr="00C0709C" w:rsidRDefault="00C53724"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E</w:t>
            </w:r>
          </w:p>
        </w:tc>
        <w:tc>
          <w:tcPr>
            <w:tcW w:w="2835" w:type="dxa"/>
            <w:vAlign w:val="center"/>
          </w:tcPr>
          <w:p w14:paraId="12CD6EE8" w14:textId="77777777" w:rsidR="00C53724" w:rsidRPr="00C0709C" w:rsidRDefault="00C53724"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15.776,74</w:t>
            </w:r>
          </w:p>
        </w:tc>
      </w:tr>
    </w:tbl>
    <w:p w14:paraId="7066D786" w14:textId="77777777" w:rsidR="00884DB1" w:rsidRPr="00C0709C" w:rsidRDefault="00884DB1"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Artículo 7.</w:t>
      </w:r>
      <w:r w:rsidRPr="00C0709C">
        <w:rPr>
          <w:rFonts w:cs="Arial"/>
          <w:sz w:val="22"/>
          <w:szCs w:val="22"/>
          <w:lang w:val="es-ES_tradnl"/>
        </w:rPr>
        <w:t xml:space="preserve"> Retribuciones del personal laboral de las Administraciones Públicas de Navarra.</w:t>
      </w:r>
    </w:p>
    <w:p w14:paraId="63E24649" w14:textId="77777777" w:rsidR="00C5047C" w:rsidRPr="00C0709C" w:rsidRDefault="00C5047C"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1. Con efectos de 1 de enero de 2024, las retribuciones del personal laboral al servicio de la Administración de la Comunidad Foral de Navarra y de sus organismos autónomos serán las que se determinen en el correspondiente convenio colectivo, con sujeción a los criterios fijados en esta ley foral para el personal funcionario.</w:t>
      </w:r>
    </w:p>
    <w:p w14:paraId="3056C47B" w14:textId="77777777" w:rsidR="00C5047C" w:rsidRPr="00C0709C" w:rsidRDefault="00C5047C"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2. En el caso del personal laboral al servicio de las restantes Administraciones Públicas de Navarra, sus retribuciones serán las que determine cada Administración Pública en sus </w:t>
      </w:r>
      <w:r w:rsidRPr="00C0709C">
        <w:rPr>
          <w:rFonts w:cs="Arial"/>
          <w:sz w:val="22"/>
          <w:szCs w:val="22"/>
          <w:lang w:val="es-ES_tradnl"/>
        </w:rPr>
        <w:lastRenderedPageBreak/>
        <w:t>respectivos presupuestos, con sujeción a los criterios fijados en esta ley foral para el personal funcionario.</w:t>
      </w:r>
    </w:p>
    <w:p w14:paraId="5B5B3EB4" w14:textId="77777777" w:rsidR="00884DB1" w:rsidRPr="00C0709C" w:rsidRDefault="00884DB1"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Artículo 8.</w:t>
      </w:r>
      <w:r w:rsidRPr="00C0709C">
        <w:rPr>
          <w:rFonts w:cs="Arial"/>
          <w:sz w:val="22"/>
          <w:szCs w:val="22"/>
          <w:lang w:val="es-ES_tradnl"/>
        </w:rPr>
        <w:t xml:space="preserve"> Retribuciones del personal directivo de libre designación de la Administración de la Comunidad Foral de Navarra y sus organismos autónomos.</w:t>
      </w:r>
    </w:p>
    <w:p w14:paraId="69BFA8C3" w14:textId="77777777" w:rsidR="00C5047C" w:rsidRPr="00C0709C" w:rsidRDefault="00C5047C"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1. Las retribuciones para el año 2024 de las Direcciones de Servicio de la Administración de la Comunidad Foral de Navarra, las de los organismos autónomos asimiladas a ellas se fijan en un importe anual de 58.946,44 euros, referido a catorce mensualidades, sin perjuicio de la percepción de las retribuciones personales por grado, antigüedad y ayuda familiar que pudiera corresponderles de acuerdo con la normativa vigente y de aquellas otras complementarias que tuvieran asignadas de manera específica en la plantilla orgánica por su nombramiento originario o por las especiales condiciones de prestación de sus servicios, a cuyo efecto no se tendrá en cuenta el porcentaje originario de complemento de puesto de trabajo incluido en el cálculo inicial de la retribución a tanto alzado correspondiente.</w:t>
      </w:r>
    </w:p>
    <w:p w14:paraId="19A673F8" w14:textId="77777777" w:rsidR="00C5047C" w:rsidRPr="00C0709C" w:rsidRDefault="00C5047C"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Las Direcciones de Servicio prestarán sus servicios en régimen de plena disponibilidad y de total y absoluta dedicación.</w:t>
      </w:r>
    </w:p>
    <w:p w14:paraId="368E47BF" w14:textId="77777777" w:rsidR="00C5047C" w:rsidRPr="00C0709C" w:rsidRDefault="00C5047C"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2. Las retribuciones para el año 2024 del personal directivo de libre designación del Servicio Navarro de Salud-</w:t>
      </w:r>
      <w:proofErr w:type="spellStart"/>
      <w:r w:rsidRPr="00C0709C">
        <w:rPr>
          <w:rFonts w:cs="Arial"/>
          <w:sz w:val="22"/>
          <w:szCs w:val="22"/>
          <w:lang w:val="es-ES_tradnl"/>
        </w:rPr>
        <w:t>Osasunbidea</w:t>
      </w:r>
      <w:proofErr w:type="spellEnd"/>
      <w:r w:rsidRPr="00C0709C">
        <w:rPr>
          <w:rFonts w:cs="Arial"/>
          <w:sz w:val="22"/>
          <w:szCs w:val="22"/>
          <w:lang w:val="es-ES_tradnl"/>
        </w:rPr>
        <w:t xml:space="preserve"> y del Instituto de Salud Pública y Laboral de Navarra, se fijan en los siguientes importes anuales, referidos a catorce mensualidades, sin perjuicio de la percepción de las retribuciones personales por grado, antigüedad y ayuda familiar que pudiera corresponderles de acuerdo con la normativa vigente:</w:t>
      </w:r>
    </w:p>
    <w:p w14:paraId="795D00D4" w14:textId="77777777" w:rsidR="00C5047C" w:rsidRPr="00C0709C" w:rsidRDefault="00C5047C"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a) Jefaturas de Servicio no asistenciales: 58.946,44 euros.</w:t>
      </w:r>
    </w:p>
    <w:p w14:paraId="0EF870FF" w14:textId="77777777" w:rsidR="00C5047C" w:rsidRPr="00C0709C" w:rsidRDefault="00C5047C"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b) Dirección del Banco de Sangre y Tejidos de Navarra: 64.876,14 euros.</w:t>
      </w:r>
    </w:p>
    <w:p w14:paraId="46E99DC2" w14:textId="77777777" w:rsidR="00C5047C" w:rsidRPr="00C0709C" w:rsidRDefault="00C5047C"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En el supuesto de que alguna persona titular de los referidos puestos directivos del Servicio Navarro de Salud-</w:t>
      </w:r>
      <w:proofErr w:type="spellStart"/>
      <w:r w:rsidRPr="00C0709C">
        <w:rPr>
          <w:rFonts w:cs="Arial"/>
          <w:sz w:val="22"/>
          <w:szCs w:val="22"/>
          <w:lang w:val="es-ES_tradnl"/>
        </w:rPr>
        <w:t>Osasunbidea</w:t>
      </w:r>
      <w:proofErr w:type="spellEnd"/>
      <w:r w:rsidRPr="00C0709C">
        <w:rPr>
          <w:rFonts w:cs="Arial"/>
          <w:sz w:val="22"/>
          <w:szCs w:val="22"/>
          <w:lang w:val="es-ES_tradnl"/>
        </w:rPr>
        <w:t xml:space="preserve"> y del Instituto de Salud Pública y Laboral de Navarra esté percibiendo en la actualidad una cuantía superior a la reflejada en este artículo, se le abonará una compensación personal por la diferencia en tanto se mantenga en el desempeño </w:t>
      </w:r>
      <w:proofErr w:type="gramStart"/>
      <w:r w:rsidRPr="00C0709C">
        <w:rPr>
          <w:rFonts w:cs="Arial"/>
          <w:sz w:val="22"/>
          <w:szCs w:val="22"/>
          <w:lang w:val="es-ES_tradnl"/>
        </w:rPr>
        <w:t>del mismo</w:t>
      </w:r>
      <w:proofErr w:type="gramEnd"/>
      <w:r w:rsidRPr="00C0709C">
        <w:rPr>
          <w:rFonts w:cs="Arial"/>
          <w:sz w:val="22"/>
          <w:szCs w:val="22"/>
          <w:lang w:val="es-ES_tradnl"/>
        </w:rPr>
        <w:t>.</w:t>
      </w:r>
    </w:p>
    <w:p w14:paraId="7D4EE379" w14:textId="77777777" w:rsidR="00C5047C" w:rsidRPr="00C0709C" w:rsidRDefault="00C5047C"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3. Las retribuciones del personal directivo de libre designación de la Administración de la Comunidad Foral de Navarra y sus organismos autónomos experimentarán el mismo incremento que resulte, en su caso, de la aplicación de lo dispuesto en el artículo 6.</w:t>
      </w:r>
    </w:p>
    <w:p w14:paraId="7BA0E08F" w14:textId="77777777" w:rsidR="00884DB1" w:rsidRPr="00C0709C" w:rsidRDefault="00884DB1"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Artículo 9.</w:t>
      </w:r>
      <w:r w:rsidRPr="00C0709C">
        <w:rPr>
          <w:rFonts w:cs="Arial"/>
          <w:sz w:val="22"/>
          <w:szCs w:val="22"/>
          <w:lang w:val="es-ES_tradnl"/>
        </w:rPr>
        <w:t xml:space="preserve"> Retribuciones del Gobierno de Navarra, de los altos cargos de la Administración de la Comunidad Foral de Navarra y del resto del personal eventual.</w:t>
      </w:r>
    </w:p>
    <w:p w14:paraId="66633D24" w14:textId="77777777" w:rsidR="006D3312" w:rsidRPr="00C0709C" w:rsidRDefault="006D3312"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1. Las retribuciones para el año 2024 de las personas que integran el Gobierno de Navarra, de las Direcciones Generales, del personal directivo de los organismos, sociedades y fundaciones públicas y del resto del personal eventual de la Administración de la Comunidad Foral de Navarra serán las que se detallen en los apartados siguientes.</w:t>
      </w:r>
    </w:p>
    <w:p w14:paraId="55E93B23" w14:textId="77777777" w:rsidR="006D3312" w:rsidRPr="00C0709C" w:rsidRDefault="006D3312"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2. De conformidad con lo establecido en los artículos 35 y 45 de la Ley Foral 14/2004, de 3 de diciembre, del Gobierno de Navarra y de su Presidenta o Presidente, las retribuciones para el año 2024 de las personas que integran el Gobierno de Navarra, referidas a catorce mensualidades, consistirán en la siguiente cuantía anual, sin perjuicio, en el caso del personal fijo y contratado, de la percepción de la retribución por grado y/o </w:t>
      </w:r>
      <w:r w:rsidRPr="00C0709C">
        <w:rPr>
          <w:rFonts w:cs="Arial"/>
          <w:sz w:val="22"/>
          <w:szCs w:val="22"/>
          <w:lang w:val="es-ES_tradnl"/>
        </w:rPr>
        <w:lastRenderedPageBreak/>
        <w:t>antigüedad que pudiera corresponderles de acuerdo con la normativa aplicable a la respectiva relación de servicio:</w:t>
      </w:r>
    </w:p>
    <w:p w14:paraId="4E1AB468" w14:textId="2215ADE8" w:rsidR="006D3312" w:rsidRPr="00C0709C" w:rsidRDefault="00D473FF"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w:t>
      </w:r>
      <w:r w:rsidR="006D3312" w:rsidRPr="00C0709C">
        <w:rPr>
          <w:rFonts w:cs="Arial"/>
          <w:sz w:val="22"/>
          <w:szCs w:val="22"/>
          <w:lang w:val="es-ES_tradnl"/>
        </w:rPr>
        <w:t xml:space="preserve"> Presidenta o Presidente del Gobierno de Navarra: 80.955,14 euros.</w:t>
      </w:r>
    </w:p>
    <w:p w14:paraId="0432BC67" w14:textId="5F961FB7" w:rsidR="006D3312" w:rsidRPr="00C0709C" w:rsidRDefault="00D473FF"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w:t>
      </w:r>
      <w:r w:rsidR="006D3312" w:rsidRPr="00C0709C">
        <w:rPr>
          <w:rFonts w:cs="Arial"/>
          <w:sz w:val="22"/>
          <w:szCs w:val="22"/>
          <w:lang w:val="es-ES_tradnl"/>
        </w:rPr>
        <w:t xml:space="preserve"> Vicepresidenta o Vicepresidente, Consejera o Consejero y Consejera-Portavoz o Consejero-Portavoz 75.339,18 euros.</w:t>
      </w:r>
    </w:p>
    <w:p w14:paraId="24322E98" w14:textId="77777777" w:rsidR="006D3312" w:rsidRPr="00C0709C" w:rsidRDefault="006D3312"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3. Las retribuciones para el año 2024 del personal de los Gabinetes de la Presidenta y de las personas titulares de departamentos del Gobierno de Navarra con la consideración de alto cargo se fijan en las siguientes cuantías anuales referidas a catorce mensualidades, sin perjuicio, en el caso del personal fijo y contratado, de la percepción de la retribución por grado y/o antigüedad que pudiera corresponderles de acuerdo con la normativa aplicable a la respectiva relación de servicio:</w:t>
      </w:r>
    </w:p>
    <w:p w14:paraId="04B6AC03" w14:textId="0CE77BE7" w:rsidR="006D3312" w:rsidRPr="00C0709C" w:rsidRDefault="00D473FF"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w:t>
      </w:r>
      <w:r w:rsidR="006D3312" w:rsidRPr="00C0709C">
        <w:rPr>
          <w:rFonts w:cs="Arial"/>
          <w:sz w:val="22"/>
          <w:szCs w:val="22"/>
          <w:lang w:val="es-ES_tradnl"/>
        </w:rPr>
        <w:t xml:space="preserve"> Asesor o asesora de la Presidenta o Presidente: 64.552,88 euros.</w:t>
      </w:r>
    </w:p>
    <w:p w14:paraId="4746E2BA" w14:textId="12749D74" w:rsidR="006D3312" w:rsidRPr="00C0709C" w:rsidRDefault="00D473FF"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w:t>
      </w:r>
      <w:r w:rsidR="006D3312" w:rsidRPr="00C0709C">
        <w:rPr>
          <w:rFonts w:cs="Arial"/>
          <w:sz w:val="22"/>
          <w:szCs w:val="22"/>
          <w:lang w:val="es-ES_tradnl"/>
        </w:rPr>
        <w:t xml:space="preserve"> Jefe o Jefa de Gabinete de los Consejeros o Consejeras: 60.083,10 euros.</w:t>
      </w:r>
    </w:p>
    <w:p w14:paraId="6DC835D9" w14:textId="77777777" w:rsidR="006D3312" w:rsidRPr="00C0709C" w:rsidRDefault="006D3312"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4. De conformidad con lo establecido en el artículo 32.4 de la Ley Foral 11/2019, de 11 de marzo, de la Administración de la Comunidad Foral de Navarra y del Sector Público Institucional Foral, las retribuciones para el año 2024 de las direcciones generales se fijan en un importe anual de 64.552,88 euros, referido a catorce mensualidades, sin perjuicio, en el caso del personal fijo y contratado, de la percepción de la retribución por grado y/o antigüedad que pudiera corresponderles de acuerdo con la normativa aplicable a la respectiva relación de servicio.</w:t>
      </w:r>
    </w:p>
    <w:p w14:paraId="47C7E31B" w14:textId="77777777" w:rsidR="006D3312" w:rsidRPr="00C0709C" w:rsidRDefault="006D3312"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5. De conformidad con lo establecido en el artículo 52.1 de la Ley Foral 11/2019, de 11 de marzo, de la Administración de la Comunidad Foral de Navarra y del Sector Público Institucional Foral, se relacionan las retribuciones para el año 2024 del personal directivo de los organismos públicos que se cifran en las siguientes cuantías anuales referidas a catorce mensualidades, sin perjuicio, en el caso del personal fijo y contratado, de la percepción de la retribución por grado y/o antigüedad que pudiera corresponderles de acuerdo con la normativa aplicable a la respectiva relación de servicio:</w:t>
      </w:r>
    </w:p>
    <w:p w14:paraId="3B371BDA" w14:textId="77777777" w:rsidR="006D3312" w:rsidRPr="00C0709C" w:rsidRDefault="006D3312"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a) Dirección Gerencia de organismo autónomo, salvo lo dispuesto en la letra b) siguiente: 64.552,88 euros.</w:t>
      </w:r>
    </w:p>
    <w:p w14:paraId="0D665C02" w14:textId="77777777" w:rsidR="006D3312" w:rsidRPr="00C0709C" w:rsidRDefault="006D3312"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b) Dirección Gerencia del Servicio Navarro de Salud-</w:t>
      </w:r>
      <w:proofErr w:type="spellStart"/>
      <w:r w:rsidRPr="00C0709C">
        <w:rPr>
          <w:rFonts w:cs="Arial"/>
          <w:sz w:val="22"/>
          <w:szCs w:val="22"/>
          <w:lang w:val="es-ES_tradnl"/>
        </w:rPr>
        <w:t>Osasunbidea</w:t>
      </w:r>
      <w:proofErr w:type="spellEnd"/>
      <w:r w:rsidRPr="00C0709C">
        <w:rPr>
          <w:rFonts w:cs="Arial"/>
          <w:sz w:val="22"/>
          <w:szCs w:val="22"/>
          <w:lang w:val="es-ES_tradnl"/>
        </w:rPr>
        <w:t xml:space="preserve"> y de la Hacienda Foral de Navarra: 99.737,40 euros.</w:t>
      </w:r>
    </w:p>
    <w:p w14:paraId="1729434D" w14:textId="77777777" w:rsidR="006D3312" w:rsidRPr="00C0709C" w:rsidRDefault="006D3312"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c) Subdirección de organismo autónomo: 58.946,44 euros.</w:t>
      </w:r>
    </w:p>
    <w:p w14:paraId="2E49F7CA" w14:textId="77777777" w:rsidR="006D3312" w:rsidRPr="00C0709C" w:rsidRDefault="006D3312"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d) Personal directivo del Servicio Navarro de Salud-</w:t>
      </w:r>
      <w:proofErr w:type="spellStart"/>
      <w:r w:rsidRPr="00C0709C">
        <w:rPr>
          <w:rFonts w:cs="Arial"/>
          <w:sz w:val="22"/>
          <w:szCs w:val="22"/>
          <w:lang w:val="es-ES_tradnl"/>
        </w:rPr>
        <w:t>Osasunbidea</w:t>
      </w:r>
      <w:proofErr w:type="spellEnd"/>
      <w:r w:rsidRPr="00C0709C">
        <w:rPr>
          <w:rFonts w:cs="Arial"/>
          <w:sz w:val="22"/>
          <w:szCs w:val="22"/>
          <w:lang w:val="es-ES_tradnl"/>
        </w:rPr>
        <w:t>:</w:t>
      </w:r>
    </w:p>
    <w:p w14:paraId="187A9FEA" w14:textId="7AC0CB13" w:rsidR="006D3312" w:rsidRPr="00C0709C" w:rsidRDefault="00D473FF"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w:t>
      </w:r>
      <w:r w:rsidR="006D3312" w:rsidRPr="00C0709C">
        <w:rPr>
          <w:rFonts w:cs="Arial"/>
          <w:sz w:val="22"/>
          <w:szCs w:val="22"/>
          <w:lang w:val="es-ES_tradnl"/>
        </w:rPr>
        <w:t xml:space="preserve"> Gerencia de Atención Primaria, Gerencia del Hospital Universitario de Navarra, Dirección de Profesionales, Dirección de Gestión Económica y Servicios Generales y Dirección de Asistencia Sanitaria al Paciente: 76.214,04 euros.</w:t>
      </w:r>
    </w:p>
    <w:p w14:paraId="73FC090D" w14:textId="26100471" w:rsidR="006D3312" w:rsidRPr="00C0709C" w:rsidRDefault="00D473FF"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w:t>
      </w:r>
      <w:r w:rsidR="006D3312" w:rsidRPr="00C0709C">
        <w:rPr>
          <w:rFonts w:cs="Arial"/>
          <w:sz w:val="22"/>
          <w:szCs w:val="22"/>
          <w:lang w:val="es-ES_tradnl"/>
        </w:rPr>
        <w:t xml:space="preserve"> Gerencia del Área de Salud de Tudela, Gerencia del Área de Salud de Estella/Lizarra, Dirección Asistencial del Hospital Universitario de Navarra: 66.615,22 euros.</w:t>
      </w:r>
    </w:p>
    <w:p w14:paraId="00DEBE9D" w14:textId="77777777" w:rsidR="006D3312" w:rsidRPr="00C0709C" w:rsidRDefault="006D3312"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 Gerencia de Salud Mental, Subdirecciones Asistenciales del Hospital Universitario de Navarra, Dirección Asistencial del Área de Salud de Tudela y del Área de Salud de </w:t>
      </w:r>
      <w:r w:rsidRPr="00C0709C">
        <w:rPr>
          <w:rFonts w:cs="Arial"/>
          <w:sz w:val="22"/>
          <w:szCs w:val="22"/>
          <w:lang w:val="es-ES_tradnl"/>
        </w:rPr>
        <w:lastRenderedPageBreak/>
        <w:t>Estella/Lizarra, y Subdirecciones de Atención Primaria y Continuidad Asistencial, Subdirección de Urgencias de Navarra y Dirección Técnica de la Atención a la Urgencia Vital de la Gerencia de Atención Primaria y Subdirecciones de las Áreas de Salud: 64.876,14 euros.</w:t>
      </w:r>
    </w:p>
    <w:p w14:paraId="3814F589" w14:textId="745322C9" w:rsidR="006D3312" w:rsidRPr="00C0709C" w:rsidRDefault="00D473FF"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w:t>
      </w:r>
      <w:r w:rsidR="006D3312" w:rsidRPr="00C0709C">
        <w:rPr>
          <w:rFonts w:cs="Arial"/>
          <w:sz w:val="22"/>
          <w:szCs w:val="22"/>
          <w:lang w:val="es-ES_tradnl"/>
        </w:rPr>
        <w:t xml:space="preserve"> Subdirecciones de los Servicios Centrales: 63.704,20 euros</w:t>
      </w:r>
    </w:p>
    <w:p w14:paraId="359B5C62" w14:textId="67D82B75" w:rsidR="006D3312" w:rsidRPr="00C0709C" w:rsidRDefault="00D473FF"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w:t>
      </w:r>
      <w:r w:rsidR="006D3312" w:rsidRPr="00C0709C">
        <w:rPr>
          <w:rFonts w:cs="Arial"/>
          <w:sz w:val="22"/>
          <w:szCs w:val="22"/>
          <w:lang w:val="es-ES_tradnl"/>
        </w:rPr>
        <w:t xml:space="preserve"> Dirección de Profesionales, Dirección de Gestión Económica y Servicios Generales, Dirección de Cuidados Sanitarios del Hospital Universitario de Navarra y Subdirección de Cuidados, Atención Domiciliaria, Sociosanitaria y Acciones Comunitarias de Atención Primaria, Subdirección de Personal y Relaciones Laborales, Subdirección de Administración, Servicios Generales y Transición Ecológica, y Subdirección de Calidad, Procesos Clínicos y Desarrollo del Hospital Universitario de Navarra y Subdirecciones del Instituto de Salud Pública y Laboral de Navarra : 60.821,32 euros.</w:t>
      </w:r>
    </w:p>
    <w:p w14:paraId="74622F80" w14:textId="7BECA982" w:rsidR="006D3312" w:rsidRPr="00C0709C" w:rsidRDefault="00D473FF"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w:t>
      </w:r>
      <w:r w:rsidR="006D3312" w:rsidRPr="00C0709C">
        <w:rPr>
          <w:rFonts w:cs="Arial"/>
          <w:sz w:val="22"/>
          <w:szCs w:val="22"/>
          <w:lang w:val="es-ES_tradnl"/>
        </w:rPr>
        <w:t xml:space="preserve"> Coordinadora del Plan de Atención Sociosanitaria de Navarra y Subdirecciones de Cuidados Sanitarios del Hospital Universitario de Navarra: 55.109,46 euros.</w:t>
      </w:r>
    </w:p>
    <w:p w14:paraId="2B8D671B" w14:textId="77777777" w:rsidR="006D3312" w:rsidRPr="00C0709C" w:rsidRDefault="006D3312"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6. Las retribuciones para el año 2024 del resto del personal eventual de los Gabinetes de la Presidenta y de los integrantes del Gobierno de Navarra se fijan en las siguientes cuantías anuales, referidas a catorce mensualidades, sin perjuicio, en el caso del personal fijo y contratado, de la percepción de la retribución por grado y/o antigüedad que pudiera corresponderles de acuerdo con la normativa aplicable a la respectiva relación de servicio:</w:t>
      </w:r>
    </w:p>
    <w:p w14:paraId="5E63EF7F" w14:textId="09496211" w:rsidR="006D3312" w:rsidRPr="00C0709C" w:rsidRDefault="00D473FF"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w:t>
      </w:r>
      <w:r w:rsidR="006D3312" w:rsidRPr="00C0709C">
        <w:rPr>
          <w:rFonts w:cs="Arial"/>
          <w:sz w:val="22"/>
          <w:szCs w:val="22"/>
          <w:lang w:val="es-ES_tradnl"/>
        </w:rPr>
        <w:t xml:space="preserve"> Secretaría del Presidente o Presidenta: 39.856,74 euros.</w:t>
      </w:r>
    </w:p>
    <w:p w14:paraId="6AB13777" w14:textId="3603D421" w:rsidR="006D3312" w:rsidRPr="00C0709C" w:rsidRDefault="00D473FF"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w:t>
      </w:r>
      <w:r w:rsidR="006D3312" w:rsidRPr="00C0709C">
        <w:rPr>
          <w:rFonts w:cs="Arial"/>
          <w:sz w:val="22"/>
          <w:szCs w:val="22"/>
          <w:lang w:val="es-ES_tradnl"/>
        </w:rPr>
        <w:t xml:space="preserve"> Secretaría de Consejero o Consejera: 36.329,58 euros.</w:t>
      </w:r>
    </w:p>
    <w:p w14:paraId="2C5D879E" w14:textId="35435C5D" w:rsidR="006D3312" w:rsidRPr="00C0709C" w:rsidRDefault="00D473FF"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w:t>
      </w:r>
      <w:r w:rsidR="006D3312" w:rsidRPr="00C0709C">
        <w:rPr>
          <w:rFonts w:cs="Arial"/>
          <w:sz w:val="22"/>
          <w:szCs w:val="22"/>
          <w:lang w:val="es-ES_tradnl"/>
        </w:rPr>
        <w:t xml:space="preserve"> Auxiliar de Gabinete: 31.820,04 euros.</w:t>
      </w:r>
    </w:p>
    <w:p w14:paraId="7E794016" w14:textId="77777777" w:rsidR="006D3312" w:rsidRPr="00C0709C" w:rsidRDefault="006D3312"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7. El personal eventual regulado en los apartados anteriores que no ostente la condición de personal fijo o contratado percibirá el premio de antigüedad establecido para el personal funcionario de las Administraciones Públicas de Navarra, considerando para ello el tiempo trabajado en puestos de carácter eventual.</w:t>
      </w:r>
    </w:p>
    <w:p w14:paraId="6DE61E75" w14:textId="77777777" w:rsidR="006D3312" w:rsidRPr="00C0709C" w:rsidRDefault="006D3312"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8. Las retribuciones para el año 2024 del personal directivo con consideración de alto cargo de las sociedades públicas de la Administración de la Comunidad Foral de Navarra integradas en la Corporación Pública Empresarial de Navarra serán las siguientes:</w:t>
      </w:r>
    </w:p>
    <w:p w14:paraId="0D4007B5" w14:textId="77777777" w:rsidR="006D3312" w:rsidRPr="00C0709C" w:rsidRDefault="006D3312"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Para las personas titulares de direcciones-gerencias el salario bruto base anual, referido a catorce mensualidades, será de 64.126,07 euros. Dicha retribución anual se modulará en base a la complejidad de la empresa pública a gestionar, todo ello según la siguiente tabla:</w:t>
      </w:r>
    </w:p>
    <w:tbl>
      <w:tblPr>
        <w:tblW w:w="0" w:type="auto"/>
        <w:tblCellSpacing w:w="0" w:type="dxa"/>
        <w:tblInd w:w="41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2123"/>
        <w:gridCol w:w="2692"/>
        <w:gridCol w:w="2972"/>
      </w:tblGrid>
      <w:tr w:rsidR="006D3312" w:rsidRPr="00C0709C" w14:paraId="6E0B1778" w14:textId="77777777" w:rsidTr="006D3312">
        <w:trPr>
          <w:trHeight w:hRule="exact" w:val="851"/>
          <w:tblCellSpacing w:w="0" w:type="dxa"/>
        </w:trPr>
        <w:tc>
          <w:tcPr>
            <w:tcW w:w="2123" w:type="dxa"/>
            <w:vAlign w:val="center"/>
            <w:hideMark/>
          </w:tcPr>
          <w:p w14:paraId="49F350B7" w14:textId="77777777" w:rsidR="006D3312" w:rsidRPr="00C0709C" w:rsidRDefault="006D3312" w:rsidP="00C0709C">
            <w:pPr>
              <w:pStyle w:val="DICTA-TEXTO"/>
              <w:keepLines/>
              <w:spacing w:beforeLines="60" w:before="144" w:afterLines="60" w:after="144" w:line="280" w:lineRule="exact"/>
              <w:ind w:firstLine="0"/>
              <w:jc w:val="center"/>
              <w:rPr>
                <w:rFonts w:cs="Arial"/>
                <w:sz w:val="22"/>
                <w:szCs w:val="22"/>
                <w:lang w:val="es-ES_tradnl"/>
              </w:rPr>
            </w:pPr>
            <w:bookmarkStart w:id="0" w:name="_Hlk118453537"/>
            <w:r w:rsidRPr="00C0709C">
              <w:rPr>
                <w:rFonts w:cs="Arial"/>
                <w:sz w:val="22"/>
                <w:szCs w:val="22"/>
                <w:lang w:val="es-ES_tradnl"/>
              </w:rPr>
              <w:t>TIPO DE SOCIEDAD</w:t>
            </w:r>
          </w:p>
        </w:tc>
        <w:tc>
          <w:tcPr>
            <w:tcW w:w="2692" w:type="dxa"/>
            <w:vAlign w:val="center"/>
            <w:hideMark/>
          </w:tcPr>
          <w:p w14:paraId="166C4C95" w14:textId="77777777" w:rsidR="006D3312" w:rsidRPr="00C0709C" w:rsidRDefault="006D3312" w:rsidP="00C0709C">
            <w:pPr>
              <w:pStyle w:val="DICTA-TEXTO"/>
              <w:keepLines/>
              <w:spacing w:beforeLines="60" w:before="144" w:afterLines="60" w:after="144" w:line="280" w:lineRule="exact"/>
              <w:ind w:firstLine="0"/>
              <w:jc w:val="center"/>
              <w:rPr>
                <w:rFonts w:cs="Arial"/>
                <w:sz w:val="22"/>
                <w:szCs w:val="22"/>
                <w:lang w:val="es-ES_tradnl"/>
              </w:rPr>
            </w:pPr>
            <w:r w:rsidRPr="00C0709C">
              <w:rPr>
                <w:rFonts w:cs="Arial"/>
                <w:sz w:val="22"/>
                <w:szCs w:val="22"/>
                <w:lang w:val="es-ES_tradnl"/>
              </w:rPr>
              <w:t>COMPLEMENTO DE COMPLEJIDAD</w:t>
            </w:r>
          </w:p>
        </w:tc>
        <w:tc>
          <w:tcPr>
            <w:tcW w:w="2972" w:type="dxa"/>
            <w:vAlign w:val="center"/>
            <w:hideMark/>
          </w:tcPr>
          <w:p w14:paraId="53C2AA46" w14:textId="77777777" w:rsidR="006D3312" w:rsidRPr="00C0709C" w:rsidRDefault="006D3312" w:rsidP="00C0709C">
            <w:pPr>
              <w:pStyle w:val="DICTA-TEXTO"/>
              <w:keepLines/>
              <w:spacing w:beforeLines="60" w:before="144" w:afterLines="60" w:after="144" w:line="280" w:lineRule="exact"/>
              <w:ind w:firstLine="0"/>
              <w:jc w:val="center"/>
              <w:rPr>
                <w:rFonts w:cs="Arial"/>
                <w:sz w:val="22"/>
                <w:szCs w:val="22"/>
                <w:lang w:val="es-ES_tradnl"/>
              </w:rPr>
            </w:pPr>
            <w:r w:rsidRPr="00C0709C">
              <w:rPr>
                <w:rFonts w:cs="Arial"/>
                <w:sz w:val="22"/>
                <w:szCs w:val="22"/>
                <w:lang w:val="es-ES_tradnl"/>
              </w:rPr>
              <w:t>SALARIO BRUTO BASE ANUAL EUROS</w:t>
            </w:r>
          </w:p>
        </w:tc>
      </w:tr>
      <w:tr w:rsidR="006D3312" w:rsidRPr="00C0709C" w14:paraId="6F2755F4" w14:textId="77777777" w:rsidTr="006D3312">
        <w:trPr>
          <w:trHeight w:hRule="exact" w:val="454"/>
          <w:tblCellSpacing w:w="0" w:type="dxa"/>
        </w:trPr>
        <w:tc>
          <w:tcPr>
            <w:tcW w:w="2123" w:type="dxa"/>
            <w:vAlign w:val="center"/>
            <w:hideMark/>
          </w:tcPr>
          <w:p w14:paraId="3A9040D8" w14:textId="77777777" w:rsidR="006D3312" w:rsidRPr="00C0709C" w:rsidRDefault="006D3312" w:rsidP="00C0709C">
            <w:pPr>
              <w:pStyle w:val="DICTA-TEXTO"/>
              <w:keepLines/>
              <w:spacing w:beforeLines="60" w:before="144" w:afterLines="60" w:after="144" w:line="280" w:lineRule="exact"/>
              <w:rPr>
                <w:rFonts w:cs="Arial"/>
                <w:sz w:val="22"/>
                <w:szCs w:val="22"/>
                <w:lang w:val="es-ES_tradnl"/>
              </w:rPr>
            </w:pPr>
            <w:r w:rsidRPr="00C0709C">
              <w:rPr>
                <w:rFonts w:cs="Arial"/>
                <w:sz w:val="22"/>
                <w:szCs w:val="22"/>
                <w:lang w:val="es-ES_tradnl"/>
              </w:rPr>
              <w:t>D</w:t>
            </w:r>
          </w:p>
        </w:tc>
        <w:tc>
          <w:tcPr>
            <w:tcW w:w="2692" w:type="dxa"/>
            <w:vAlign w:val="center"/>
            <w:hideMark/>
          </w:tcPr>
          <w:p w14:paraId="4B1467D3" w14:textId="77777777" w:rsidR="006D3312" w:rsidRPr="00C0709C" w:rsidRDefault="006D3312" w:rsidP="00C0709C">
            <w:pPr>
              <w:pStyle w:val="DICTA-TEXTO"/>
              <w:keepLines/>
              <w:spacing w:beforeLines="60" w:before="144" w:afterLines="60" w:after="144" w:line="280" w:lineRule="exact"/>
              <w:rPr>
                <w:rFonts w:cs="Arial"/>
                <w:sz w:val="22"/>
                <w:szCs w:val="22"/>
                <w:lang w:val="es-ES_tradnl"/>
              </w:rPr>
            </w:pPr>
            <w:r w:rsidRPr="00C0709C">
              <w:rPr>
                <w:rFonts w:cs="Arial"/>
                <w:sz w:val="22"/>
                <w:szCs w:val="22"/>
                <w:lang w:val="es-ES_tradnl"/>
              </w:rPr>
              <w:t>0%</w:t>
            </w:r>
          </w:p>
        </w:tc>
        <w:tc>
          <w:tcPr>
            <w:tcW w:w="2972" w:type="dxa"/>
            <w:vAlign w:val="center"/>
          </w:tcPr>
          <w:p w14:paraId="68DFDCD2" w14:textId="77777777" w:rsidR="006D3312" w:rsidRPr="00C0709C" w:rsidRDefault="006D3312" w:rsidP="00C0709C">
            <w:pPr>
              <w:pStyle w:val="DICTA-TEXTO"/>
              <w:keepLines/>
              <w:spacing w:beforeLines="60" w:before="144" w:afterLines="60" w:after="144" w:line="280" w:lineRule="exact"/>
              <w:rPr>
                <w:rFonts w:cs="Arial"/>
                <w:sz w:val="22"/>
                <w:szCs w:val="22"/>
                <w:lang w:val="es-ES_tradnl"/>
              </w:rPr>
            </w:pPr>
            <w:r w:rsidRPr="00C0709C">
              <w:rPr>
                <w:rFonts w:cs="Arial"/>
                <w:sz w:val="22"/>
                <w:szCs w:val="22"/>
                <w:lang w:val="es-ES_tradnl"/>
              </w:rPr>
              <w:t>64.126,07</w:t>
            </w:r>
          </w:p>
        </w:tc>
      </w:tr>
      <w:tr w:rsidR="006D3312" w:rsidRPr="00C0709C" w14:paraId="51C8D5FB" w14:textId="77777777" w:rsidTr="006D3312">
        <w:trPr>
          <w:trHeight w:hRule="exact" w:val="454"/>
          <w:tblCellSpacing w:w="0" w:type="dxa"/>
        </w:trPr>
        <w:tc>
          <w:tcPr>
            <w:tcW w:w="2123" w:type="dxa"/>
            <w:vAlign w:val="center"/>
            <w:hideMark/>
          </w:tcPr>
          <w:p w14:paraId="53196089" w14:textId="77777777" w:rsidR="006D3312" w:rsidRPr="00C0709C" w:rsidRDefault="006D3312" w:rsidP="00C0709C">
            <w:pPr>
              <w:pStyle w:val="DICTA-TEXTO"/>
              <w:keepLines/>
              <w:spacing w:beforeLines="60" w:before="144" w:afterLines="60" w:after="144" w:line="280" w:lineRule="exact"/>
              <w:rPr>
                <w:rFonts w:cs="Arial"/>
                <w:sz w:val="22"/>
                <w:szCs w:val="22"/>
                <w:lang w:val="es-ES_tradnl"/>
              </w:rPr>
            </w:pPr>
            <w:r w:rsidRPr="00C0709C">
              <w:rPr>
                <w:rFonts w:cs="Arial"/>
                <w:sz w:val="22"/>
                <w:szCs w:val="22"/>
                <w:lang w:val="es-ES_tradnl"/>
              </w:rPr>
              <w:t>C</w:t>
            </w:r>
          </w:p>
        </w:tc>
        <w:tc>
          <w:tcPr>
            <w:tcW w:w="2692" w:type="dxa"/>
            <w:vAlign w:val="center"/>
            <w:hideMark/>
          </w:tcPr>
          <w:p w14:paraId="0F993B05" w14:textId="77777777" w:rsidR="006D3312" w:rsidRPr="00C0709C" w:rsidRDefault="006D3312" w:rsidP="00C0709C">
            <w:pPr>
              <w:pStyle w:val="DICTA-TEXTO"/>
              <w:keepLines/>
              <w:spacing w:beforeLines="60" w:before="144" w:afterLines="60" w:after="144" w:line="280" w:lineRule="exact"/>
              <w:rPr>
                <w:rFonts w:cs="Arial"/>
                <w:sz w:val="22"/>
                <w:szCs w:val="22"/>
                <w:lang w:val="es-ES_tradnl"/>
              </w:rPr>
            </w:pPr>
            <w:r w:rsidRPr="00C0709C">
              <w:rPr>
                <w:rFonts w:cs="Arial"/>
                <w:sz w:val="22"/>
                <w:szCs w:val="22"/>
                <w:lang w:val="es-ES_tradnl"/>
              </w:rPr>
              <w:t>10%</w:t>
            </w:r>
          </w:p>
        </w:tc>
        <w:tc>
          <w:tcPr>
            <w:tcW w:w="2972" w:type="dxa"/>
            <w:vAlign w:val="center"/>
          </w:tcPr>
          <w:p w14:paraId="0479DABA" w14:textId="77777777" w:rsidR="006D3312" w:rsidRPr="00C0709C" w:rsidRDefault="006D3312" w:rsidP="00C0709C">
            <w:pPr>
              <w:pStyle w:val="DICTA-TEXTO"/>
              <w:keepLines/>
              <w:spacing w:beforeLines="60" w:before="144" w:afterLines="60" w:after="144" w:line="280" w:lineRule="exact"/>
              <w:rPr>
                <w:rFonts w:cs="Arial"/>
                <w:sz w:val="22"/>
                <w:szCs w:val="22"/>
                <w:lang w:val="es-ES_tradnl"/>
              </w:rPr>
            </w:pPr>
            <w:r w:rsidRPr="00C0709C">
              <w:rPr>
                <w:rFonts w:cs="Arial"/>
                <w:sz w:val="22"/>
                <w:szCs w:val="22"/>
                <w:lang w:val="es-ES_tradnl"/>
              </w:rPr>
              <w:t>70.538,66</w:t>
            </w:r>
          </w:p>
        </w:tc>
      </w:tr>
      <w:tr w:rsidR="006D3312" w:rsidRPr="00C0709C" w14:paraId="4E0322E3" w14:textId="77777777" w:rsidTr="006D3312">
        <w:trPr>
          <w:trHeight w:hRule="exact" w:val="454"/>
          <w:tblCellSpacing w:w="0" w:type="dxa"/>
        </w:trPr>
        <w:tc>
          <w:tcPr>
            <w:tcW w:w="2123" w:type="dxa"/>
            <w:vAlign w:val="center"/>
            <w:hideMark/>
          </w:tcPr>
          <w:p w14:paraId="20C5D1CE" w14:textId="77777777" w:rsidR="006D3312" w:rsidRPr="00C0709C" w:rsidRDefault="006D3312" w:rsidP="00C0709C">
            <w:pPr>
              <w:pStyle w:val="DICTA-TEXTO"/>
              <w:keepLines/>
              <w:spacing w:beforeLines="60" w:before="144" w:afterLines="60" w:after="144" w:line="280" w:lineRule="exact"/>
              <w:rPr>
                <w:rFonts w:cs="Arial"/>
                <w:sz w:val="22"/>
                <w:szCs w:val="22"/>
                <w:lang w:val="es-ES_tradnl"/>
              </w:rPr>
            </w:pPr>
            <w:r w:rsidRPr="00C0709C">
              <w:rPr>
                <w:rFonts w:cs="Arial"/>
                <w:sz w:val="22"/>
                <w:szCs w:val="22"/>
                <w:lang w:val="es-ES_tradnl"/>
              </w:rPr>
              <w:t>B</w:t>
            </w:r>
          </w:p>
        </w:tc>
        <w:tc>
          <w:tcPr>
            <w:tcW w:w="2692" w:type="dxa"/>
            <w:vAlign w:val="center"/>
            <w:hideMark/>
          </w:tcPr>
          <w:p w14:paraId="600E9A95" w14:textId="77777777" w:rsidR="006D3312" w:rsidRPr="00C0709C" w:rsidRDefault="006D3312" w:rsidP="00C0709C">
            <w:pPr>
              <w:pStyle w:val="DICTA-TEXTO"/>
              <w:keepLines/>
              <w:spacing w:beforeLines="60" w:before="144" w:afterLines="60" w:after="144" w:line="280" w:lineRule="exact"/>
              <w:rPr>
                <w:rFonts w:cs="Arial"/>
                <w:sz w:val="22"/>
                <w:szCs w:val="22"/>
                <w:lang w:val="es-ES_tradnl"/>
              </w:rPr>
            </w:pPr>
            <w:r w:rsidRPr="00C0709C">
              <w:rPr>
                <w:rFonts w:cs="Arial"/>
                <w:sz w:val="22"/>
                <w:szCs w:val="22"/>
                <w:lang w:val="es-ES_tradnl"/>
              </w:rPr>
              <w:t>30%</w:t>
            </w:r>
          </w:p>
        </w:tc>
        <w:tc>
          <w:tcPr>
            <w:tcW w:w="2972" w:type="dxa"/>
            <w:vAlign w:val="center"/>
          </w:tcPr>
          <w:p w14:paraId="2B4D42A9" w14:textId="77777777" w:rsidR="006D3312" w:rsidRPr="00C0709C" w:rsidRDefault="006D3312" w:rsidP="00C0709C">
            <w:pPr>
              <w:pStyle w:val="DICTA-TEXTO"/>
              <w:keepLines/>
              <w:spacing w:beforeLines="60" w:before="144" w:afterLines="60" w:after="144" w:line="280" w:lineRule="exact"/>
              <w:rPr>
                <w:rFonts w:cs="Arial"/>
                <w:sz w:val="22"/>
                <w:szCs w:val="22"/>
                <w:lang w:val="es-ES_tradnl"/>
              </w:rPr>
            </w:pPr>
            <w:r w:rsidRPr="00C0709C">
              <w:rPr>
                <w:rFonts w:cs="Arial"/>
                <w:sz w:val="22"/>
                <w:szCs w:val="22"/>
                <w:lang w:val="es-ES_tradnl"/>
              </w:rPr>
              <w:t>83.363,88</w:t>
            </w:r>
          </w:p>
        </w:tc>
      </w:tr>
      <w:tr w:rsidR="006D3312" w:rsidRPr="00C0709C" w14:paraId="3ABFAF48" w14:textId="77777777" w:rsidTr="006D3312">
        <w:trPr>
          <w:trHeight w:hRule="exact" w:val="454"/>
          <w:tblCellSpacing w:w="0" w:type="dxa"/>
        </w:trPr>
        <w:tc>
          <w:tcPr>
            <w:tcW w:w="2123" w:type="dxa"/>
            <w:vAlign w:val="center"/>
            <w:hideMark/>
          </w:tcPr>
          <w:p w14:paraId="695E41F8" w14:textId="77777777" w:rsidR="006D3312" w:rsidRPr="00C0709C" w:rsidRDefault="006D3312" w:rsidP="00C0709C">
            <w:pPr>
              <w:pStyle w:val="DICTA-TEXTO"/>
              <w:keepLines/>
              <w:spacing w:beforeLines="60" w:before="144" w:afterLines="60" w:after="144" w:line="280" w:lineRule="exact"/>
              <w:rPr>
                <w:rFonts w:cs="Arial"/>
                <w:sz w:val="22"/>
                <w:szCs w:val="22"/>
                <w:lang w:val="es-ES_tradnl"/>
              </w:rPr>
            </w:pPr>
            <w:r w:rsidRPr="00C0709C">
              <w:rPr>
                <w:rFonts w:cs="Arial"/>
                <w:sz w:val="22"/>
                <w:szCs w:val="22"/>
                <w:lang w:val="es-ES_tradnl"/>
              </w:rPr>
              <w:lastRenderedPageBreak/>
              <w:t>A</w:t>
            </w:r>
          </w:p>
        </w:tc>
        <w:tc>
          <w:tcPr>
            <w:tcW w:w="2692" w:type="dxa"/>
            <w:vAlign w:val="center"/>
            <w:hideMark/>
          </w:tcPr>
          <w:p w14:paraId="6015A953" w14:textId="77777777" w:rsidR="006D3312" w:rsidRPr="00C0709C" w:rsidRDefault="006D3312" w:rsidP="00C0709C">
            <w:pPr>
              <w:pStyle w:val="DICTA-TEXTO"/>
              <w:keepLines/>
              <w:spacing w:beforeLines="60" w:before="144" w:afterLines="60" w:after="144" w:line="280" w:lineRule="exact"/>
              <w:rPr>
                <w:rFonts w:cs="Arial"/>
                <w:sz w:val="22"/>
                <w:szCs w:val="22"/>
                <w:lang w:val="es-ES_tradnl"/>
              </w:rPr>
            </w:pPr>
            <w:r w:rsidRPr="00C0709C">
              <w:rPr>
                <w:rFonts w:cs="Arial"/>
                <w:sz w:val="22"/>
                <w:szCs w:val="22"/>
                <w:lang w:val="es-ES_tradnl"/>
              </w:rPr>
              <w:t>55%</w:t>
            </w:r>
          </w:p>
        </w:tc>
        <w:tc>
          <w:tcPr>
            <w:tcW w:w="2972" w:type="dxa"/>
            <w:vAlign w:val="center"/>
          </w:tcPr>
          <w:p w14:paraId="3A0DB403" w14:textId="77777777" w:rsidR="006D3312" w:rsidRPr="00C0709C" w:rsidRDefault="006D3312" w:rsidP="00C0709C">
            <w:pPr>
              <w:pStyle w:val="DICTA-TEXTO"/>
              <w:keepLines/>
              <w:spacing w:beforeLines="60" w:before="144" w:afterLines="60" w:after="144" w:line="280" w:lineRule="exact"/>
              <w:rPr>
                <w:rFonts w:cs="Arial"/>
                <w:sz w:val="22"/>
                <w:szCs w:val="22"/>
                <w:lang w:val="es-ES_tradnl"/>
              </w:rPr>
            </w:pPr>
            <w:r w:rsidRPr="00C0709C">
              <w:rPr>
                <w:rFonts w:cs="Arial"/>
                <w:sz w:val="22"/>
                <w:szCs w:val="22"/>
                <w:lang w:val="es-ES_tradnl"/>
              </w:rPr>
              <w:t>99.395,39</w:t>
            </w:r>
          </w:p>
        </w:tc>
      </w:tr>
    </w:tbl>
    <w:bookmarkEnd w:id="0"/>
    <w:p w14:paraId="297B1426" w14:textId="77777777" w:rsidR="006D3312" w:rsidRPr="00C0709C" w:rsidRDefault="006D3312"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La clasificación de las sociedades en función de su tipo se determinará por Acuerdo del Gobierno de Navarra.</w:t>
      </w:r>
    </w:p>
    <w:p w14:paraId="09F100E3" w14:textId="77777777" w:rsidR="006D3312" w:rsidRPr="00C0709C" w:rsidRDefault="006D3312"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9. Las retribuciones para el año 2024 de las personas que ocupan la dirección de las fundaciones públicas de la Administración de la Comunidad Foral de Navarra se fijan en los siguientes importes anuales, referidos a catorce mensualidades:</w:t>
      </w:r>
    </w:p>
    <w:p w14:paraId="282D0BF6" w14:textId="4895A9E2" w:rsidR="006D3312" w:rsidRPr="00C0709C" w:rsidRDefault="00D473FF"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w:t>
      </w:r>
      <w:r w:rsidR="006D3312" w:rsidRPr="00C0709C">
        <w:rPr>
          <w:rFonts w:cs="Arial"/>
          <w:sz w:val="22"/>
          <w:szCs w:val="22"/>
          <w:lang w:val="es-ES_tradnl"/>
        </w:rPr>
        <w:t xml:space="preserve"> Fundación Miguel Servet: 63.704,29 euros.</w:t>
      </w:r>
    </w:p>
    <w:p w14:paraId="5DF06AC1" w14:textId="0C34E75F" w:rsidR="006D3312" w:rsidRPr="00C0709C" w:rsidRDefault="00D473FF"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w:t>
      </w:r>
      <w:r w:rsidR="006D3312" w:rsidRPr="00C0709C">
        <w:rPr>
          <w:rFonts w:cs="Arial"/>
          <w:sz w:val="22"/>
          <w:szCs w:val="22"/>
          <w:lang w:val="es-ES_tradnl"/>
        </w:rPr>
        <w:t xml:space="preserve"> Fundación Navarra para la Tutela de las Personas Adultas: 55.109,33 euros.</w:t>
      </w:r>
    </w:p>
    <w:p w14:paraId="0381633B" w14:textId="3EEFEEB8" w:rsidR="006D3312" w:rsidRPr="00C0709C" w:rsidRDefault="00D473FF"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w:t>
      </w:r>
      <w:r w:rsidR="006D3312" w:rsidRPr="00C0709C">
        <w:rPr>
          <w:rFonts w:cs="Arial"/>
          <w:sz w:val="22"/>
          <w:szCs w:val="22"/>
          <w:lang w:val="es-ES_tradnl"/>
        </w:rPr>
        <w:t xml:space="preserve"> Fundación Baluarte: 69.920,41 euros.</w:t>
      </w:r>
    </w:p>
    <w:p w14:paraId="45EDB32E" w14:textId="1029E505" w:rsidR="006D3312" w:rsidRPr="00C0709C" w:rsidRDefault="00D473FF"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w:t>
      </w:r>
      <w:r w:rsidR="006D3312" w:rsidRPr="00C0709C">
        <w:rPr>
          <w:rFonts w:cs="Arial"/>
          <w:sz w:val="22"/>
          <w:szCs w:val="22"/>
          <w:lang w:val="es-ES_tradnl"/>
        </w:rPr>
        <w:t xml:space="preserve"> Fundación </w:t>
      </w:r>
      <w:proofErr w:type="spellStart"/>
      <w:r w:rsidR="006D3312" w:rsidRPr="00C0709C">
        <w:rPr>
          <w:rFonts w:cs="Arial"/>
          <w:sz w:val="22"/>
          <w:szCs w:val="22"/>
          <w:lang w:val="es-ES_tradnl"/>
        </w:rPr>
        <w:t>Gizain</w:t>
      </w:r>
      <w:proofErr w:type="spellEnd"/>
      <w:r w:rsidR="006D3312" w:rsidRPr="00C0709C">
        <w:rPr>
          <w:rFonts w:cs="Arial"/>
          <w:sz w:val="22"/>
          <w:szCs w:val="22"/>
          <w:lang w:val="es-ES_tradnl"/>
        </w:rPr>
        <w:t>: 64.552,94 euros.</w:t>
      </w:r>
    </w:p>
    <w:p w14:paraId="54022499" w14:textId="0332D041" w:rsidR="006D3312" w:rsidRPr="00C0709C" w:rsidRDefault="00D473FF"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w:t>
      </w:r>
      <w:r w:rsidR="006D3312" w:rsidRPr="00C0709C">
        <w:rPr>
          <w:rFonts w:cs="Arial"/>
          <w:sz w:val="22"/>
          <w:szCs w:val="22"/>
          <w:lang w:val="es-ES_tradnl"/>
        </w:rPr>
        <w:t xml:space="preserve"> Fundación Miguel Induráin: 53.302,50 euros.</w:t>
      </w:r>
    </w:p>
    <w:p w14:paraId="2CDD106D" w14:textId="77777777" w:rsidR="006D3312" w:rsidRPr="00C0709C" w:rsidRDefault="006D3312"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10. Las personas integrantes del Gobierno de Navarra y el resto de personal alto cargo de la Comunidad Foral de Navarra no podrán percibir de ninguna entidad pública o privada, con carácter personal, dietas por asistencia a consejos de administración u órganos colegiados de cualquier índole. En el caso de que perciban dietas atendiendo a la representación que ostentan, las cantidades serán ingresadas directamente por la sociedad u organismo que las abone en la cuenta presupuestaria o societaria correspondiente de la Administración de la Comunidad Foral de Navarra.</w:t>
      </w:r>
    </w:p>
    <w:p w14:paraId="24C063A4" w14:textId="77777777" w:rsidR="006D3312" w:rsidRPr="00C0709C" w:rsidRDefault="006D3312"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11. Las retribuciones de las personas integrantes del Gobierno de Navarra, del personal alto cargo de la Administración de la Comunidad Foral de Navarra y del resto del personal eventual experimentarán el mismo incremento que resulte, en su caso, de la aplicación de lo dispuesto en el artículo 6.</w:t>
      </w:r>
    </w:p>
    <w:p w14:paraId="72F8D84B" w14:textId="77777777" w:rsidR="00884DB1" w:rsidRPr="00C0709C" w:rsidRDefault="00884DB1" w:rsidP="00C0709C">
      <w:pPr>
        <w:pStyle w:val="DICTA-CAPITULO"/>
        <w:spacing w:beforeLines="60" w:before="144" w:afterLines="60" w:after="144" w:line="280" w:lineRule="exact"/>
        <w:rPr>
          <w:rFonts w:ascii="Arial" w:hAnsi="Arial" w:cs="Arial"/>
          <w:sz w:val="22"/>
          <w:szCs w:val="22"/>
          <w:lang w:val="es-ES_tradnl"/>
        </w:rPr>
      </w:pPr>
      <w:r w:rsidRPr="00C0709C">
        <w:rPr>
          <w:rFonts w:ascii="Arial" w:hAnsi="Arial" w:cs="Arial"/>
          <w:sz w:val="22"/>
          <w:szCs w:val="22"/>
          <w:lang w:val="es-ES_tradnl"/>
        </w:rPr>
        <w:t>CAPÍTULO II</w:t>
      </w:r>
    </w:p>
    <w:p w14:paraId="4F8EB4D9" w14:textId="77777777" w:rsidR="00884DB1" w:rsidRPr="00C0709C" w:rsidRDefault="00884DB1" w:rsidP="00C0709C">
      <w:pPr>
        <w:pStyle w:val="DICTA-SUBTITULO2"/>
        <w:spacing w:beforeLines="60" w:before="144" w:afterLines="60" w:after="144" w:line="280" w:lineRule="exact"/>
        <w:rPr>
          <w:rFonts w:cs="Arial"/>
          <w:sz w:val="22"/>
          <w:szCs w:val="22"/>
          <w:lang w:val="es-ES_tradnl"/>
        </w:rPr>
      </w:pPr>
      <w:r w:rsidRPr="00C0709C">
        <w:rPr>
          <w:rFonts w:cs="Arial"/>
          <w:sz w:val="22"/>
          <w:szCs w:val="22"/>
          <w:lang w:val="es-ES_tradnl"/>
        </w:rPr>
        <w:t>Derechos pasivos del personal funcionario de los Montepíos de las Administraciones Públicas de Navarra</w:t>
      </w:r>
    </w:p>
    <w:p w14:paraId="30BCCF8F" w14:textId="77777777" w:rsidR="00884DB1" w:rsidRPr="00C0709C" w:rsidRDefault="00884DB1"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Artículo 10.</w:t>
      </w:r>
      <w:r w:rsidRPr="00C0709C">
        <w:rPr>
          <w:rFonts w:cs="Arial"/>
          <w:sz w:val="22"/>
          <w:szCs w:val="22"/>
          <w:lang w:val="es-ES_tradnl"/>
        </w:rPr>
        <w:t xml:space="preserve"> Actualización de las pensiones de las clases pasivas del personal funcionario de los Montepíos de las Administraciones Públicas de Navarra.</w:t>
      </w:r>
    </w:p>
    <w:p w14:paraId="3E6CE84F" w14:textId="77777777" w:rsidR="00A92F94" w:rsidRPr="00C0709C" w:rsidRDefault="00A92F94"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1. Con efectos de 1 de enero de 2024, las pensiones de las clases pasivas del personal funcionario de los Montepíos de las Administraciones Públicas de Navarra con derecho a actualización según la normativa vigente tendrán el incremento que experimenten ese año con carácter general las pensiones públicas.</w:t>
      </w:r>
    </w:p>
    <w:p w14:paraId="1DA7F2F7" w14:textId="77777777" w:rsidR="00A92F94" w:rsidRPr="00C0709C" w:rsidRDefault="00A92F94"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2. En aplicación de la normativa vigente en materia de pensiones públicas, la actualización no se aplicará a las pensiones ya reconocidas o que en el futuro se reconozcan que, por sí solas o sumándoles, en su caso, el importe de otras pensiones públicas percibidas por la misma persona beneficiaria, superen la cuantía máxima anual establecida para las pensiones públicas.</w:t>
      </w:r>
    </w:p>
    <w:p w14:paraId="7CFD4BD5" w14:textId="77777777" w:rsidR="00884DB1" w:rsidRPr="00C0709C" w:rsidRDefault="00884DB1" w:rsidP="00C0709C">
      <w:pPr>
        <w:pStyle w:val="DICTA-TEXTO"/>
        <w:spacing w:beforeLines="60" w:before="144" w:afterLines="60" w:after="144" w:line="280" w:lineRule="exact"/>
        <w:rPr>
          <w:rFonts w:cs="Arial"/>
          <w:sz w:val="22"/>
          <w:szCs w:val="22"/>
          <w:lang w:val="es-ES_tradnl"/>
        </w:rPr>
      </w:pPr>
      <w:r w:rsidRPr="00C0709C">
        <w:rPr>
          <w:rFonts w:cs="Arial"/>
          <w:b/>
          <w:bCs/>
          <w:sz w:val="22"/>
          <w:szCs w:val="22"/>
          <w:lang w:val="es-ES_tradnl"/>
        </w:rPr>
        <w:t>Artículo 11.</w:t>
      </w:r>
      <w:r w:rsidRPr="00C0709C">
        <w:rPr>
          <w:rFonts w:cs="Arial"/>
          <w:sz w:val="22"/>
          <w:szCs w:val="22"/>
          <w:lang w:val="es-ES_tradnl"/>
        </w:rPr>
        <w:t xml:space="preserve"> Normas aplicables al régimen de derechos pasivos del personal funcionario acogido al sistema anterior a la Ley Foral 10/2003, de 5 de marzo, sobre régimen </w:t>
      </w:r>
      <w:r w:rsidRPr="00C0709C">
        <w:rPr>
          <w:rFonts w:cs="Arial"/>
          <w:sz w:val="22"/>
          <w:szCs w:val="22"/>
          <w:lang w:val="es-ES_tradnl"/>
        </w:rPr>
        <w:lastRenderedPageBreak/>
        <w:t>transitorio de los derechos pasivos del personal funcionario de los Montepíos de las Administraciones Públicas de Navarra.</w:t>
      </w:r>
    </w:p>
    <w:p w14:paraId="24A7C7E3" w14:textId="77777777" w:rsidR="00DE5114" w:rsidRPr="00C0709C" w:rsidRDefault="00DE5114"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1. El régimen de derechos pasivos del personal funcionario a que se refiere el presente artículo se regirá por las disposiciones vigentes con anterioridad a la entrada en vigor de la Ley Foral 13/1983, de 30 de marzo, tomándose en consideración para la determinación del sueldo regulador las mayores retribuciones percibidas por el personal funcionario con arreglo al sistema anterior a dicha ley foral y al Reglamento Provisional de Retribuciones dictado en su ejecución, incrementadas en los porcentajes señalados en las Leyes Forales de Presupuestos Generales de Navarra de los sucesivos ejercicios, con la salvedad de lo dispuesto en este artículo para las pensiones adquiridas por razón de accidente de trabajo o de enfermedad profesional.</w:t>
      </w:r>
    </w:p>
    <w:p w14:paraId="09080894" w14:textId="77777777" w:rsidR="00DE5114" w:rsidRPr="00C0709C" w:rsidRDefault="00DE5114"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2. De acuerdo con las disposiciones referidas en el apartado precedente, para el cómputo del tiempo de servicios a efectos de jubilación y pensiones, únicamente se tendrán presentes los años de servicio efectivamente prestados por el personal funcionario. Se comprenderán dentro de ellos los años de servicios efectivamente prestados a la Administración Pública que hayan sido reconocidos por la Administración respectiva conforme a los Acuerdos de la Diputación Foral de 29 de octubre de 1981 y de 5 de febrero de 2001 y al Decreto Foral 21/1983, de 14 de abril.</w:t>
      </w:r>
    </w:p>
    <w:p w14:paraId="23F62353" w14:textId="77777777" w:rsidR="00DE5114" w:rsidRPr="00C0709C" w:rsidRDefault="00DE5114"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No obstante, en los casos de pensiones de jubilación, viudedad y orfandad causadas por el personal funcionario acogido a alguno de los Montepíos de la Administración de la Comunidad Foral o de las entidades locales de Navarra, que falleciera estando en activo o se jubilara a partir de la entrada en vigor de esta ley foral, se computarán, con efectos retroactivos a la fecha del hecho causante de la pensión, los periodos cotizados por dicho personal funcionario a los distintos regímenes de la Seguridad Social, siempre que tales periodos no se superpongan a otros cotizados a los reseñados Montepíos, a los únicos efectos de determinar los haberes computables para derechos pasivos y la cuota o porcentaje por años de cotización o de servicios aplicable para el cálculo de la pensión correspondiente.</w:t>
      </w:r>
    </w:p>
    <w:p w14:paraId="4090F8A7" w14:textId="77777777" w:rsidR="00DE5114" w:rsidRPr="00C0709C" w:rsidRDefault="00DE5114"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No se computarán en ningún caso para las pensiones de jubilación, viudedad y orfandad causadas por el personal funcionario contemplados en el párrafo anterior los periodos cotizados por dicho personal funcionario a los distintos regímenes de la Seguridad Social, cuando dichos periodos, acumulados en su caso a otros, hubieran generado derecho a pensión en tales regímenes, con excepción de aquellos periodos por cuya cotización se genere derecho a las prestaciones del SOVI, que sí serán computados.</w:t>
      </w:r>
    </w:p>
    <w:p w14:paraId="54C32ACA" w14:textId="77777777" w:rsidR="00DE5114" w:rsidRPr="00C0709C" w:rsidRDefault="00DE5114"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En los casos de pensiones de viudedad causadas por personal funcionario acogido a alguno de los Montepíos de la Administración de la Comunidad Foral de Navarra o de las entidades locales de Navarra se extenderán los derechos pasivos a los miembros de las parejas estables, conforme a la Ley Foral 6/2000, de 3 de julio, para la igualdad jurídica de las parejas estables.</w:t>
      </w:r>
    </w:p>
    <w:p w14:paraId="5C40DABA" w14:textId="77777777" w:rsidR="00DE5114" w:rsidRPr="00C0709C" w:rsidRDefault="00DE5114"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3. En aplicación de lo dispuesto en el apartado 1 de este artículo y para la fijación de las jubilaciones y pensiones que se causen durante el año 2024 por el personal funcionario público comprendido en el ámbito de aplicación del Estatuto del Personal al servicio de las Administraciones Públicas de Navarra, se tendrá en cuenta lo siguiente:</w:t>
      </w:r>
    </w:p>
    <w:p w14:paraId="7D45E9C4" w14:textId="77777777" w:rsidR="00DE5114" w:rsidRPr="00C0709C" w:rsidRDefault="00DE5114"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lastRenderedPageBreak/>
        <w:t>a) Las cuantías de los conceptos retributivos con incidencia en los derechos pasivos serán las correspondientes al año 2024, resultantes de aplicar a las de 1983 los incrementos anuales fijados por las posteriores Leyes Forales de Presupuestos.</w:t>
      </w:r>
    </w:p>
    <w:p w14:paraId="12CEC39B" w14:textId="77777777" w:rsidR="00DE5114" w:rsidRPr="00C0709C" w:rsidRDefault="00DE5114"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Excepcionalmente, en los casos de pensiones de jubilación por incapacidad derivada de accidente de trabajo o de enfermedad profesional, así como en los supuestos de pensiones de viudedad u orfandad en caso de muerte por accidente de trabajo o enfermedad profesional, el haber regulador estará constituido por las retribuciones que, por su puesto de trabajo, hubiera percibido el personal funcionario afectado en el año inmediatamente anterior al momento de producirse la jubilación o el fallecimiento.</w:t>
      </w:r>
    </w:p>
    <w:p w14:paraId="324FB4BB" w14:textId="77777777" w:rsidR="00DE5114" w:rsidRPr="00C0709C" w:rsidRDefault="00DE5114"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b) Para el personal funcionario municipal que quedó excluido del sistema de retribuciones derivado de la Norma de Equiparación de 29 de enero de 1980, en virtud de la facultad otorgada por la disposición adicional segunda, párrafo segundo, de la misma, la cuantía de los conceptos retributivos con incidencia en pasivos será la que resulte de aplicar a la correspondiente a 1983, relativa a dicho personal funcionario, los incrementos experimentados durante los años sucesivos.</w:t>
      </w:r>
    </w:p>
    <w:p w14:paraId="2A9C4262" w14:textId="77777777" w:rsidR="00DE5114" w:rsidRPr="00C0709C" w:rsidRDefault="00DE5114"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4. El personal funcionario contribuirá a la financiación del régimen de pensiones con la cantidad resultante de la aplicación de la normativa anterior a la Ley Foral 13/1983, incrementada en los porcentajes de aumento de las pensiones establecidos en las ulteriores Leyes Forales de Presupuestos Generales de Navarra.</w:t>
      </w:r>
    </w:p>
    <w:p w14:paraId="19F556B1" w14:textId="77777777" w:rsidR="00DE5114" w:rsidRPr="00C0709C" w:rsidRDefault="00DE5114"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5. Con efectos de 1 de enero de 2024, la pensión mínima de jubilación de los Montepíos de las Administraciones Públicas de Navarra, tanto del personal funcionario acogido al sistema anterior a la Ley Foral 10/2003, de 5 de marzo, como del previsto en la referida ley foral, será la establecida para el año 2023, que asciende a 17.371,34 euros, actualizada al año 2024 con el incremento que experimenten ese año con carácter general las pensiones públicas.</w:t>
      </w:r>
    </w:p>
    <w:p w14:paraId="77BC966D" w14:textId="77777777" w:rsidR="00DE5114" w:rsidRPr="00C0709C" w:rsidRDefault="00DE5114"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A partir del momento en que cumplan setenta años de edad, se reconocerá el derecho a la percepción del importe equivalente a la pensión mínima establecida en el párrafo anterior a aquellas personas jubiladas voluntariamente, acogidas al sistema de derechos pasivos anterior al establecido en la Ley Foral 10/2003, de 5 de marzo, que por acreditar menos de treinta años de servicios reconocidos en la Administración Pública respectiva hayan devengado pensión sin derecho a actualización.</w:t>
      </w:r>
    </w:p>
    <w:p w14:paraId="76ABB7F1" w14:textId="77777777" w:rsidR="00DE5114" w:rsidRPr="00C0709C" w:rsidRDefault="00DE5114"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6. Con efectos de 1 de enero del año 2024, la pensión mínima de viudedad queda establecida en una cantidad bruta anual equivalente al salario mínimo interprofesional que se determine para ese ejercicio.</w:t>
      </w:r>
    </w:p>
    <w:p w14:paraId="40D5A61A" w14:textId="77777777" w:rsidR="00DE5114" w:rsidRPr="00C0709C" w:rsidRDefault="00DE5114"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7. Lo dispuesto en el apartado 6 de este artículo será de aplicación, asimismo, a las pensiones de orfandad concedidas por aplicación del sistema de derechos pasivos anterior a la Ley Foral 10/2003, de 5 de marzo, con cargo a cualquiera de los Montepíos de las Administraciones Públicas de Navarra, al amparo de lo dispuesto en sus respectivos Reglamentos, en la redacción dada por la disposición adicional decimoctava de la Ley Foral 5/1991, de 26 de febrero, de Presupuestos Generales de Navarra para el ejercicio de 1991.</w:t>
      </w:r>
    </w:p>
    <w:p w14:paraId="688FA9CE" w14:textId="77777777" w:rsidR="00DE5114" w:rsidRPr="00C0709C" w:rsidRDefault="00DE5114"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Quedan, por lo tanto, excluidas de lo dispuesto en el párrafo anterior todas aquellas pensiones de orfandad que hubieran sido concedidas en virtud de la normativa aplicable con </w:t>
      </w:r>
      <w:r w:rsidRPr="00C0709C">
        <w:rPr>
          <w:rFonts w:cs="Arial"/>
          <w:sz w:val="22"/>
          <w:szCs w:val="22"/>
          <w:lang w:val="es-ES_tradnl"/>
        </w:rPr>
        <w:lastRenderedPageBreak/>
        <w:t>anterioridad a la modificación establecida en la citada Ley Foral 5/1991, salvo las que se hubieran reconocido por la situación de incapacidad de la persona beneficiaria.</w:t>
      </w:r>
    </w:p>
    <w:p w14:paraId="37A41F1D" w14:textId="77777777" w:rsidR="00DE5114" w:rsidRPr="00C0709C" w:rsidRDefault="00DE5114"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8. Las pensiones de orfandad contempladas en el apartado 3 de los artículos 8 del Reglamento de Jubilaciones y Pensiones del personal funcionario de la Diputación Foral y 10 del Reglamento de Derechos Pasivos de los funcionarios municipales, así como las pensiones de orfandad de iguales características de los Montepíos Municipales particulares, se reconocerán siempre y cuando todos los requisitos exigidos para su obtención se cumplan en la fecha del fallecimiento del causante de la pensión o, en su caso, de su cónyuge o pareja estable beneficiaria de la pensión de viudedad.</w:t>
      </w:r>
    </w:p>
    <w:p w14:paraId="798E5528" w14:textId="77777777" w:rsidR="00DE5114" w:rsidRPr="00C0709C" w:rsidRDefault="00DE5114"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9. Las pensiones de viudedad de los Montepíos de las Administraciones Públicas de Navarra serán compatibles tanto con la percepción de ingresos por trabajo personal como con la pensión de jubilación.</w:t>
      </w:r>
    </w:p>
    <w:p w14:paraId="31597716" w14:textId="77777777" w:rsidR="00DE5114" w:rsidRPr="00C0709C" w:rsidRDefault="00DE5114"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10. Las declaraciones de incapacidad permanente, así como los distintos grados de </w:t>
      </w:r>
      <w:proofErr w:type="gramStart"/>
      <w:r w:rsidRPr="00C0709C">
        <w:rPr>
          <w:rFonts w:cs="Arial"/>
          <w:sz w:val="22"/>
          <w:szCs w:val="22"/>
          <w:lang w:val="es-ES_tradnl"/>
        </w:rPr>
        <w:t>la misma</w:t>
      </w:r>
      <w:proofErr w:type="gramEnd"/>
      <w:r w:rsidRPr="00C0709C">
        <w:rPr>
          <w:rFonts w:cs="Arial"/>
          <w:sz w:val="22"/>
          <w:szCs w:val="22"/>
          <w:lang w:val="es-ES_tradnl"/>
        </w:rPr>
        <w:t>, serán revisables si la persona beneficiaria no ha cumplido la edad de 65 años, bien por agravación o mejoría, bien por error de diagnóstico, con sujeción a las siguientes normas:</w:t>
      </w:r>
    </w:p>
    <w:p w14:paraId="66EFE799" w14:textId="77777777" w:rsidR="00DE5114" w:rsidRPr="00C0709C" w:rsidRDefault="00DE5114"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a) El expediente de revisión del grado de incapacidad podrá incoarse de oficio o a instancia de la persona interesada y el Tribunal Médico de Valoración de Incapacidades de Navarra emitirá una propuesta vinculante al respecto.</w:t>
      </w:r>
    </w:p>
    <w:p w14:paraId="1173750E" w14:textId="77777777" w:rsidR="00DE5114" w:rsidRPr="00C0709C" w:rsidRDefault="00DE5114"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b) En el supuesto de que el personal funcionario declarado en un grado de incapacidad permanente fuera recalificado en otro superior, por agravación o por error de diagnóstico, el señalamiento de la pensión correspondiente tendrá efectos del día primero del mes siguiente a aquel en que se hubiese resuelto el expediente de revisión.</w:t>
      </w:r>
    </w:p>
    <w:p w14:paraId="5CDE09FA" w14:textId="77777777" w:rsidR="00DE5114" w:rsidRPr="00C0709C" w:rsidRDefault="00DE5114"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En el caso de que la recalificación trajera causa de un error de diagnóstico, tendrá derecho a percibir el importe de las diferencias entre lo percibido hasta la resolución del expediente y lo debido de percibir por reconocimiento del superior grado de incapacidad, con el límite de cuatro años.</w:t>
      </w:r>
    </w:p>
    <w:p w14:paraId="02F69E2E" w14:textId="77777777" w:rsidR="00DE5114" w:rsidRPr="00C0709C" w:rsidRDefault="00DE5114"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c) La revisión a que se refieren los apartados anteriores producirá los efectos establecidos en los Acuerdos de la Diputación Foral de 17 de abril de 1970 y de 24 de noviembre de 1972, que continuarán vigentes en todo aquello que no se oponga a lo establecido en la presente ley foral.</w:t>
      </w:r>
    </w:p>
    <w:p w14:paraId="716EBF88" w14:textId="77777777" w:rsidR="00884DB1" w:rsidRPr="00C0709C" w:rsidRDefault="00884DB1" w:rsidP="00C0709C">
      <w:pPr>
        <w:pStyle w:val="DICTA-CAPITULO"/>
        <w:spacing w:beforeLines="60" w:before="144" w:afterLines="60" w:after="144" w:line="280" w:lineRule="exact"/>
        <w:rPr>
          <w:rFonts w:ascii="Arial" w:hAnsi="Arial" w:cs="Arial"/>
          <w:sz w:val="22"/>
          <w:szCs w:val="22"/>
          <w:lang w:val="es-ES_tradnl"/>
        </w:rPr>
      </w:pPr>
      <w:r w:rsidRPr="00C0709C">
        <w:rPr>
          <w:rFonts w:ascii="Arial" w:hAnsi="Arial" w:cs="Arial"/>
          <w:sz w:val="22"/>
          <w:szCs w:val="22"/>
          <w:lang w:val="es-ES_tradnl"/>
        </w:rPr>
        <w:t>CAPÍTULO III</w:t>
      </w:r>
    </w:p>
    <w:p w14:paraId="40B6CAC1" w14:textId="0FB0A401" w:rsidR="00884DB1" w:rsidRPr="00C0709C" w:rsidRDefault="00C425CA" w:rsidP="00C0709C">
      <w:pPr>
        <w:pStyle w:val="DICTA-SUBTITULO2"/>
        <w:spacing w:beforeLines="60" w:before="144" w:afterLines="60" w:after="144" w:line="280" w:lineRule="exact"/>
        <w:rPr>
          <w:rFonts w:cs="Arial"/>
          <w:sz w:val="22"/>
          <w:szCs w:val="22"/>
          <w:lang w:val="es-ES_tradnl"/>
        </w:rPr>
      </w:pPr>
      <w:r w:rsidRPr="00C0709C">
        <w:rPr>
          <w:rFonts w:cs="Arial"/>
          <w:sz w:val="22"/>
          <w:szCs w:val="22"/>
          <w:lang w:val="es-ES_tradnl"/>
        </w:rPr>
        <w:t>Retribuciones del personal docente</w:t>
      </w:r>
    </w:p>
    <w:p w14:paraId="3F8D1BD0" w14:textId="720B74B0" w:rsidR="00884DB1" w:rsidRPr="00C0709C" w:rsidRDefault="00884DB1"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Artículo 12</w:t>
      </w:r>
      <w:r w:rsidRPr="00C0709C">
        <w:rPr>
          <w:rFonts w:cs="Arial"/>
          <w:sz w:val="22"/>
          <w:szCs w:val="22"/>
          <w:lang w:val="es-ES_tradnl"/>
        </w:rPr>
        <w:t xml:space="preserve">. </w:t>
      </w:r>
      <w:r w:rsidR="00C425CA" w:rsidRPr="00C0709C">
        <w:rPr>
          <w:rFonts w:cs="Arial"/>
          <w:sz w:val="22"/>
          <w:szCs w:val="22"/>
          <w:lang w:val="es-ES_tradnl"/>
        </w:rPr>
        <w:t>Compensaciones retributivas del personal docente que presta sus servicios en los comedores escolares subvencionados por el Departamento de Educación del Gobierno de Navarra</w:t>
      </w:r>
      <w:r w:rsidRPr="00C0709C">
        <w:rPr>
          <w:rFonts w:cs="Arial"/>
          <w:sz w:val="22"/>
          <w:szCs w:val="22"/>
          <w:lang w:val="es-ES_tradnl"/>
        </w:rPr>
        <w:t>.</w:t>
      </w:r>
    </w:p>
    <w:p w14:paraId="32522458" w14:textId="77777777" w:rsidR="00FB45F7" w:rsidRPr="00C0709C" w:rsidRDefault="00FB45F7"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El personal docente que, conforme a lo dispuesto en el Decreto Foral 246/1991, de 24 de julio, por el que se regulan los comedores escolares de los centros públicos no universitarios de Navarra en los niveles de enseñanza obligatoria, y la Orden Foral 186/1993, de 11 de mayo, del Consejero de Educación y Cultura, por la que se desarrolla lo dispuesto en el citado Decreto Foral 246/1991, realice las funciones de persona administradora, encargada o cuidadora de comedor percibirá por cada día de desempeño efectivo las siguientes retribuciones brutas:</w:t>
      </w:r>
    </w:p>
    <w:tbl>
      <w:tblPr>
        <w:tblW w:w="8364" w:type="dxa"/>
        <w:tblInd w:w="-5" w:type="dxa"/>
        <w:tblCellMar>
          <w:left w:w="70" w:type="dxa"/>
          <w:right w:w="70" w:type="dxa"/>
        </w:tblCellMar>
        <w:tblLook w:val="04A0" w:firstRow="1" w:lastRow="0" w:firstColumn="1" w:lastColumn="0" w:noHBand="0" w:noVBand="1"/>
      </w:tblPr>
      <w:tblGrid>
        <w:gridCol w:w="1843"/>
        <w:gridCol w:w="2268"/>
        <w:gridCol w:w="2410"/>
        <w:gridCol w:w="1843"/>
      </w:tblGrid>
      <w:tr w:rsidR="00FB45F7" w:rsidRPr="00C0709C" w14:paraId="181DBDEC" w14:textId="77777777" w:rsidTr="00F4450D">
        <w:trPr>
          <w:trHeight w:hRule="exact" w:val="1295"/>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A8A4A" w14:textId="77777777" w:rsidR="00FB45F7" w:rsidRPr="00C0709C" w:rsidRDefault="00FB45F7" w:rsidP="00C0709C">
            <w:pPr>
              <w:keepNext/>
              <w:spacing w:beforeLines="60" w:before="144" w:afterLines="60" w:after="144" w:line="280" w:lineRule="exact"/>
              <w:jc w:val="center"/>
              <w:rPr>
                <w:rFonts w:ascii="Arial" w:hAnsi="Arial" w:cs="Arial"/>
                <w:sz w:val="22"/>
                <w:szCs w:val="22"/>
              </w:rPr>
            </w:pPr>
            <w:bookmarkStart w:id="1" w:name="_Hlk118453738"/>
            <w:r w:rsidRPr="00C0709C">
              <w:rPr>
                <w:rFonts w:ascii="Arial" w:hAnsi="Arial" w:cs="Arial"/>
                <w:sz w:val="22"/>
                <w:szCs w:val="22"/>
              </w:rPr>
              <w:lastRenderedPageBreak/>
              <w:t>NÚMERO DE COMENSALES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C781B44" w14:textId="77777777" w:rsidR="00FB45F7" w:rsidRPr="00C0709C" w:rsidRDefault="00FB45F7" w:rsidP="00C0709C">
            <w:pPr>
              <w:keepNext/>
              <w:spacing w:beforeLines="60" w:before="144" w:afterLines="60" w:after="144" w:line="280" w:lineRule="exact"/>
              <w:jc w:val="center"/>
              <w:rPr>
                <w:rFonts w:ascii="Arial" w:hAnsi="Arial" w:cs="Arial"/>
                <w:sz w:val="22"/>
                <w:szCs w:val="22"/>
              </w:rPr>
            </w:pPr>
            <w:r w:rsidRPr="00C0709C">
              <w:rPr>
                <w:rFonts w:ascii="Arial" w:hAnsi="Arial" w:cs="Arial"/>
                <w:sz w:val="22"/>
                <w:szCs w:val="22"/>
              </w:rPr>
              <w:t>PERSONA ENCARGADA DE COMEDOR</w:t>
            </w:r>
          </w:p>
          <w:p w14:paraId="66BAC622" w14:textId="77777777" w:rsidR="00FB45F7" w:rsidRPr="00C0709C" w:rsidRDefault="00FB45F7" w:rsidP="00C0709C">
            <w:pPr>
              <w:keepNext/>
              <w:spacing w:beforeLines="60" w:before="144" w:afterLines="60" w:after="144" w:line="280" w:lineRule="exact"/>
              <w:jc w:val="center"/>
              <w:rPr>
                <w:rFonts w:ascii="Arial" w:hAnsi="Arial" w:cs="Arial"/>
                <w:sz w:val="22"/>
                <w:szCs w:val="22"/>
              </w:rPr>
            </w:pPr>
            <w:r w:rsidRPr="00C0709C">
              <w:rPr>
                <w:rFonts w:ascii="Arial" w:hAnsi="Arial" w:cs="Arial"/>
                <w:sz w:val="22"/>
                <w:szCs w:val="22"/>
              </w:rPr>
              <w:t>EUROS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64FFCAA" w14:textId="77777777" w:rsidR="00FB45F7" w:rsidRPr="00C0709C" w:rsidRDefault="00FB45F7" w:rsidP="00C0709C">
            <w:pPr>
              <w:keepNext/>
              <w:spacing w:beforeLines="60" w:before="144" w:afterLines="60" w:after="144" w:line="280" w:lineRule="exact"/>
              <w:jc w:val="center"/>
              <w:rPr>
                <w:rFonts w:ascii="Arial" w:hAnsi="Arial" w:cs="Arial"/>
                <w:sz w:val="22"/>
                <w:szCs w:val="22"/>
              </w:rPr>
            </w:pPr>
            <w:r w:rsidRPr="00C0709C">
              <w:rPr>
                <w:rFonts w:ascii="Arial" w:hAnsi="Arial" w:cs="Arial"/>
                <w:sz w:val="22"/>
                <w:szCs w:val="22"/>
              </w:rPr>
              <w:t>PERSONA ADMINISTRADORA</w:t>
            </w:r>
          </w:p>
          <w:p w14:paraId="659CD854" w14:textId="77777777" w:rsidR="00FB45F7" w:rsidRPr="00C0709C" w:rsidRDefault="00FB45F7" w:rsidP="00C0709C">
            <w:pPr>
              <w:keepNext/>
              <w:spacing w:beforeLines="60" w:before="144" w:afterLines="60" w:after="144" w:line="280" w:lineRule="exact"/>
              <w:jc w:val="center"/>
              <w:rPr>
                <w:rFonts w:ascii="Arial" w:hAnsi="Arial" w:cs="Arial"/>
                <w:sz w:val="22"/>
                <w:szCs w:val="22"/>
              </w:rPr>
            </w:pPr>
            <w:r w:rsidRPr="00C0709C">
              <w:rPr>
                <w:rFonts w:ascii="Arial" w:hAnsi="Arial" w:cs="Arial"/>
                <w:sz w:val="22"/>
                <w:szCs w:val="22"/>
              </w:rPr>
              <w:t>EUROS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D23EECC" w14:textId="77777777" w:rsidR="00FB45F7" w:rsidRPr="00C0709C" w:rsidRDefault="00FB45F7" w:rsidP="00C0709C">
            <w:pPr>
              <w:keepNext/>
              <w:spacing w:beforeLines="60" w:before="144" w:afterLines="60" w:after="144" w:line="280" w:lineRule="exact"/>
              <w:jc w:val="center"/>
              <w:rPr>
                <w:rFonts w:ascii="Arial" w:hAnsi="Arial" w:cs="Arial"/>
                <w:sz w:val="22"/>
                <w:szCs w:val="22"/>
              </w:rPr>
            </w:pPr>
            <w:r w:rsidRPr="00C0709C">
              <w:rPr>
                <w:rFonts w:ascii="Arial" w:hAnsi="Arial" w:cs="Arial"/>
                <w:sz w:val="22"/>
                <w:szCs w:val="22"/>
              </w:rPr>
              <w:t>POR CADA PERSONA CUIDADORA</w:t>
            </w:r>
          </w:p>
          <w:p w14:paraId="768CF19B" w14:textId="77777777" w:rsidR="00FB45F7" w:rsidRPr="00C0709C" w:rsidRDefault="00FB45F7" w:rsidP="00C0709C">
            <w:pPr>
              <w:keepNext/>
              <w:spacing w:beforeLines="60" w:before="144" w:afterLines="60" w:after="144" w:line="280" w:lineRule="exact"/>
              <w:jc w:val="center"/>
              <w:rPr>
                <w:rFonts w:ascii="Arial" w:hAnsi="Arial" w:cs="Arial"/>
                <w:sz w:val="22"/>
                <w:szCs w:val="22"/>
              </w:rPr>
            </w:pPr>
            <w:r w:rsidRPr="00C0709C">
              <w:rPr>
                <w:rFonts w:ascii="Arial" w:hAnsi="Arial" w:cs="Arial"/>
                <w:sz w:val="22"/>
                <w:szCs w:val="22"/>
              </w:rPr>
              <w:t>EUROS</w:t>
            </w:r>
          </w:p>
        </w:tc>
      </w:tr>
      <w:tr w:rsidR="00FB45F7" w:rsidRPr="00C0709C" w14:paraId="40FB40A0" w14:textId="77777777" w:rsidTr="00F4450D">
        <w:trPr>
          <w:trHeight w:hRule="exact" w:val="56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80BCEE4" w14:textId="77777777" w:rsidR="00FB45F7" w:rsidRPr="00C0709C" w:rsidRDefault="00FB45F7" w:rsidP="00C0709C">
            <w:pPr>
              <w:keepNext/>
              <w:spacing w:beforeLines="60" w:before="144" w:afterLines="60" w:after="144" w:line="280" w:lineRule="exact"/>
              <w:jc w:val="center"/>
              <w:rPr>
                <w:rFonts w:ascii="Arial" w:hAnsi="Arial" w:cs="Arial"/>
                <w:sz w:val="22"/>
                <w:szCs w:val="22"/>
              </w:rPr>
            </w:pPr>
            <w:r w:rsidRPr="00C0709C">
              <w:rPr>
                <w:rFonts w:ascii="Arial" w:hAnsi="Arial" w:cs="Arial"/>
                <w:sz w:val="22"/>
                <w:szCs w:val="22"/>
              </w:rPr>
              <w:t>1-80</w:t>
            </w:r>
          </w:p>
        </w:tc>
        <w:tc>
          <w:tcPr>
            <w:tcW w:w="2268" w:type="dxa"/>
            <w:tcBorders>
              <w:top w:val="nil"/>
              <w:left w:val="nil"/>
              <w:bottom w:val="single" w:sz="4" w:space="0" w:color="auto"/>
              <w:right w:val="single" w:sz="4" w:space="0" w:color="auto"/>
            </w:tcBorders>
            <w:shd w:val="clear" w:color="auto" w:fill="auto"/>
            <w:noWrap/>
            <w:vAlign w:val="center"/>
            <w:hideMark/>
          </w:tcPr>
          <w:p w14:paraId="080CD799" w14:textId="77777777" w:rsidR="00FB45F7" w:rsidRPr="00C0709C" w:rsidRDefault="00FB45F7" w:rsidP="00C0709C">
            <w:pPr>
              <w:keepNext/>
              <w:spacing w:beforeLines="60" w:before="144" w:afterLines="60" w:after="144" w:line="280" w:lineRule="exact"/>
              <w:jc w:val="center"/>
              <w:rPr>
                <w:rFonts w:ascii="Arial" w:hAnsi="Arial" w:cs="Arial"/>
                <w:sz w:val="22"/>
                <w:szCs w:val="22"/>
              </w:rPr>
            </w:pPr>
            <w:r w:rsidRPr="00C0709C">
              <w:rPr>
                <w:rFonts w:ascii="Arial" w:hAnsi="Arial" w:cs="Arial"/>
                <w:sz w:val="22"/>
                <w:szCs w:val="22"/>
              </w:rPr>
              <w:t>18,72</w:t>
            </w:r>
          </w:p>
        </w:tc>
        <w:tc>
          <w:tcPr>
            <w:tcW w:w="2410" w:type="dxa"/>
            <w:tcBorders>
              <w:top w:val="nil"/>
              <w:left w:val="nil"/>
              <w:bottom w:val="single" w:sz="4" w:space="0" w:color="auto"/>
              <w:right w:val="single" w:sz="4" w:space="0" w:color="auto"/>
            </w:tcBorders>
            <w:shd w:val="clear" w:color="auto" w:fill="auto"/>
            <w:noWrap/>
            <w:vAlign w:val="center"/>
            <w:hideMark/>
          </w:tcPr>
          <w:p w14:paraId="6FB7C918" w14:textId="77777777" w:rsidR="00FB45F7" w:rsidRPr="00C0709C" w:rsidRDefault="00FB45F7" w:rsidP="00C0709C">
            <w:pPr>
              <w:keepNext/>
              <w:spacing w:beforeLines="60" w:before="144" w:afterLines="60" w:after="144" w:line="280" w:lineRule="exact"/>
              <w:jc w:val="center"/>
              <w:rPr>
                <w:rFonts w:ascii="Arial" w:hAnsi="Arial" w:cs="Arial"/>
                <w:sz w:val="22"/>
                <w:szCs w:val="22"/>
              </w:rPr>
            </w:pPr>
            <w:r w:rsidRPr="00C0709C">
              <w:rPr>
                <w:rFonts w:ascii="Arial" w:hAnsi="Arial" w:cs="Arial"/>
                <w:sz w:val="22"/>
                <w:szCs w:val="22"/>
              </w:rPr>
              <w:t>16,54</w:t>
            </w:r>
          </w:p>
        </w:tc>
        <w:tc>
          <w:tcPr>
            <w:tcW w:w="1843" w:type="dxa"/>
            <w:tcBorders>
              <w:top w:val="nil"/>
              <w:left w:val="nil"/>
              <w:bottom w:val="single" w:sz="4" w:space="0" w:color="auto"/>
              <w:right w:val="single" w:sz="4" w:space="0" w:color="auto"/>
            </w:tcBorders>
            <w:shd w:val="clear" w:color="auto" w:fill="auto"/>
            <w:noWrap/>
            <w:vAlign w:val="center"/>
            <w:hideMark/>
          </w:tcPr>
          <w:p w14:paraId="78AA869D" w14:textId="77777777" w:rsidR="00FB45F7" w:rsidRPr="00C0709C" w:rsidRDefault="00FB45F7" w:rsidP="00C0709C">
            <w:pPr>
              <w:keepNext/>
              <w:spacing w:beforeLines="60" w:before="144" w:afterLines="60" w:after="144" w:line="280" w:lineRule="exact"/>
              <w:jc w:val="center"/>
              <w:rPr>
                <w:rFonts w:ascii="Arial" w:hAnsi="Arial" w:cs="Arial"/>
                <w:sz w:val="22"/>
                <w:szCs w:val="22"/>
              </w:rPr>
            </w:pPr>
            <w:r w:rsidRPr="00C0709C">
              <w:rPr>
                <w:rFonts w:ascii="Arial" w:hAnsi="Arial" w:cs="Arial"/>
                <w:sz w:val="22"/>
                <w:szCs w:val="22"/>
              </w:rPr>
              <w:t>18,72</w:t>
            </w:r>
          </w:p>
        </w:tc>
      </w:tr>
      <w:tr w:rsidR="00FB45F7" w:rsidRPr="00C0709C" w14:paraId="34461400" w14:textId="77777777" w:rsidTr="00F4450D">
        <w:trPr>
          <w:trHeight w:hRule="exact" w:val="56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01EB2341" w14:textId="77777777" w:rsidR="00FB45F7" w:rsidRPr="00C0709C" w:rsidRDefault="00FB45F7" w:rsidP="00C0709C">
            <w:pPr>
              <w:keepNext/>
              <w:spacing w:beforeLines="60" w:before="144" w:afterLines="60" w:after="144" w:line="280" w:lineRule="exact"/>
              <w:jc w:val="center"/>
              <w:rPr>
                <w:rFonts w:ascii="Arial" w:hAnsi="Arial" w:cs="Arial"/>
                <w:sz w:val="22"/>
                <w:szCs w:val="22"/>
              </w:rPr>
            </w:pPr>
            <w:r w:rsidRPr="00C0709C">
              <w:rPr>
                <w:rFonts w:ascii="Arial" w:hAnsi="Arial" w:cs="Arial"/>
                <w:sz w:val="22"/>
                <w:szCs w:val="22"/>
              </w:rPr>
              <w:t>81-160</w:t>
            </w:r>
          </w:p>
        </w:tc>
        <w:tc>
          <w:tcPr>
            <w:tcW w:w="2268" w:type="dxa"/>
            <w:tcBorders>
              <w:top w:val="nil"/>
              <w:left w:val="nil"/>
              <w:bottom w:val="single" w:sz="4" w:space="0" w:color="auto"/>
              <w:right w:val="single" w:sz="4" w:space="0" w:color="auto"/>
            </w:tcBorders>
            <w:shd w:val="clear" w:color="auto" w:fill="auto"/>
            <w:noWrap/>
            <w:vAlign w:val="center"/>
            <w:hideMark/>
          </w:tcPr>
          <w:p w14:paraId="34B42205" w14:textId="77777777" w:rsidR="00FB45F7" w:rsidRPr="00C0709C" w:rsidRDefault="00FB45F7" w:rsidP="00C0709C">
            <w:pPr>
              <w:keepNext/>
              <w:spacing w:beforeLines="60" w:before="144" w:afterLines="60" w:after="144" w:line="280" w:lineRule="exact"/>
              <w:jc w:val="center"/>
              <w:rPr>
                <w:rFonts w:ascii="Arial" w:hAnsi="Arial" w:cs="Arial"/>
                <w:sz w:val="22"/>
                <w:szCs w:val="22"/>
              </w:rPr>
            </w:pPr>
            <w:r w:rsidRPr="00C0709C">
              <w:rPr>
                <w:rFonts w:ascii="Arial" w:hAnsi="Arial" w:cs="Arial"/>
                <w:sz w:val="22"/>
                <w:szCs w:val="22"/>
              </w:rPr>
              <w:t>20,89</w:t>
            </w:r>
          </w:p>
        </w:tc>
        <w:tc>
          <w:tcPr>
            <w:tcW w:w="2410" w:type="dxa"/>
            <w:tcBorders>
              <w:top w:val="nil"/>
              <w:left w:val="nil"/>
              <w:bottom w:val="single" w:sz="4" w:space="0" w:color="auto"/>
              <w:right w:val="single" w:sz="4" w:space="0" w:color="auto"/>
            </w:tcBorders>
            <w:shd w:val="clear" w:color="auto" w:fill="auto"/>
            <w:noWrap/>
            <w:vAlign w:val="center"/>
            <w:hideMark/>
          </w:tcPr>
          <w:p w14:paraId="7D89F680" w14:textId="77777777" w:rsidR="00FB45F7" w:rsidRPr="00C0709C" w:rsidRDefault="00FB45F7" w:rsidP="00C0709C">
            <w:pPr>
              <w:keepNext/>
              <w:spacing w:beforeLines="60" w:before="144" w:afterLines="60" w:after="144" w:line="280" w:lineRule="exact"/>
              <w:jc w:val="center"/>
              <w:rPr>
                <w:rFonts w:ascii="Arial" w:hAnsi="Arial" w:cs="Arial"/>
                <w:sz w:val="22"/>
                <w:szCs w:val="22"/>
              </w:rPr>
            </w:pPr>
            <w:r w:rsidRPr="00C0709C">
              <w:rPr>
                <w:rFonts w:ascii="Arial" w:hAnsi="Arial" w:cs="Arial"/>
                <w:sz w:val="22"/>
                <w:szCs w:val="22"/>
              </w:rPr>
              <w:t>16,54</w:t>
            </w:r>
          </w:p>
        </w:tc>
        <w:tc>
          <w:tcPr>
            <w:tcW w:w="1843" w:type="dxa"/>
            <w:tcBorders>
              <w:top w:val="nil"/>
              <w:left w:val="nil"/>
              <w:bottom w:val="single" w:sz="4" w:space="0" w:color="auto"/>
              <w:right w:val="single" w:sz="4" w:space="0" w:color="auto"/>
            </w:tcBorders>
            <w:shd w:val="clear" w:color="auto" w:fill="auto"/>
            <w:noWrap/>
            <w:vAlign w:val="center"/>
            <w:hideMark/>
          </w:tcPr>
          <w:p w14:paraId="30C297CB" w14:textId="77777777" w:rsidR="00FB45F7" w:rsidRPr="00C0709C" w:rsidRDefault="00FB45F7" w:rsidP="00C0709C">
            <w:pPr>
              <w:keepNext/>
              <w:spacing w:beforeLines="60" w:before="144" w:afterLines="60" w:after="144" w:line="280" w:lineRule="exact"/>
              <w:jc w:val="center"/>
              <w:rPr>
                <w:rFonts w:ascii="Arial" w:hAnsi="Arial" w:cs="Arial"/>
                <w:sz w:val="22"/>
                <w:szCs w:val="22"/>
              </w:rPr>
            </w:pPr>
            <w:r w:rsidRPr="00C0709C">
              <w:rPr>
                <w:rFonts w:ascii="Arial" w:hAnsi="Arial" w:cs="Arial"/>
                <w:sz w:val="22"/>
                <w:szCs w:val="22"/>
              </w:rPr>
              <w:t>18,72</w:t>
            </w:r>
          </w:p>
        </w:tc>
      </w:tr>
      <w:tr w:rsidR="00FB45F7" w:rsidRPr="00C0709C" w14:paraId="6954C97A" w14:textId="77777777" w:rsidTr="00F4450D">
        <w:trPr>
          <w:trHeight w:hRule="exact" w:val="56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7F7A01E3" w14:textId="77777777" w:rsidR="00FB45F7" w:rsidRPr="00C0709C" w:rsidRDefault="00FB45F7" w:rsidP="00C0709C">
            <w:pPr>
              <w:keepNext/>
              <w:spacing w:beforeLines="60" w:before="144" w:afterLines="60" w:after="144" w:line="280" w:lineRule="exact"/>
              <w:jc w:val="center"/>
              <w:rPr>
                <w:rFonts w:ascii="Arial" w:hAnsi="Arial" w:cs="Arial"/>
                <w:sz w:val="22"/>
                <w:szCs w:val="22"/>
              </w:rPr>
            </w:pPr>
            <w:r w:rsidRPr="00C0709C">
              <w:rPr>
                <w:rFonts w:ascii="Arial" w:hAnsi="Arial" w:cs="Arial"/>
                <w:sz w:val="22"/>
                <w:szCs w:val="22"/>
              </w:rPr>
              <w:t>161-240</w:t>
            </w:r>
          </w:p>
        </w:tc>
        <w:tc>
          <w:tcPr>
            <w:tcW w:w="2268" w:type="dxa"/>
            <w:tcBorders>
              <w:top w:val="nil"/>
              <w:left w:val="nil"/>
              <w:bottom w:val="single" w:sz="4" w:space="0" w:color="auto"/>
              <w:right w:val="single" w:sz="4" w:space="0" w:color="auto"/>
            </w:tcBorders>
            <w:shd w:val="clear" w:color="auto" w:fill="auto"/>
            <w:noWrap/>
            <w:vAlign w:val="center"/>
            <w:hideMark/>
          </w:tcPr>
          <w:p w14:paraId="06A76305" w14:textId="77777777" w:rsidR="00FB45F7" w:rsidRPr="00C0709C" w:rsidRDefault="00FB45F7" w:rsidP="00C0709C">
            <w:pPr>
              <w:keepNext/>
              <w:spacing w:beforeLines="60" w:before="144" w:afterLines="60" w:after="144" w:line="280" w:lineRule="exact"/>
              <w:jc w:val="center"/>
              <w:rPr>
                <w:rFonts w:ascii="Arial" w:hAnsi="Arial" w:cs="Arial"/>
                <w:sz w:val="22"/>
                <w:szCs w:val="22"/>
              </w:rPr>
            </w:pPr>
            <w:r w:rsidRPr="00C0709C">
              <w:rPr>
                <w:rFonts w:ascii="Arial" w:hAnsi="Arial" w:cs="Arial"/>
                <w:sz w:val="22"/>
                <w:szCs w:val="22"/>
              </w:rPr>
              <w:t>22,41</w:t>
            </w:r>
          </w:p>
        </w:tc>
        <w:tc>
          <w:tcPr>
            <w:tcW w:w="2410" w:type="dxa"/>
            <w:tcBorders>
              <w:top w:val="nil"/>
              <w:left w:val="nil"/>
              <w:bottom w:val="single" w:sz="4" w:space="0" w:color="auto"/>
              <w:right w:val="single" w:sz="4" w:space="0" w:color="auto"/>
            </w:tcBorders>
            <w:shd w:val="clear" w:color="auto" w:fill="auto"/>
            <w:noWrap/>
            <w:vAlign w:val="center"/>
            <w:hideMark/>
          </w:tcPr>
          <w:p w14:paraId="5E8E6C8A" w14:textId="77777777" w:rsidR="00FB45F7" w:rsidRPr="00C0709C" w:rsidRDefault="00FB45F7" w:rsidP="00C0709C">
            <w:pPr>
              <w:keepNext/>
              <w:spacing w:beforeLines="60" w:before="144" w:afterLines="60" w:after="144" w:line="280" w:lineRule="exact"/>
              <w:jc w:val="center"/>
              <w:rPr>
                <w:rFonts w:ascii="Arial" w:hAnsi="Arial" w:cs="Arial"/>
                <w:sz w:val="22"/>
                <w:szCs w:val="22"/>
              </w:rPr>
            </w:pPr>
            <w:r w:rsidRPr="00C0709C">
              <w:rPr>
                <w:rFonts w:ascii="Arial" w:hAnsi="Arial" w:cs="Arial"/>
                <w:sz w:val="22"/>
                <w:szCs w:val="22"/>
              </w:rPr>
              <w:t>18,54</w:t>
            </w:r>
          </w:p>
        </w:tc>
        <w:tc>
          <w:tcPr>
            <w:tcW w:w="1843" w:type="dxa"/>
            <w:tcBorders>
              <w:top w:val="nil"/>
              <w:left w:val="nil"/>
              <w:bottom w:val="single" w:sz="4" w:space="0" w:color="auto"/>
              <w:right w:val="single" w:sz="4" w:space="0" w:color="auto"/>
            </w:tcBorders>
            <w:shd w:val="clear" w:color="auto" w:fill="auto"/>
            <w:noWrap/>
            <w:vAlign w:val="center"/>
            <w:hideMark/>
          </w:tcPr>
          <w:p w14:paraId="18E6CD0A" w14:textId="77777777" w:rsidR="00FB45F7" w:rsidRPr="00C0709C" w:rsidRDefault="00FB45F7" w:rsidP="00C0709C">
            <w:pPr>
              <w:keepNext/>
              <w:spacing w:beforeLines="60" w:before="144" w:afterLines="60" w:after="144" w:line="280" w:lineRule="exact"/>
              <w:jc w:val="center"/>
              <w:rPr>
                <w:rFonts w:ascii="Arial" w:hAnsi="Arial" w:cs="Arial"/>
                <w:sz w:val="22"/>
                <w:szCs w:val="22"/>
              </w:rPr>
            </w:pPr>
            <w:r w:rsidRPr="00C0709C">
              <w:rPr>
                <w:rFonts w:ascii="Arial" w:hAnsi="Arial" w:cs="Arial"/>
                <w:sz w:val="22"/>
                <w:szCs w:val="22"/>
              </w:rPr>
              <w:t>18,72</w:t>
            </w:r>
          </w:p>
        </w:tc>
      </w:tr>
      <w:tr w:rsidR="00FB45F7" w:rsidRPr="00C0709C" w14:paraId="7108B824" w14:textId="77777777" w:rsidTr="00F4450D">
        <w:trPr>
          <w:trHeight w:hRule="exact" w:val="56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74C24D25" w14:textId="77777777" w:rsidR="00FB45F7" w:rsidRPr="00C0709C" w:rsidRDefault="00FB45F7" w:rsidP="00C0709C">
            <w:pPr>
              <w:keepNext/>
              <w:spacing w:beforeLines="60" w:before="144" w:afterLines="60" w:after="144" w:line="280" w:lineRule="exact"/>
              <w:jc w:val="center"/>
              <w:rPr>
                <w:rFonts w:ascii="Arial" w:hAnsi="Arial" w:cs="Arial"/>
                <w:sz w:val="22"/>
                <w:szCs w:val="22"/>
              </w:rPr>
            </w:pPr>
            <w:r w:rsidRPr="00C0709C">
              <w:rPr>
                <w:rFonts w:ascii="Arial" w:hAnsi="Arial" w:cs="Arial"/>
                <w:sz w:val="22"/>
                <w:szCs w:val="22"/>
              </w:rPr>
              <w:t>Más de 240</w:t>
            </w:r>
          </w:p>
        </w:tc>
        <w:tc>
          <w:tcPr>
            <w:tcW w:w="2268" w:type="dxa"/>
            <w:tcBorders>
              <w:top w:val="nil"/>
              <w:left w:val="nil"/>
              <w:bottom w:val="single" w:sz="4" w:space="0" w:color="auto"/>
              <w:right w:val="single" w:sz="4" w:space="0" w:color="auto"/>
            </w:tcBorders>
            <w:shd w:val="clear" w:color="auto" w:fill="auto"/>
            <w:noWrap/>
            <w:vAlign w:val="center"/>
            <w:hideMark/>
          </w:tcPr>
          <w:p w14:paraId="5D167FFF" w14:textId="77777777" w:rsidR="00FB45F7" w:rsidRPr="00C0709C" w:rsidRDefault="00FB45F7" w:rsidP="00C0709C">
            <w:pPr>
              <w:keepNext/>
              <w:spacing w:beforeLines="60" w:before="144" w:afterLines="60" w:after="144" w:line="280" w:lineRule="exact"/>
              <w:jc w:val="center"/>
              <w:rPr>
                <w:rFonts w:ascii="Arial" w:hAnsi="Arial" w:cs="Arial"/>
                <w:sz w:val="22"/>
                <w:szCs w:val="22"/>
              </w:rPr>
            </w:pPr>
            <w:r w:rsidRPr="00C0709C">
              <w:rPr>
                <w:rFonts w:ascii="Arial" w:hAnsi="Arial" w:cs="Arial"/>
                <w:sz w:val="22"/>
                <w:szCs w:val="22"/>
              </w:rPr>
              <w:t>23,18</w:t>
            </w:r>
          </w:p>
        </w:tc>
        <w:tc>
          <w:tcPr>
            <w:tcW w:w="2410" w:type="dxa"/>
            <w:tcBorders>
              <w:top w:val="nil"/>
              <w:left w:val="nil"/>
              <w:bottom w:val="single" w:sz="4" w:space="0" w:color="auto"/>
              <w:right w:val="single" w:sz="4" w:space="0" w:color="auto"/>
            </w:tcBorders>
            <w:shd w:val="clear" w:color="auto" w:fill="auto"/>
            <w:noWrap/>
            <w:vAlign w:val="center"/>
            <w:hideMark/>
          </w:tcPr>
          <w:p w14:paraId="433947B5" w14:textId="77777777" w:rsidR="00FB45F7" w:rsidRPr="00C0709C" w:rsidRDefault="00FB45F7" w:rsidP="00C0709C">
            <w:pPr>
              <w:keepNext/>
              <w:spacing w:beforeLines="60" w:before="144" w:afterLines="60" w:after="144" w:line="280" w:lineRule="exact"/>
              <w:jc w:val="center"/>
              <w:rPr>
                <w:rFonts w:ascii="Arial" w:hAnsi="Arial" w:cs="Arial"/>
                <w:sz w:val="22"/>
                <w:szCs w:val="22"/>
              </w:rPr>
            </w:pPr>
            <w:r w:rsidRPr="00C0709C">
              <w:rPr>
                <w:rFonts w:ascii="Arial" w:hAnsi="Arial" w:cs="Arial"/>
                <w:sz w:val="22"/>
                <w:szCs w:val="22"/>
              </w:rPr>
              <w:t>21,24</w:t>
            </w:r>
          </w:p>
        </w:tc>
        <w:tc>
          <w:tcPr>
            <w:tcW w:w="1843" w:type="dxa"/>
            <w:tcBorders>
              <w:top w:val="nil"/>
              <w:left w:val="nil"/>
              <w:bottom w:val="single" w:sz="4" w:space="0" w:color="auto"/>
              <w:right w:val="single" w:sz="4" w:space="0" w:color="auto"/>
            </w:tcBorders>
            <w:shd w:val="clear" w:color="auto" w:fill="auto"/>
            <w:noWrap/>
            <w:vAlign w:val="center"/>
            <w:hideMark/>
          </w:tcPr>
          <w:p w14:paraId="0780BE14" w14:textId="77777777" w:rsidR="00FB45F7" w:rsidRPr="00C0709C" w:rsidRDefault="00FB45F7" w:rsidP="00C0709C">
            <w:pPr>
              <w:keepNext/>
              <w:spacing w:beforeLines="60" w:before="144" w:afterLines="60" w:after="144" w:line="280" w:lineRule="exact"/>
              <w:jc w:val="center"/>
              <w:rPr>
                <w:rFonts w:ascii="Arial" w:hAnsi="Arial" w:cs="Arial"/>
                <w:sz w:val="22"/>
                <w:szCs w:val="22"/>
              </w:rPr>
            </w:pPr>
            <w:r w:rsidRPr="00C0709C">
              <w:rPr>
                <w:rFonts w:ascii="Arial" w:hAnsi="Arial" w:cs="Arial"/>
                <w:sz w:val="22"/>
                <w:szCs w:val="22"/>
              </w:rPr>
              <w:t>18,72</w:t>
            </w:r>
          </w:p>
        </w:tc>
      </w:tr>
    </w:tbl>
    <w:bookmarkEnd w:id="1"/>
    <w:p w14:paraId="22F6E285" w14:textId="0A22AE35" w:rsidR="00884DB1" w:rsidRPr="00C0709C" w:rsidRDefault="00884DB1" w:rsidP="00C0709C">
      <w:pPr>
        <w:pStyle w:val="DICTA-TEXTO"/>
        <w:spacing w:beforeLines="60" w:before="144" w:afterLines="60" w:after="144" w:line="280" w:lineRule="exact"/>
        <w:rPr>
          <w:rFonts w:cs="Arial"/>
          <w:sz w:val="22"/>
          <w:szCs w:val="22"/>
          <w:lang w:val="es-ES_tradnl"/>
        </w:rPr>
      </w:pPr>
      <w:r w:rsidRPr="00C0709C">
        <w:rPr>
          <w:rFonts w:cs="Arial"/>
          <w:b/>
          <w:bCs/>
          <w:sz w:val="22"/>
          <w:szCs w:val="22"/>
          <w:lang w:val="es-ES_tradnl"/>
        </w:rPr>
        <w:t>Artículo 13.</w:t>
      </w:r>
      <w:r w:rsidRPr="00C0709C">
        <w:rPr>
          <w:rFonts w:cs="Arial"/>
          <w:sz w:val="22"/>
          <w:szCs w:val="22"/>
          <w:lang w:val="es-ES_tradnl"/>
        </w:rPr>
        <w:t xml:space="preserve"> </w:t>
      </w:r>
      <w:r w:rsidR="007A102B" w:rsidRPr="00C0709C">
        <w:rPr>
          <w:rFonts w:cs="Arial"/>
          <w:sz w:val="22"/>
          <w:szCs w:val="22"/>
          <w:lang w:val="es-ES_tradnl"/>
        </w:rPr>
        <w:t>Compensación económica por impartir formación al personal docente.</w:t>
      </w:r>
    </w:p>
    <w:p w14:paraId="3BEC7A7B" w14:textId="77777777" w:rsidR="007A102B" w:rsidRPr="00C0709C" w:rsidRDefault="007A102B"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1. El personal de la Administración de la Comunidad Foral de Navarra y sus organismos autónomos podrá percibir compensación económica por impartir alguna de las actividades formativas recogidas en el Plan de Formación del Profesorado que cada año elabora el Departamento de Educación o de las organizadas directamente por la Dirección General de Formación Profesional, Digitalización y Servicios Educativos, por la Dirección General de Educación o por los Centros de Apoyo al Profesorado, siempre y cuando realice esta tarea fuera de su jornada de trabajo. Dichas compensaciones serán las siguientes:</w:t>
      </w:r>
    </w:p>
    <w:p w14:paraId="40AFE917" w14:textId="77777777" w:rsidR="007A102B" w:rsidRPr="00C0709C" w:rsidRDefault="007A102B"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Formación presencial:</w:t>
      </w:r>
    </w:p>
    <w:p w14:paraId="5C2E540A" w14:textId="77777777" w:rsidR="007A102B" w:rsidRPr="00C0709C" w:rsidRDefault="007A102B"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a.1 La ponencia, entendiendo por ella la hora lectiva de desarrollo de una persona experta en una actividad formativa, será retribuida con un importe de hasta 61,03 euros.</w:t>
      </w:r>
    </w:p>
    <w:p w14:paraId="54DD4F5D" w14:textId="77777777" w:rsidR="007A102B" w:rsidRPr="00C0709C" w:rsidRDefault="007A102B"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a.2 La conferencia, entendiendo por ella la disertación en público de una persona especialista sobre un tema científico, tecnológico o humanístico de interés, con una duración mínima de 90 minutos, será retribuida hasta un máximo de 372,61 euros.</w:t>
      </w:r>
    </w:p>
    <w:p w14:paraId="660ABDEE" w14:textId="77777777" w:rsidR="007A102B" w:rsidRPr="00C0709C" w:rsidRDefault="007A102B"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Formación a distancia:</w:t>
      </w:r>
    </w:p>
    <w:p w14:paraId="412D5347" w14:textId="77777777" w:rsidR="007A102B" w:rsidRPr="00C0709C" w:rsidRDefault="007A102B"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b.1 La participación en actividades de formación a distancia en calidad de personal coordinador telemático será retribuida hasta un máximo de 1.080,58 euros por la coordinación de cinco personas tutoras. En el caso de que este número sea inferior a cinco, la retribución correspondiente se calculará de forma proporcional. En el caso de que exceda de cinco, por cada persona tutora a partir de la quinta, el personal coordinador telemático será retribuido con 101,30 euros.</w:t>
      </w:r>
    </w:p>
    <w:p w14:paraId="00AB1A6C" w14:textId="77777777" w:rsidR="007A102B" w:rsidRPr="00C0709C" w:rsidRDefault="007A102B"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b.2 La participación en actividades de formación a distancia en calidad de personal tutor telemático será retribuida hasta un máximo de 48,40 euros por cada alumno/a tutorizado.</w:t>
      </w:r>
    </w:p>
    <w:p w14:paraId="7C70F625" w14:textId="77777777" w:rsidR="007A102B" w:rsidRPr="00C0709C" w:rsidRDefault="007A102B"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2. Lo dispuesto en el apartado anterior no será de aplicación al personal docente destinado en los Centros de Apoyo al Profesorado o en las unidades orgánicas que diseñan y desarrollan actividades de formación de enseñanzas no universitarias.</w:t>
      </w:r>
    </w:p>
    <w:p w14:paraId="56182D95" w14:textId="77777777" w:rsidR="007A102B" w:rsidRPr="00C0709C" w:rsidRDefault="007A102B"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3. Las cuantías previstas en el presente artículo se actualizarán en el mismo porcentaje en que se actualicen las retribuciones del personal funcionario y estatutario de las </w:t>
      </w:r>
      <w:r w:rsidRPr="00C0709C">
        <w:rPr>
          <w:rFonts w:cs="Arial"/>
          <w:sz w:val="22"/>
          <w:szCs w:val="22"/>
          <w:lang w:val="es-ES_tradnl"/>
        </w:rPr>
        <w:lastRenderedPageBreak/>
        <w:t>Administraciones Públicas de Navarra, en las correspondientes Leyes Forales de Presupuestos.</w:t>
      </w:r>
    </w:p>
    <w:p w14:paraId="3842A295" w14:textId="77777777" w:rsidR="007A102B" w:rsidRPr="00C0709C" w:rsidRDefault="007A102B"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Artículo 14.</w:t>
      </w:r>
      <w:r w:rsidRPr="00C0709C">
        <w:rPr>
          <w:rFonts w:cs="Arial"/>
          <w:sz w:val="22"/>
          <w:szCs w:val="22"/>
          <w:lang w:val="es-ES_tradnl"/>
        </w:rPr>
        <w:t xml:space="preserve"> Retribuciones y complementos del Conservatorio Superior de Música de Navarra.</w:t>
      </w:r>
    </w:p>
    <w:p w14:paraId="685C6BC0" w14:textId="77777777" w:rsidR="007A102B" w:rsidRPr="00C0709C" w:rsidRDefault="007A102B"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1. El complemento específico docente asignado a aquellas personas docentes de Música y Artes Escénicas que impartan la totalidad de su horario lectivo en el Conservatorio Superior de Música de Navarra será idéntico al que perciba el personal funcionario del Cuerpo de Catedráticos/as de Música y Artes Escénicas.</w:t>
      </w:r>
    </w:p>
    <w:p w14:paraId="2B818974" w14:textId="77777777" w:rsidR="007A102B" w:rsidRPr="00C0709C" w:rsidRDefault="007A102B"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2. El personal docente de Música y Artes Escénicas que desempeñe parte de su horario en el Conservatorio Superior de Música de Navarra percibirá, en proporción al porcentaje de jornada desarrollado en este último centro, la diferencia existente entre el complemento específico docente asignado a los Catedráticos/as de Música y Artes Escénicas y el propio del Cuerpo Docente de Música y Artes Escénicas.</w:t>
      </w:r>
    </w:p>
    <w:p w14:paraId="7322B65B" w14:textId="77777777" w:rsidR="007A102B" w:rsidRPr="00C0709C" w:rsidRDefault="007A102B"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Artículo 15.</w:t>
      </w:r>
      <w:r w:rsidRPr="00C0709C">
        <w:rPr>
          <w:rFonts w:cs="Arial"/>
          <w:sz w:val="22"/>
          <w:szCs w:val="22"/>
          <w:lang w:val="es-ES_tradnl"/>
        </w:rPr>
        <w:t xml:space="preserve"> Indemnización por kilometraje al profesorado asistente a actividades formativas.</w:t>
      </w:r>
    </w:p>
    <w:p w14:paraId="34172CD1" w14:textId="77777777" w:rsidR="007A102B" w:rsidRPr="00C0709C" w:rsidRDefault="007A102B"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Tendrá derecho a percibir indemnización por kilometraje el profesorado asistente por designación expresa de la Administración educativa a actividades formativas convocadas mediante Resolución de la persona titular de la Dirección General de Formación Profesional, Digitalización y Servicios Educativos o de la Dirección General de Educación, siempre que dicho derecho sea contemplado de forma expresa en la correspondiente resolución.</w:t>
      </w:r>
    </w:p>
    <w:p w14:paraId="5F1172B1" w14:textId="77777777" w:rsidR="007A102B" w:rsidRPr="00C0709C" w:rsidRDefault="007A102B"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Artículo 16.</w:t>
      </w:r>
      <w:r w:rsidRPr="00C0709C">
        <w:rPr>
          <w:rFonts w:cs="Arial"/>
          <w:sz w:val="22"/>
          <w:szCs w:val="22"/>
          <w:lang w:val="es-ES_tradnl"/>
        </w:rPr>
        <w:t xml:space="preserve"> Retribuciones del personal funcionario en prácticas docentes.</w:t>
      </w:r>
    </w:p>
    <w:p w14:paraId="669340B1" w14:textId="77777777" w:rsidR="007A102B" w:rsidRPr="00C0709C" w:rsidRDefault="007A102B"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Las personas aspirantes al ingreso y acceso a los Cuerpos docentes que sean nombradas personal funcionario en prácticas percibirán, mientras dure su condición, las siguientes retribuciones: el sueldo básico del nivel y las retribuciones complementarias del puesto de trabajo que desempeñen, así como el premio de antigüedad, la retribución correspondiente al grado, la ayuda familiar y cualesquiera otras retribuciones que se establezcan con carácter general para el personal contratado en régimen administrativo de la Administración de la Comunidad Foral de Navarra.</w:t>
      </w:r>
    </w:p>
    <w:p w14:paraId="56489404" w14:textId="77777777" w:rsidR="007A102B" w:rsidRPr="00C0709C" w:rsidRDefault="007A102B"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Artículo 17</w:t>
      </w:r>
      <w:r w:rsidRPr="00C0709C">
        <w:rPr>
          <w:rFonts w:cs="Arial"/>
          <w:sz w:val="22"/>
          <w:szCs w:val="22"/>
          <w:lang w:val="es-ES_tradnl"/>
        </w:rPr>
        <w:t>. Compensaciones retributivas a los empleados públicos docentes que intervienen en los procedimientos de evaluación, reconocimiento y acreditación de las competencias profesionales.</w:t>
      </w:r>
    </w:p>
    <w:p w14:paraId="318324EF" w14:textId="77777777" w:rsidR="007A102B" w:rsidRPr="00C0709C" w:rsidRDefault="007A102B"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1. El personal docente al servicio de la Administración de la Comunidad Foral de Navarra y sus organismos autónomos que sea designado para intervenir en las fases de asesoramiento o evaluación de los procedimientos de acreditación de la competencia profesional que sea convocado por los departamentos con competencias en la materia, conforme a lo regulado en el Decreto Foral 66/2014, por el que se establecen las normas para la implantación en la Comunidad Foral del procedimiento de evaluación y acreditación de las competencias profesionales adquiridas por las personas a través de la experiencia laboral o de otras vías no formales de formación, y la estructura organizativa responsable del mismo, tendrá derecho a percibir las siguientes retribuciones:</w:t>
      </w:r>
    </w:p>
    <w:p w14:paraId="3E62820E" w14:textId="77777777" w:rsidR="007A102B" w:rsidRPr="00C0709C" w:rsidRDefault="007A102B"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a) Personas asesoras del procedimiento de acreditación:</w:t>
      </w:r>
    </w:p>
    <w:p w14:paraId="5D09F8AE" w14:textId="07EB0680" w:rsidR="007A102B" w:rsidRPr="00C0709C" w:rsidRDefault="00D473FF"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w:t>
      </w:r>
      <w:r w:rsidR="007A102B" w:rsidRPr="00C0709C">
        <w:rPr>
          <w:rFonts w:cs="Arial"/>
          <w:sz w:val="22"/>
          <w:szCs w:val="22"/>
          <w:lang w:val="es-ES_tradnl"/>
        </w:rPr>
        <w:t xml:space="preserve"> Compensación por persona candidata que incluya:</w:t>
      </w:r>
    </w:p>
    <w:p w14:paraId="31270B91" w14:textId="77777777" w:rsidR="007A102B" w:rsidRPr="00C0709C" w:rsidRDefault="007A102B"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lastRenderedPageBreak/>
        <w:t>Hasta 3 unidades de competencia asesoradas 120 euros.</w:t>
      </w:r>
    </w:p>
    <w:p w14:paraId="376C4C44" w14:textId="77777777" w:rsidR="007A102B" w:rsidRPr="00C0709C" w:rsidRDefault="007A102B"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De 4 a 6 unidades de competencia asesoradas 150 euros.</w:t>
      </w:r>
    </w:p>
    <w:p w14:paraId="08260AEF" w14:textId="77777777" w:rsidR="007A102B" w:rsidRPr="00C0709C" w:rsidRDefault="007A102B"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Más de 6 unidades de competencia asesoradas 180 euros.</w:t>
      </w:r>
    </w:p>
    <w:p w14:paraId="1FF4F0A1" w14:textId="70EDC13D" w:rsidR="007A102B" w:rsidRPr="00C0709C" w:rsidRDefault="00D473FF"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w:t>
      </w:r>
      <w:r w:rsidR="007A102B" w:rsidRPr="00C0709C">
        <w:rPr>
          <w:rFonts w:cs="Arial"/>
          <w:sz w:val="22"/>
          <w:szCs w:val="22"/>
          <w:lang w:val="es-ES_tradnl"/>
        </w:rPr>
        <w:t xml:space="preserve"> Complemento por cualificación extra de la misma familia profesional para una misma persona candidata 50 euros.</w:t>
      </w:r>
    </w:p>
    <w:p w14:paraId="6FEE3827" w14:textId="77777777" w:rsidR="007A102B" w:rsidRPr="00C0709C" w:rsidRDefault="007A102B"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b) Personas evaluadoras del procedimiento de acreditación:</w:t>
      </w:r>
    </w:p>
    <w:p w14:paraId="4409D96B" w14:textId="46E2CC1E" w:rsidR="007A102B" w:rsidRPr="00C0709C" w:rsidRDefault="00D473FF"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w:t>
      </w:r>
      <w:r w:rsidR="007A102B" w:rsidRPr="00C0709C">
        <w:rPr>
          <w:rFonts w:cs="Arial"/>
          <w:sz w:val="22"/>
          <w:szCs w:val="22"/>
          <w:lang w:val="es-ES_tradnl"/>
        </w:rPr>
        <w:t xml:space="preserve"> Compensación como persona evaluadora principal por persona candidata que incluya:</w:t>
      </w:r>
    </w:p>
    <w:p w14:paraId="549304C4" w14:textId="77777777" w:rsidR="007A102B" w:rsidRPr="00C0709C" w:rsidRDefault="007A102B"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Hasta 3 unidades de competencia evaluadas 130 euros.</w:t>
      </w:r>
    </w:p>
    <w:p w14:paraId="2AC775F9" w14:textId="77777777" w:rsidR="007A102B" w:rsidRPr="00C0709C" w:rsidRDefault="007A102B"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De 4 a 6 unidades de competencia evaluadas 165 euros.</w:t>
      </w:r>
    </w:p>
    <w:p w14:paraId="0E0B5C81" w14:textId="77777777" w:rsidR="007A102B" w:rsidRPr="00C0709C" w:rsidRDefault="007A102B"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Más de 6 unidades de competencia evaluadas 200 euros.</w:t>
      </w:r>
    </w:p>
    <w:p w14:paraId="470B8506" w14:textId="6A003826" w:rsidR="007A102B" w:rsidRPr="00C0709C" w:rsidRDefault="00D473FF"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w:t>
      </w:r>
      <w:r w:rsidR="007A102B" w:rsidRPr="00C0709C">
        <w:rPr>
          <w:rFonts w:cs="Arial"/>
          <w:sz w:val="22"/>
          <w:szCs w:val="22"/>
          <w:lang w:val="es-ES_tradnl"/>
        </w:rPr>
        <w:t xml:space="preserve"> Compensación como persona evaluadora secundaria por persona candidata que incluya:</w:t>
      </w:r>
    </w:p>
    <w:p w14:paraId="7ED41275" w14:textId="77777777" w:rsidR="007A102B" w:rsidRPr="00C0709C" w:rsidRDefault="007A102B"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Hasta 3 unidades de competencia evaluadas 60 euros.</w:t>
      </w:r>
    </w:p>
    <w:p w14:paraId="11389BB5" w14:textId="77777777" w:rsidR="007A102B" w:rsidRPr="00C0709C" w:rsidRDefault="007A102B"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De 4 a 6 unidades de competencia evaluadas 75 euros.</w:t>
      </w:r>
    </w:p>
    <w:p w14:paraId="596384B6" w14:textId="77777777" w:rsidR="007A102B" w:rsidRPr="00C0709C" w:rsidRDefault="007A102B"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Más de 6 unidades de competencia evaluadas 90 euros.</w:t>
      </w:r>
    </w:p>
    <w:p w14:paraId="153C9E68" w14:textId="2F63D15E" w:rsidR="007A102B" w:rsidRPr="00C0709C" w:rsidRDefault="00D473FF"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w:t>
      </w:r>
      <w:r w:rsidR="007A102B" w:rsidRPr="00C0709C">
        <w:rPr>
          <w:rFonts w:cs="Arial"/>
          <w:sz w:val="22"/>
          <w:szCs w:val="22"/>
          <w:lang w:val="es-ES_tradnl"/>
        </w:rPr>
        <w:t xml:space="preserve"> Compensación como persona responsable de Comisión de evaluación (por grupo).</w:t>
      </w:r>
    </w:p>
    <w:p w14:paraId="76CA64A3" w14:textId="77777777" w:rsidR="007A102B" w:rsidRPr="00C0709C" w:rsidRDefault="007A102B"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Presidencia de la Comisión de evaluación 200 euros.</w:t>
      </w:r>
    </w:p>
    <w:p w14:paraId="50A8EE2D" w14:textId="77777777" w:rsidR="007A102B" w:rsidRPr="00C0709C" w:rsidRDefault="007A102B"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Secretaría de la Comisión de evaluación 100 euros.</w:t>
      </w:r>
    </w:p>
    <w:p w14:paraId="76E1C734" w14:textId="77777777" w:rsidR="007A102B" w:rsidRPr="00C0709C" w:rsidRDefault="007A102B"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Estas retribuciones se establecen como compensación a la preparación y desarrollo de las sesiones de asesoramiento y evaluación, a la atención directa a las personas candidatas, a la gestión documental del procedimiento y al trabajo de coordinación con las administraciones convocantes.</w:t>
      </w:r>
    </w:p>
    <w:p w14:paraId="0635BC63" w14:textId="77777777" w:rsidR="007A102B" w:rsidRPr="00C0709C" w:rsidRDefault="007A102B"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2. El Gobierno de Navarra podrá autorizar, mediante decreto foral, la compensación por su intervención en el procedimiento a otras figuras distintas de las personas asesoras y evaluadoras, cuya colaboración se pudiera considerar necesaria para el buen desarrollo de los procedimientos de acreditación de la competencia profesional.</w:t>
      </w:r>
    </w:p>
    <w:p w14:paraId="58CA94BB" w14:textId="77777777" w:rsidR="007A102B" w:rsidRPr="00C0709C" w:rsidRDefault="007A102B"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 xml:space="preserve">Artículo 18. </w:t>
      </w:r>
      <w:r w:rsidRPr="00C0709C">
        <w:rPr>
          <w:rFonts w:cs="Arial"/>
          <w:sz w:val="22"/>
          <w:szCs w:val="22"/>
          <w:lang w:val="es-ES_tradnl"/>
        </w:rPr>
        <w:t>Retribuciones del personal funcionario docente no universitario dependiente del Departamento de Educación.</w:t>
      </w:r>
    </w:p>
    <w:p w14:paraId="40EAA100" w14:textId="77777777" w:rsidR="007A102B" w:rsidRPr="00C0709C" w:rsidRDefault="007A102B"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El complemento específico docente del personal funcionario docente no universitario dependiente del Departamento de Educación, establecido en el artículo 104 del Texto Refundido del Estatuto del Personal al Servicio de las Administraciones Públicas de Navarra, aprobado por Decreto Foral Legislativo 251/1993, de 30 de agosto, queda fijado en los siguientes porcentajes del sueldo del correspondiente nivel:</w:t>
      </w:r>
    </w:p>
    <w:p w14:paraId="27E0FF3E" w14:textId="77777777" w:rsidR="007A102B" w:rsidRPr="00C0709C" w:rsidRDefault="007A102B"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a) Cuerpo de Maestros y Asimilados: 38,07 por 100</w:t>
      </w:r>
    </w:p>
    <w:p w14:paraId="67D3932E" w14:textId="77777777" w:rsidR="007A102B" w:rsidRPr="00C0709C" w:rsidRDefault="007A102B"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b) Cuerpos de Catedráticos y Asimilados: 39,48 por 100</w:t>
      </w:r>
    </w:p>
    <w:p w14:paraId="487A3D9D" w14:textId="77777777" w:rsidR="007A102B" w:rsidRPr="00C0709C" w:rsidRDefault="007A102B"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lastRenderedPageBreak/>
        <w:t>c) Cuerpo de Profesores de Enseñanza Secundaria y Asimilados: 33,48 por 100</w:t>
      </w:r>
    </w:p>
    <w:p w14:paraId="08C1DB60" w14:textId="77777777" w:rsidR="007A102B" w:rsidRPr="00C0709C" w:rsidRDefault="007A102B"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d) Cuerpo a extinguir de Profesores Técnicos de Formación Profesional y Asimilados: 45,17 por 100</w:t>
      </w:r>
    </w:p>
    <w:p w14:paraId="5FBFA0D8" w14:textId="77777777" w:rsidR="007A102B" w:rsidRPr="00C0709C" w:rsidRDefault="007A102B"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e) Cuerpo de Profesores Especialistas en Sectores Singulares de Formación Profesional y Asimilados: 45,17 por 100</w:t>
      </w:r>
    </w:p>
    <w:p w14:paraId="3B13B636" w14:textId="77777777" w:rsidR="007A102B" w:rsidRPr="00C0709C" w:rsidRDefault="007A102B"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f) Cuerpo de Profesores de Música y Artes Escénicas y Asimilados: 33,48 por 100</w:t>
      </w:r>
    </w:p>
    <w:p w14:paraId="4729CF3F" w14:textId="77777777" w:rsidR="007A102B" w:rsidRPr="00C0709C" w:rsidRDefault="007A102B"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g) Cuerpo de Maestros de Taller y Artes Plásticas y Diseño y Asimilados: 45,17 por 100</w:t>
      </w:r>
    </w:p>
    <w:p w14:paraId="6E3AAD61" w14:textId="77777777" w:rsidR="007A102B" w:rsidRPr="00C0709C" w:rsidRDefault="007A102B"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h) Cuerpo de Profesores de Artes Plásticas y Diseño y Asimilados: 33,48 por 100</w:t>
      </w:r>
    </w:p>
    <w:p w14:paraId="7A98A24C" w14:textId="77777777" w:rsidR="007A102B" w:rsidRPr="00C0709C" w:rsidRDefault="007A102B"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i) Cuerpo de Profesores de Escuelas Oficiales de Idiomas y Asimilados: 33,48 por 100</w:t>
      </w:r>
    </w:p>
    <w:p w14:paraId="5DB8ADF0" w14:textId="77777777" w:rsidR="007A102B" w:rsidRPr="00C0709C" w:rsidRDefault="007A102B"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j) Profesores de Religión de Enseñanza Secundaria: 33,48 por 100</w:t>
      </w:r>
    </w:p>
    <w:p w14:paraId="3B57C26A" w14:textId="77777777" w:rsidR="007A102B" w:rsidRPr="00C0709C" w:rsidRDefault="007A102B"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k) Profesores de Religión de Educación Infantil y Primaria: 38,07 por 100</w:t>
      </w:r>
    </w:p>
    <w:p w14:paraId="5782B24A" w14:textId="77777777" w:rsidR="007A102B" w:rsidRPr="00C0709C" w:rsidRDefault="007A102B"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l) El personal del Cuerpo de Maestros y Asimilados que, de conformidad con lo previsto en la disposición transitoria primera de la Ley Orgánica 2/2006, de 3 de mayo, de Educación, esté adscrito con carácter definitivo o provisional a puestos de trabajo de la Educación Secundaria Obligatoria, percibirá como complemento específico docente idéntica cuantía que la que corresponda a un Profesor de Enseñanza Secundaria. Igualmente percibirá un complemento especial en cuantía del 5,45 por 100 del sueldo inicial del nivel B.</w:t>
      </w:r>
    </w:p>
    <w:p w14:paraId="701F11A2" w14:textId="77777777" w:rsidR="00EE00CD" w:rsidRPr="00C0709C" w:rsidRDefault="00EE00CD" w:rsidP="00C0709C">
      <w:pPr>
        <w:pStyle w:val="DICTA-CAPITULO"/>
        <w:spacing w:beforeLines="60" w:before="144" w:afterLines="60" w:after="144" w:line="280" w:lineRule="exact"/>
        <w:rPr>
          <w:rFonts w:ascii="Arial" w:hAnsi="Arial" w:cs="Arial"/>
          <w:sz w:val="22"/>
          <w:szCs w:val="22"/>
          <w:lang w:val="es-ES_tradnl"/>
        </w:rPr>
      </w:pPr>
      <w:r w:rsidRPr="00C0709C">
        <w:rPr>
          <w:rFonts w:ascii="Arial" w:hAnsi="Arial" w:cs="Arial"/>
          <w:sz w:val="22"/>
          <w:szCs w:val="22"/>
          <w:lang w:val="es-ES_tradnl"/>
        </w:rPr>
        <w:t>CAPÍTULO IV</w:t>
      </w:r>
    </w:p>
    <w:p w14:paraId="72F4600C" w14:textId="77777777" w:rsidR="00EE00CD" w:rsidRPr="00C0709C" w:rsidRDefault="00EE00CD" w:rsidP="00C0709C">
      <w:pPr>
        <w:pStyle w:val="DICTA-SUBTITULO2"/>
        <w:spacing w:beforeLines="60" w:before="144" w:afterLines="60" w:after="144" w:line="280" w:lineRule="exact"/>
        <w:rPr>
          <w:rFonts w:cs="Arial"/>
          <w:sz w:val="22"/>
          <w:szCs w:val="22"/>
          <w:lang w:val="es-ES_tradnl"/>
        </w:rPr>
      </w:pPr>
      <w:r w:rsidRPr="00C0709C">
        <w:rPr>
          <w:rFonts w:cs="Arial"/>
          <w:sz w:val="22"/>
          <w:szCs w:val="22"/>
          <w:lang w:val="es-ES_tradnl"/>
        </w:rPr>
        <w:t>Retribuciones del personal del Servicio Navarro de Salud-</w:t>
      </w:r>
      <w:proofErr w:type="spellStart"/>
      <w:r w:rsidRPr="00C0709C">
        <w:rPr>
          <w:rFonts w:cs="Arial"/>
          <w:sz w:val="22"/>
          <w:szCs w:val="22"/>
          <w:lang w:val="es-ES_tradnl"/>
        </w:rPr>
        <w:t>Osasunbidea</w:t>
      </w:r>
      <w:proofErr w:type="spellEnd"/>
      <w:r w:rsidRPr="00C0709C">
        <w:rPr>
          <w:rFonts w:cs="Arial"/>
          <w:sz w:val="22"/>
          <w:szCs w:val="22"/>
          <w:lang w:val="es-ES_tradnl"/>
        </w:rPr>
        <w:t xml:space="preserve"> y del Instituto de Salud Pública y Laboral de Navarra</w:t>
      </w:r>
    </w:p>
    <w:p w14:paraId="6A739122"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bCs/>
          <w:sz w:val="22"/>
          <w:szCs w:val="22"/>
          <w:lang w:val="es-ES_tradnl"/>
        </w:rPr>
        <w:t>Artículo 19</w:t>
      </w:r>
      <w:r w:rsidRPr="00C0709C">
        <w:rPr>
          <w:rFonts w:cs="Arial"/>
          <w:sz w:val="22"/>
          <w:szCs w:val="22"/>
          <w:lang w:val="es-ES_tradnl"/>
        </w:rPr>
        <w:t>. Guardias en días especiales del personal del Servicio Navarro de Salud-</w:t>
      </w:r>
      <w:proofErr w:type="spellStart"/>
      <w:r w:rsidRPr="00C0709C">
        <w:rPr>
          <w:rFonts w:cs="Arial"/>
          <w:sz w:val="22"/>
          <w:szCs w:val="22"/>
          <w:lang w:val="es-ES_tradnl"/>
        </w:rPr>
        <w:t>Osasunbidea</w:t>
      </w:r>
      <w:proofErr w:type="spellEnd"/>
      <w:r w:rsidRPr="00C0709C">
        <w:rPr>
          <w:rFonts w:cs="Arial"/>
          <w:sz w:val="22"/>
          <w:szCs w:val="22"/>
          <w:lang w:val="es-ES_tradnl"/>
        </w:rPr>
        <w:t xml:space="preserve"> y del Instituto de Salud Pública y Laboral de Navarra.</w:t>
      </w:r>
    </w:p>
    <w:p w14:paraId="31DE7A7F"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El personal del Servicio Navarro de Salud-</w:t>
      </w:r>
      <w:proofErr w:type="spellStart"/>
      <w:r w:rsidRPr="00C0709C">
        <w:rPr>
          <w:rFonts w:cs="Arial"/>
          <w:sz w:val="22"/>
          <w:szCs w:val="22"/>
          <w:lang w:val="es-ES_tradnl"/>
        </w:rPr>
        <w:t>Osasunbidea</w:t>
      </w:r>
      <w:proofErr w:type="spellEnd"/>
      <w:r w:rsidRPr="00C0709C">
        <w:rPr>
          <w:rFonts w:cs="Arial"/>
          <w:sz w:val="22"/>
          <w:szCs w:val="22"/>
          <w:lang w:val="es-ES_tradnl"/>
        </w:rPr>
        <w:t xml:space="preserve"> y del Instituto de Salud Pública y Laboral de Navarra, que realice guardias en días especiales, podrá percibir un módulo de productividad variable por un importe igual al correspondiente de la guardia. El Servicio Navarro de Salud-</w:t>
      </w:r>
      <w:proofErr w:type="spellStart"/>
      <w:r w:rsidRPr="00C0709C">
        <w:rPr>
          <w:rFonts w:cs="Arial"/>
          <w:sz w:val="22"/>
          <w:szCs w:val="22"/>
          <w:lang w:val="es-ES_tradnl"/>
        </w:rPr>
        <w:t>Osasunbidea</w:t>
      </w:r>
      <w:proofErr w:type="spellEnd"/>
      <w:r w:rsidRPr="00C0709C">
        <w:rPr>
          <w:rFonts w:cs="Arial"/>
          <w:sz w:val="22"/>
          <w:szCs w:val="22"/>
          <w:lang w:val="es-ES_tradnl"/>
        </w:rPr>
        <w:t xml:space="preserve"> o el Instituto de Salud Pública y Laboral de Navarra plantearán en Mesa Sectorial a la consideración de las centrales sindicales presentes en la misma, cuáles deben considerarse días especiales a los efectos de percibir el citado módulo. Para el periodo diciembre 2023 y enero 2024, se abonarán los días 24, 25 y 31 de diciembre y 1, 5 y 6 de enero, con el fin de retribuir este concepto.</w:t>
      </w:r>
    </w:p>
    <w:p w14:paraId="1F430B9D"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bCs/>
          <w:sz w:val="22"/>
          <w:szCs w:val="22"/>
          <w:lang w:val="es-ES_tradnl"/>
        </w:rPr>
        <w:t>Artículo 20</w:t>
      </w:r>
      <w:r w:rsidRPr="00C0709C">
        <w:rPr>
          <w:rFonts w:cs="Arial"/>
          <w:sz w:val="22"/>
          <w:szCs w:val="22"/>
          <w:lang w:val="es-ES_tradnl"/>
        </w:rPr>
        <w:t>. Aplicación del nivel de carrera profesional reconocido al personal procedente del Sistema Nacional de Salud.</w:t>
      </w:r>
    </w:p>
    <w:p w14:paraId="1C0EF592"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1. Se reconoce al personal facultativo que acceda a plaza fija en el Departamento de Salud y sus organismos autónomos los grados de carrera acreditados en otro servicio de salud del Sistema Nacional de Salud, referidos a la misma especialidad, categoría profesional o grupo de titulación. Dichos grados se retribuirán conforme a lo establecido en Ley Foral 11/1999, de 6 de abril, por la que se regula el sistema de carrera profesional del personal facultativo del Servicio Navarro de Salud-</w:t>
      </w:r>
      <w:proofErr w:type="spellStart"/>
      <w:r w:rsidRPr="00C0709C">
        <w:rPr>
          <w:rFonts w:cs="Arial"/>
          <w:sz w:val="22"/>
          <w:szCs w:val="22"/>
          <w:lang w:val="es-ES_tradnl"/>
        </w:rPr>
        <w:t>Osasunbidea</w:t>
      </w:r>
      <w:proofErr w:type="spellEnd"/>
      <w:r w:rsidRPr="00C0709C">
        <w:rPr>
          <w:rFonts w:cs="Arial"/>
          <w:sz w:val="22"/>
          <w:szCs w:val="22"/>
          <w:lang w:val="es-ES_tradnl"/>
        </w:rPr>
        <w:t>, y normativa de desarrollo.</w:t>
      </w:r>
    </w:p>
    <w:p w14:paraId="759582A4"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lastRenderedPageBreak/>
        <w:t>2. Al personal proveniente de otros servicios de salud del Sistema Nacional de Salud que ocupe una plaza en comisión de servicios en los organismos autónomos del Departamento de Salud, se le reconocen los grados de carrera acreditados en otro servicio de salud del Sistema Nacional de Salud. Dichos grados se retribuirán conforme a lo establecido en la normativa de carrera profesional del personal sanitario del Servicio Navarro de Salud-</w:t>
      </w:r>
      <w:proofErr w:type="spellStart"/>
      <w:r w:rsidRPr="00C0709C">
        <w:rPr>
          <w:rFonts w:cs="Arial"/>
          <w:sz w:val="22"/>
          <w:szCs w:val="22"/>
          <w:lang w:val="es-ES_tradnl"/>
        </w:rPr>
        <w:t>Osasunbidea</w:t>
      </w:r>
      <w:proofErr w:type="spellEnd"/>
      <w:r w:rsidRPr="00C0709C">
        <w:rPr>
          <w:rFonts w:cs="Arial"/>
          <w:sz w:val="22"/>
          <w:szCs w:val="22"/>
          <w:lang w:val="es-ES_tradnl"/>
        </w:rPr>
        <w:t>.</w:t>
      </w:r>
    </w:p>
    <w:p w14:paraId="3AFADAAF"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bCs/>
          <w:sz w:val="22"/>
          <w:szCs w:val="22"/>
          <w:lang w:val="es-ES_tradnl"/>
        </w:rPr>
        <w:t>Artículo 21</w:t>
      </w:r>
      <w:r w:rsidRPr="00C0709C">
        <w:rPr>
          <w:rFonts w:cs="Arial"/>
          <w:sz w:val="22"/>
          <w:szCs w:val="22"/>
          <w:lang w:val="es-ES_tradnl"/>
        </w:rPr>
        <w:t>. Régimen de exclusividad del personal facultativo especialista y médico contratado temporal.</w:t>
      </w:r>
    </w:p>
    <w:p w14:paraId="6A3085E6"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Durante el año 2024, las nuevas contrataciones temporales de personal de los estamentos A.1 y A.2.5 de la Ley Foral 11/1992, reguladora del régimen específico del personal adscrito al servicio Navarro de Salud-</w:t>
      </w:r>
      <w:proofErr w:type="spellStart"/>
      <w:r w:rsidRPr="00C0709C">
        <w:rPr>
          <w:rFonts w:cs="Arial"/>
          <w:sz w:val="22"/>
          <w:szCs w:val="22"/>
          <w:lang w:val="es-ES_tradnl"/>
        </w:rPr>
        <w:t>Osasunbidea</w:t>
      </w:r>
      <w:proofErr w:type="spellEnd"/>
      <w:r w:rsidRPr="00C0709C">
        <w:rPr>
          <w:rFonts w:cs="Arial"/>
          <w:sz w:val="22"/>
          <w:szCs w:val="22"/>
          <w:lang w:val="es-ES_tradnl"/>
        </w:rPr>
        <w:t>, se producirán en régimen de dedicación exclusiva, permitiendo al profesional contratado optar por el régimen de dedicación no exclusiva, pudiendo hacerlo desde el primer día de su contratación.</w:t>
      </w:r>
    </w:p>
    <w:p w14:paraId="07A9C7E2" w14:textId="77777777" w:rsidR="00EE00CD" w:rsidRPr="00C0709C" w:rsidRDefault="00EE00CD" w:rsidP="00C0709C">
      <w:pPr>
        <w:pStyle w:val="DICTA-CAPITULO"/>
        <w:spacing w:beforeLines="60" w:before="144" w:afterLines="60" w:after="144" w:line="280" w:lineRule="exact"/>
        <w:rPr>
          <w:rFonts w:ascii="Arial" w:hAnsi="Arial" w:cs="Arial"/>
          <w:sz w:val="22"/>
          <w:szCs w:val="22"/>
          <w:lang w:val="es-ES_tradnl"/>
        </w:rPr>
      </w:pPr>
      <w:r w:rsidRPr="00C0709C">
        <w:rPr>
          <w:rFonts w:ascii="Arial" w:hAnsi="Arial" w:cs="Arial"/>
          <w:sz w:val="22"/>
          <w:szCs w:val="22"/>
          <w:lang w:val="es-ES_tradnl"/>
        </w:rPr>
        <w:t>CAPÍTULO V</w:t>
      </w:r>
    </w:p>
    <w:p w14:paraId="3CD9C843" w14:textId="5982E839" w:rsidR="00EE00CD" w:rsidRPr="00C0709C" w:rsidRDefault="00EE00CD" w:rsidP="00C0709C">
      <w:pPr>
        <w:pStyle w:val="DICTA-SUBTITULO2"/>
        <w:spacing w:beforeLines="60" w:before="144" w:afterLines="60" w:after="144" w:line="280" w:lineRule="exact"/>
        <w:rPr>
          <w:rFonts w:cs="Arial"/>
          <w:sz w:val="22"/>
          <w:szCs w:val="22"/>
          <w:lang w:val="es-ES_tradnl"/>
        </w:rPr>
      </w:pPr>
      <w:r w:rsidRPr="00C0709C">
        <w:rPr>
          <w:rFonts w:cs="Arial"/>
          <w:sz w:val="22"/>
          <w:szCs w:val="22"/>
          <w:lang w:val="es-ES_tradnl"/>
        </w:rPr>
        <w:t>Otras disposiciones</w:t>
      </w:r>
    </w:p>
    <w:p w14:paraId="09E48357"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bCs/>
          <w:sz w:val="22"/>
          <w:szCs w:val="22"/>
          <w:lang w:val="es-ES_tradnl"/>
        </w:rPr>
        <w:t>Artículo 22</w:t>
      </w:r>
      <w:r w:rsidRPr="00C0709C">
        <w:rPr>
          <w:rFonts w:cs="Arial"/>
          <w:sz w:val="22"/>
          <w:szCs w:val="22"/>
          <w:lang w:val="es-ES_tradnl"/>
        </w:rPr>
        <w:t>. Reconversión de puestos de trabajo.</w:t>
      </w:r>
    </w:p>
    <w:p w14:paraId="7DA1C3E4"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1. Se autoriza al Gobierno de Navarra a adoptar las medidas necesarias para reconvertir, en otros, aquellos puestos de trabajo que no estén vacantes y que hayan quedado desprovistos de contenido por motivo de reestructuraciones de plantilla o de los servicios a prestar. La reasignación de funciones y los correspondientes traslados, dentro del mismo nivel, se efectuarán, con carácter excepcional, previa audiencia de la representación sindical, y con la conformidad del personal afectado, directamente por el Departamento de Interior, Función Pública y Justicia.</w:t>
      </w:r>
    </w:p>
    <w:p w14:paraId="06EDFCDD"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2. En el supuesto de que no sea posible la reconversión en otros puestos de trabajo del mismo nivel, se podrá autorizar con carácter excepcional la reasignación de funciones correspondientes a puestos de trabajo de otro nivel, siempre que el personal afectado reúna la cualificación profesional y demás requisitos exigidos para su desempeño. Esta reasignación será en todo caso temporal, como máximo hasta que sea posible su adscripción o reconversión dentro de su nivel y, en todo caso, se garantizará la percepción de las retribuciones básicas y complementarias correspondientes al puesto de trabajo que estuviera desempeñando con anterioridad.</w:t>
      </w:r>
    </w:p>
    <w:p w14:paraId="71EC5A4A"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bCs/>
          <w:sz w:val="22"/>
          <w:szCs w:val="22"/>
          <w:lang w:val="es-ES_tradnl"/>
        </w:rPr>
        <w:t>Artículo 23</w:t>
      </w:r>
      <w:r w:rsidRPr="00C0709C">
        <w:rPr>
          <w:rFonts w:cs="Arial"/>
          <w:sz w:val="22"/>
          <w:szCs w:val="22"/>
          <w:lang w:val="es-ES_tradnl"/>
        </w:rPr>
        <w:t>. Financiación de los Montepíos de personal funcionario municipal.</w:t>
      </w:r>
    </w:p>
    <w:p w14:paraId="1D7E5FE5"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1. El Gobierno de Navarra efectuará una aportación a la financiación de las pensiones causadas por el personal funcionario de las entidades locales de Navarra pertenecientes al Montepío General de Funcionarios Municipales, la cual se distribuirá de forma proporcional al de la cuota atribuida a cada Ayuntamiento en la derrama de los costes generados en el ejercicio del año 2023 por la gestión del Montepío General de Funcionarios Municipales.</w:t>
      </w:r>
    </w:p>
    <w:p w14:paraId="4FD1A761"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2. Asimismo, el Gobierno de Navarra efectuará sendas aportaciones a los Ayuntamientos de Pamplona, Tudela y Tafalla, en función de los costes generados por la gestión de sus Montepíos propios en el ejercicio del año 2023.</w:t>
      </w:r>
    </w:p>
    <w:p w14:paraId="1530DDAF"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3. Las aportaciones establecidas en los apartados anteriores tendrán la cuantía que resulte de la aplicación de la disposición adicional décima de la Ley Foral 10/2003, de 5 de </w:t>
      </w:r>
      <w:r w:rsidRPr="00C0709C">
        <w:rPr>
          <w:rFonts w:cs="Arial"/>
          <w:sz w:val="22"/>
          <w:szCs w:val="22"/>
          <w:lang w:val="es-ES_tradnl"/>
        </w:rPr>
        <w:lastRenderedPageBreak/>
        <w:t>marzo, sobre régimen transitorio de los derechos pasivos del personal funcionario de los Montepíos de las Administraciones Públicas de Navarra.</w:t>
      </w:r>
    </w:p>
    <w:p w14:paraId="7B073FD5" w14:textId="77777777" w:rsidR="00EE00CD" w:rsidRPr="00C0709C" w:rsidRDefault="00EE00CD" w:rsidP="00C0709C">
      <w:pPr>
        <w:pStyle w:val="DICTA-TITULO1"/>
        <w:spacing w:beforeLines="60" w:before="144" w:afterLines="60" w:after="144" w:line="280" w:lineRule="exact"/>
        <w:rPr>
          <w:rFonts w:cs="Arial"/>
          <w:sz w:val="22"/>
          <w:szCs w:val="22"/>
          <w:lang w:val="es-ES_tradnl"/>
        </w:rPr>
      </w:pPr>
      <w:r w:rsidRPr="00C0709C">
        <w:rPr>
          <w:rFonts w:cs="Arial"/>
          <w:sz w:val="22"/>
          <w:szCs w:val="22"/>
          <w:lang w:val="es-ES_tradnl"/>
        </w:rPr>
        <w:t xml:space="preserve">TÍTULO III </w:t>
      </w:r>
    </w:p>
    <w:p w14:paraId="6028D313" w14:textId="23B1A360" w:rsidR="00EE00CD" w:rsidRPr="00C0709C" w:rsidRDefault="00D473FF" w:rsidP="00C0709C">
      <w:pPr>
        <w:pStyle w:val="DICTA-SUBTITULO2"/>
        <w:spacing w:beforeLines="60" w:before="144" w:afterLines="60" w:after="144" w:line="280" w:lineRule="exact"/>
        <w:rPr>
          <w:rFonts w:cs="Arial"/>
          <w:sz w:val="22"/>
          <w:szCs w:val="22"/>
          <w:lang w:val="es-ES_tradnl"/>
        </w:rPr>
      </w:pPr>
      <w:r w:rsidRPr="00C0709C">
        <w:rPr>
          <w:rFonts w:cs="Arial"/>
          <w:sz w:val="22"/>
          <w:szCs w:val="22"/>
          <w:lang w:val="es-ES_tradnl"/>
        </w:rPr>
        <w:t>De las operaciones financieras</w:t>
      </w:r>
    </w:p>
    <w:p w14:paraId="5911722C" w14:textId="77777777" w:rsidR="00EE00CD" w:rsidRPr="00C0709C" w:rsidRDefault="00EE00CD" w:rsidP="00C0709C">
      <w:pPr>
        <w:pStyle w:val="DICTA-CAPITULO"/>
        <w:spacing w:beforeLines="60" w:before="144" w:afterLines="60" w:after="144" w:line="280" w:lineRule="exact"/>
        <w:rPr>
          <w:rFonts w:ascii="Arial" w:hAnsi="Arial" w:cs="Arial"/>
          <w:sz w:val="22"/>
          <w:szCs w:val="22"/>
          <w:lang w:val="es-ES_tradnl"/>
        </w:rPr>
      </w:pPr>
      <w:r w:rsidRPr="00C0709C">
        <w:rPr>
          <w:rFonts w:ascii="Arial" w:hAnsi="Arial" w:cs="Arial"/>
          <w:sz w:val="22"/>
          <w:szCs w:val="22"/>
          <w:lang w:val="es-ES_tradnl"/>
        </w:rPr>
        <w:t>CAPÍTULO I</w:t>
      </w:r>
    </w:p>
    <w:p w14:paraId="0D55E292" w14:textId="77777777" w:rsidR="00EE00CD" w:rsidRPr="00C0709C" w:rsidRDefault="00EE00CD" w:rsidP="00C0709C">
      <w:pPr>
        <w:pStyle w:val="DICTA-SUBTITULO2"/>
        <w:spacing w:beforeLines="60" w:before="144" w:afterLines="60" w:after="144" w:line="280" w:lineRule="exact"/>
        <w:rPr>
          <w:rFonts w:cs="Arial"/>
          <w:sz w:val="22"/>
          <w:szCs w:val="22"/>
          <w:lang w:val="es-ES_tradnl"/>
        </w:rPr>
      </w:pPr>
      <w:r w:rsidRPr="00C0709C">
        <w:rPr>
          <w:rFonts w:cs="Arial"/>
          <w:sz w:val="22"/>
          <w:szCs w:val="22"/>
          <w:lang w:val="es-ES_tradnl"/>
        </w:rPr>
        <w:t>Concesión de avales y préstamos</w:t>
      </w:r>
    </w:p>
    <w:p w14:paraId="17B726B4"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bCs/>
          <w:sz w:val="22"/>
          <w:szCs w:val="22"/>
          <w:lang w:val="es-ES_tradnl"/>
        </w:rPr>
        <w:t>Artículo 24</w:t>
      </w:r>
      <w:r w:rsidRPr="00C0709C">
        <w:rPr>
          <w:rFonts w:cs="Arial"/>
          <w:sz w:val="22"/>
          <w:szCs w:val="22"/>
          <w:lang w:val="es-ES_tradnl"/>
        </w:rPr>
        <w:t>. Concesión de avales y préstamos.</w:t>
      </w:r>
    </w:p>
    <w:p w14:paraId="0F4A622C"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1. El Gobierno de Navarra podrá otorgar avales u otras garantías análogas, por un importe máximo de 58.000.000 euros.</w:t>
      </w:r>
    </w:p>
    <w:p w14:paraId="59BB7DC0"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Dentro del límite del párrafo anterior, se autoriza al Departamento de Economía y Hacienda a conceder un aval a la sociedad pública Navarra de Infraestructuras Locales, S.A.U. por un importe máximo de 38.000.000 euros.</w:t>
      </w:r>
    </w:p>
    <w:p w14:paraId="4C87D5ED"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2. Las entidades públicas empresariales, </w:t>
      </w:r>
      <w:proofErr w:type="gramStart"/>
      <w:r w:rsidRPr="00C0709C">
        <w:rPr>
          <w:rFonts w:cs="Arial"/>
          <w:sz w:val="22"/>
          <w:szCs w:val="22"/>
          <w:lang w:val="es-ES_tradnl"/>
        </w:rPr>
        <w:t>fundaciones públicas y las sociedades públicas</w:t>
      </w:r>
      <w:proofErr w:type="gramEnd"/>
      <w:r w:rsidRPr="00C0709C">
        <w:rPr>
          <w:rFonts w:cs="Arial"/>
          <w:sz w:val="22"/>
          <w:szCs w:val="22"/>
          <w:lang w:val="es-ES_tradnl"/>
        </w:rPr>
        <w:t xml:space="preserve"> podrán otorgar avales u otras garantías análogas, previa autorización del Gobierno de Navarra y a propuesta de la persona titular del Departamento de Economía y Hacienda, por un importe máximo de 35.000.000 euros.</w:t>
      </w:r>
    </w:p>
    <w:p w14:paraId="76D907EE"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3. A los efectos de lo establecido en el artículo 75.1 de la Ley Foral 13/2007, de 4 de abril, de la Hacienda Pública de Navarra, se establece el riesgo vivo máximo de los avales u otras garantías análogas concedidos por la Administración de la Comunidad Foral de Navarra en 51.000.000 euros. Para las entidades públicas empresariales, las </w:t>
      </w:r>
      <w:proofErr w:type="gramStart"/>
      <w:r w:rsidRPr="00C0709C">
        <w:rPr>
          <w:rFonts w:cs="Arial"/>
          <w:sz w:val="22"/>
          <w:szCs w:val="22"/>
          <w:lang w:val="es-ES_tradnl"/>
        </w:rPr>
        <w:t>fundaciones públicas y las sociedades públicas</w:t>
      </w:r>
      <w:proofErr w:type="gramEnd"/>
      <w:r w:rsidRPr="00C0709C">
        <w:rPr>
          <w:rFonts w:cs="Arial"/>
          <w:sz w:val="22"/>
          <w:szCs w:val="22"/>
          <w:lang w:val="es-ES_tradnl"/>
        </w:rPr>
        <w:t>, el riesgo vivo máximo se fija en 90.000.000 euros.</w:t>
      </w:r>
    </w:p>
    <w:p w14:paraId="76A4C378"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4. Las entidades públicas empresariales, las </w:t>
      </w:r>
      <w:proofErr w:type="gramStart"/>
      <w:r w:rsidRPr="00C0709C">
        <w:rPr>
          <w:rFonts w:cs="Arial"/>
          <w:sz w:val="22"/>
          <w:szCs w:val="22"/>
          <w:lang w:val="es-ES_tradnl"/>
        </w:rPr>
        <w:t>fundaciones públicas y las sociedades públicas</w:t>
      </w:r>
      <w:proofErr w:type="gramEnd"/>
      <w:r w:rsidRPr="00C0709C">
        <w:rPr>
          <w:rFonts w:cs="Arial"/>
          <w:sz w:val="22"/>
          <w:szCs w:val="22"/>
          <w:lang w:val="es-ES_tradnl"/>
        </w:rPr>
        <w:t xml:space="preserve"> podrán conceder préstamos, previa autorización del Gobierno de Navarra, a propuesta de la persona titular del Departamento de Economía y Hacienda, por un importe máximo de 18.000.000 de euros.</w:t>
      </w:r>
    </w:p>
    <w:p w14:paraId="535F57C2"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5. A los efectos de lo establecido en el artículo 82 ter de la Ley Foral 13/2007, de 4 de abril, de la Hacienda Pública de Navarra, se establece el riesgo vivo máximo de los préstamos concedidos por la Administración de la Comunidad Foral de Navarra en 89.000.000 de euros. Para las entidades públicas empresariales, las </w:t>
      </w:r>
      <w:proofErr w:type="gramStart"/>
      <w:r w:rsidRPr="00C0709C">
        <w:rPr>
          <w:rFonts w:cs="Arial"/>
          <w:sz w:val="22"/>
          <w:szCs w:val="22"/>
          <w:lang w:val="es-ES_tradnl"/>
        </w:rPr>
        <w:t>fundaciones públicas y las sociedades públicas</w:t>
      </w:r>
      <w:proofErr w:type="gramEnd"/>
      <w:r w:rsidRPr="00C0709C">
        <w:rPr>
          <w:rFonts w:cs="Arial"/>
          <w:sz w:val="22"/>
          <w:szCs w:val="22"/>
          <w:lang w:val="es-ES_tradnl"/>
        </w:rPr>
        <w:t xml:space="preserve"> el riesgo vivo máximo se fija en 135.000.000 euros.</w:t>
      </w:r>
    </w:p>
    <w:p w14:paraId="744CA1C7"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6. El Departamento de Economía y Hacienda establecerá los mecanismos necesarios para garantizar el cumplimiento de los límites que la normativa establezca respecto al principio de prudencia financiera definido en la Ley Orgánica 2/2012, de 27 de abril, de Estabilidad Presupuestaria y Sostenibilidad Financiera.</w:t>
      </w:r>
    </w:p>
    <w:p w14:paraId="5358158C" w14:textId="77777777" w:rsidR="00EE00CD" w:rsidRPr="00C0709C" w:rsidRDefault="00EE00CD" w:rsidP="00C0709C">
      <w:pPr>
        <w:pStyle w:val="DICTA-CAPITULO"/>
        <w:spacing w:beforeLines="60" w:before="144" w:afterLines="60" w:after="144" w:line="280" w:lineRule="exact"/>
        <w:rPr>
          <w:rFonts w:ascii="Arial" w:hAnsi="Arial" w:cs="Arial"/>
          <w:sz w:val="22"/>
          <w:szCs w:val="22"/>
          <w:lang w:val="es-ES_tradnl"/>
        </w:rPr>
      </w:pPr>
      <w:r w:rsidRPr="00C0709C">
        <w:rPr>
          <w:rFonts w:ascii="Arial" w:hAnsi="Arial" w:cs="Arial"/>
          <w:sz w:val="22"/>
          <w:szCs w:val="22"/>
          <w:lang w:val="es-ES_tradnl"/>
        </w:rPr>
        <w:t>CAPÍTULO II</w:t>
      </w:r>
    </w:p>
    <w:p w14:paraId="753F6F07" w14:textId="77777777" w:rsidR="00EE00CD" w:rsidRPr="00C0709C" w:rsidRDefault="00EE00CD" w:rsidP="00C0709C">
      <w:pPr>
        <w:pStyle w:val="DICTA-SUBTITULO2"/>
        <w:spacing w:beforeLines="60" w:before="144" w:afterLines="60" w:after="144" w:line="280" w:lineRule="exact"/>
        <w:rPr>
          <w:rFonts w:cs="Arial"/>
          <w:sz w:val="22"/>
          <w:szCs w:val="22"/>
          <w:lang w:val="es-ES_tradnl"/>
        </w:rPr>
      </w:pPr>
      <w:r w:rsidRPr="00C0709C">
        <w:rPr>
          <w:rFonts w:cs="Arial"/>
          <w:sz w:val="22"/>
          <w:szCs w:val="22"/>
          <w:lang w:val="es-ES_tradnl"/>
        </w:rPr>
        <w:t>Endeudamiento</w:t>
      </w:r>
    </w:p>
    <w:p w14:paraId="379F4D39"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bCs/>
          <w:sz w:val="22"/>
          <w:szCs w:val="22"/>
          <w:lang w:val="es-ES_tradnl"/>
        </w:rPr>
        <w:t>Artículo 25</w:t>
      </w:r>
      <w:r w:rsidRPr="00C0709C">
        <w:rPr>
          <w:rFonts w:cs="Arial"/>
          <w:sz w:val="22"/>
          <w:szCs w:val="22"/>
          <w:lang w:val="es-ES_tradnl"/>
        </w:rPr>
        <w:t>. Autorización para emitir Deuda Pública o concertar préstamos o créditos.</w:t>
      </w:r>
    </w:p>
    <w:p w14:paraId="59B9F4E2"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1. Se autoriza al Gobierno de Navarra a realizar operaciones de endeudamiento, con la limitación de que el saldo vivo de las entidades que integran el subsector Administración </w:t>
      </w:r>
      <w:r w:rsidRPr="00C0709C">
        <w:rPr>
          <w:rFonts w:cs="Arial"/>
          <w:sz w:val="22"/>
          <w:szCs w:val="22"/>
          <w:lang w:val="es-ES_tradnl"/>
        </w:rPr>
        <w:lastRenderedPageBreak/>
        <w:t>de la Comunidad Foral de Navarra conforme al sistema europeo de cuentas (SEC 2010) a 31 de diciembre de 2024 no supere el correspondiente saldo vivo a 1 de enero de 2024 en más de 77.158.900 euros (financiación del déficit previsto del 0,3% del PIB).</w:t>
      </w:r>
    </w:p>
    <w:p w14:paraId="3512E038"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2. El límite fijado en el apartado primero de este artículo se podrá rectificar por la reducción del nivel de endeudamiento neto pendiente tanto por la aplicación del artículo 32 de la Ley Orgánica 2/2012, de 27 de abril, de Estabilidad Presupuestaria y Sostenibilidad Financiera y sus reglas especiales de desarrollo en relación con el superávit presupuestario como por la financiación de una referencia de déficit superior al efectivamente incurrido, de conformidad con el Ministerio de Hacienda una vez oída la Comisión Coordinadora del Convenio Económico. </w:t>
      </w:r>
    </w:p>
    <w:p w14:paraId="5492FE59"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3. Igualmente, el límite fijado en el apartado primero de este artículo podrá ser excedido por la financiación de un déficit superior al inicialmente previsto en el importe necesario para financiar dicho exceso, así como para realizar aquellas otras operaciones de endeudamiento que se puedan convenir entre el Gobierno de Navarra de conformidad con el Ministerio de Hacienda una vez oída la Comisión Coordinadora del Convenio Económico.</w:t>
      </w:r>
    </w:p>
    <w:p w14:paraId="4794B169"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4. La emisión y, en su caso, la formalización de las operaciones de endeudamiento previstas en los apartados anteriores podrá concretarse en una o varias operaciones pudiendo demorarse más allá del ejercicio 2024.</w:t>
      </w:r>
    </w:p>
    <w:p w14:paraId="3F0FCD56"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5. En todo caso, el Gobierno de Navarra adaptará la estrategia de endeudamiento para que el volumen máximo a autorizar respete los límites acordados entre el Gobierno de Navarra y el Ministerio de Hacienda en el marco de lo establecido en la normativa de estabilidad presupuestaria.</w:t>
      </w:r>
    </w:p>
    <w:p w14:paraId="65529FA5"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6. El Gobierno de Navarra informará trimestralmente al Parlamento de Navarra de toda emisión o formalización de operaciones de endeudamiento previstas en los apartados anteriores.</w:t>
      </w:r>
    </w:p>
    <w:p w14:paraId="3D3DA1CA"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bCs/>
          <w:sz w:val="22"/>
          <w:szCs w:val="22"/>
          <w:lang w:val="es-ES_tradnl"/>
        </w:rPr>
        <w:t>Artículo 26</w:t>
      </w:r>
      <w:r w:rsidRPr="00C0709C">
        <w:rPr>
          <w:rFonts w:cs="Arial"/>
          <w:sz w:val="22"/>
          <w:szCs w:val="22"/>
          <w:lang w:val="es-ES_tradnl"/>
        </w:rPr>
        <w:t>. Endeudamiento de las restantes entidades del sector Administraciones Públicas de la Comunidad Foral de Navarra.</w:t>
      </w:r>
    </w:p>
    <w:p w14:paraId="147789EF"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1. Las entidades incluidas dentro del sector de Administraciones Públicas de la Comunidad Foral de Navarra según los criterios del Sistema Europeo de Cuentas deberán obtener la autorización del Departamento de Economía y Hacienda, con carácter previo a la formalización de sus operaciones de endeudamiento, siendo nulos de pleno derecho los acuerdos adoptados sin dicha autorización.</w:t>
      </w:r>
    </w:p>
    <w:p w14:paraId="39E819C8"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El Departamento de Economía y Hacienda informará trimestralmente al Parlamento de Navarra de todas las autorizaciones de estas operaciones de endeudamiento.</w:t>
      </w:r>
    </w:p>
    <w:p w14:paraId="4E345D2E"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2. El volumen de endeudamiento máximo a autorizar a las entidades del apartado anterior respetará los límites acordados entre el Gobierno de Navarra y el Ministerio de Hacienda en el marco de lo establecido en la normativa de estabilidad presupuestaria.</w:t>
      </w:r>
    </w:p>
    <w:p w14:paraId="5045750B"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3. Las personas responsables de las entidades del apartado 1 de este artículo estarán obligadas a suministrar la información en los formatos y plazos en que les sea requerida por el Departamento de Economía y Hacienda, a los efectos de cumplir los compromisos acordados en el marco de la estabilidad presupuestaria entre el Gobierno de Navarra y el Ministerio de Hacienda.</w:t>
      </w:r>
    </w:p>
    <w:p w14:paraId="3073F50F" w14:textId="77777777" w:rsidR="00EE00CD" w:rsidRPr="00C0709C" w:rsidRDefault="00EE00CD" w:rsidP="00C0709C">
      <w:pPr>
        <w:pStyle w:val="DICTA-TITULO1"/>
        <w:spacing w:beforeLines="60" w:before="144" w:afterLines="60" w:after="144" w:line="280" w:lineRule="exact"/>
        <w:rPr>
          <w:rFonts w:cs="Arial"/>
          <w:sz w:val="22"/>
          <w:szCs w:val="22"/>
          <w:lang w:val="es-ES_tradnl"/>
        </w:rPr>
      </w:pPr>
      <w:r w:rsidRPr="00C0709C">
        <w:rPr>
          <w:rFonts w:cs="Arial"/>
          <w:sz w:val="22"/>
          <w:szCs w:val="22"/>
          <w:lang w:val="es-ES_tradnl"/>
        </w:rPr>
        <w:lastRenderedPageBreak/>
        <w:t>TÍTULO IV</w:t>
      </w:r>
    </w:p>
    <w:p w14:paraId="6B8D1CC2" w14:textId="13D3BBD1" w:rsidR="00EE00CD" w:rsidRPr="00C0709C" w:rsidRDefault="00D473FF" w:rsidP="00C0709C">
      <w:pPr>
        <w:pStyle w:val="DICTA-SUBTITULO2"/>
        <w:spacing w:beforeLines="60" w:before="144" w:afterLines="60" w:after="144" w:line="280" w:lineRule="exact"/>
        <w:rPr>
          <w:rFonts w:cs="Arial"/>
          <w:sz w:val="22"/>
          <w:szCs w:val="22"/>
          <w:lang w:val="es-ES_tradnl"/>
        </w:rPr>
      </w:pPr>
      <w:r w:rsidRPr="00C0709C">
        <w:rPr>
          <w:rFonts w:cs="Arial"/>
          <w:sz w:val="22"/>
          <w:szCs w:val="22"/>
          <w:lang w:val="es-ES_tradnl"/>
        </w:rPr>
        <w:t>De las entidades locales</w:t>
      </w:r>
    </w:p>
    <w:p w14:paraId="3A507971"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bCs/>
          <w:sz w:val="22"/>
          <w:szCs w:val="22"/>
          <w:lang w:val="es-ES_tradnl"/>
        </w:rPr>
        <w:t>Artículo 27</w:t>
      </w:r>
      <w:r w:rsidRPr="00C0709C">
        <w:rPr>
          <w:rFonts w:cs="Arial"/>
          <w:sz w:val="22"/>
          <w:szCs w:val="22"/>
          <w:lang w:val="es-ES_tradnl"/>
        </w:rPr>
        <w:t>. Subvenciones y beneficios para inversiones de las Agrupaciones Tradicionales.</w:t>
      </w:r>
    </w:p>
    <w:p w14:paraId="56B655F0" w14:textId="5D469F2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La Comunidad de </w:t>
      </w:r>
      <w:proofErr w:type="spellStart"/>
      <w:r w:rsidRPr="00C0709C">
        <w:rPr>
          <w:rFonts w:cs="Arial"/>
          <w:sz w:val="22"/>
          <w:szCs w:val="22"/>
          <w:lang w:val="es-ES_tradnl"/>
        </w:rPr>
        <w:t>Bardenas</w:t>
      </w:r>
      <w:proofErr w:type="spellEnd"/>
      <w:r w:rsidRPr="00C0709C">
        <w:rPr>
          <w:rFonts w:cs="Arial"/>
          <w:sz w:val="22"/>
          <w:szCs w:val="22"/>
          <w:lang w:val="es-ES_tradnl"/>
        </w:rPr>
        <w:t xml:space="preserve"> Reales, así como las Juntas de los Valles de Roncal, Salazar y </w:t>
      </w:r>
      <w:proofErr w:type="spellStart"/>
      <w:r w:rsidRPr="00C0709C">
        <w:rPr>
          <w:rFonts w:cs="Arial"/>
          <w:sz w:val="22"/>
          <w:szCs w:val="22"/>
          <w:lang w:val="es-ES_tradnl"/>
        </w:rPr>
        <w:t>Aezkoa</w:t>
      </w:r>
      <w:proofErr w:type="spellEnd"/>
      <w:r w:rsidRPr="00C0709C">
        <w:rPr>
          <w:rFonts w:cs="Arial"/>
          <w:sz w:val="22"/>
          <w:szCs w:val="22"/>
          <w:lang w:val="es-ES_tradnl"/>
        </w:rPr>
        <w:t xml:space="preserve"> podrán acogerse a las aportaciones y demás beneficios establecidos en los Presupuestos Generales de Navarra con cargo a la Hacienda Pública de Navarra, para las inversiones que aprueben sus órganos competentes.</w:t>
      </w:r>
    </w:p>
    <w:p w14:paraId="2C0BB8D9" w14:textId="77777777" w:rsidR="00EE00CD" w:rsidRPr="00C0709C" w:rsidRDefault="00EE00CD" w:rsidP="00C0709C">
      <w:pPr>
        <w:pStyle w:val="DICTA-TITULO1"/>
        <w:spacing w:beforeLines="60" w:before="144" w:afterLines="60" w:after="144" w:line="280" w:lineRule="exact"/>
        <w:rPr>
          <w:rFonts w:cs="Arial"/>
          <w:sz w:val="22"/>
          <w:szCs w:val="22"/>
          <w:lang w:val="es-ES_tradnl"/>
        </w:rPr>
      </w:pPr>
      <w:r w:rsidRPr="00C0709C">
        <w:rPr>
          <w:rFonts w:cs="Arial"/>
          <w:sz w:val="22"/>
          <w:szCs w:val="22"/>
          <w:lang w:val="es-ES_tradnl"/>
        </w:rPr>
        <w:t>TÍTULO V</w:t>
      </w:r>
    </w:p>
    <w:p w14:paraId="36B3236C" w14:textId="0D4AF4E6" w:rsidR="00EE00CD" w:rsidRPr="00C0709C" w:rsidRDefault="00D473FF" w:rsidP="00C0709C">
      <w:pPr>
        <w:pStyle w:val="DICTA-SUBTITULO2"/>
        <w:spacing w:beforeLines="60" w:before="144" w:afterLines="60" w:after="144" w:line="280" w:lineRule="exact"/>
        <w:rPr>
          <w:rFonts w:cs="Arial"/>
          <w:sz w:val="22"/>
          <w:szCs w:val="22"/>
          <w:lang w:val="es-ES_tradnl"/>
        </w:rPr>
      </w:pPr>
      <w:r w:rsidRPr="00C0709C">
        <w:rPr>
          <w:rFonts w:cs="Arial"/>
          <w:sz w:val="22"/>
          <w:szCs w:val="22"/>
          <w:lang w:val="es-ES_tradnl"/>
        </w:rPr>
        <w:t>De la gestión presupuestaria</w:t>
      </w:r>
    </w:p>
    <w:p w14:paraId="1162B031"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Artículo 28.</w:t>
      </w:r>
      <w:r w:rsidRPr="00C0709C">
        <w:rPr>
          <w:rFonts w:cs="Arial"/>
          <w:sz w:val="22"/>
          <w:szCs w:val="22"/>
          <w:lang w:val="es-ES_tradnl"/>
        </w:rPr>
        <w:t xml:space="preserve"> Modificaciones presupuestarias financiadas con previsibles mayores ingresos.</w:t>
      </w:r>
    </w:p>
    <w:p w14:paraId="3F08B1F9"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De acuerdo con lo establecido en la sección 2.ª del capítulo I del título II de la Ley Foral 13/2007, de 4 de abril, de la Hacienda Pública de Navarra, las generaciones de crédito son modificaciones presupuestarias que incrementan los créditos como consecuencia de la realización de determinados ingresos no previstos o superiores a los contemplados en el presupuesto inicial.</w:t>
      </w:r>
    </w:p>
    <w:p w14:paraId="63E868FB"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Excepcionalmente, tratándose de gastos financiados por otras Administraciones o entidades públicas, se podrán aumentar créditos en el estado de gastos del Presupuesto sin que se haya producido efectivamente el correspondiente ingreso, siempre y cuando se acredite documentalmente el compromiso de financiación de la Administración o entidad que haya de aportar los fondos, en los casos siguientes:</w:t>
      </w:r>
    </w:p>
    <w:p w14:paraId="1B37195C"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a) Cuando sean necesarios para atender los gastos de personal.</w:t>
      </w:r>
    </w:p>
    <w:p w14:paraId="15E24B3D"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b) Cuando correspondan a subvenciones periódicas que tengan por finalidad prestaciones de carácter personal o social.</w:t>
      </w:r>
    </w:p>
    <w:p w14:paraId="64386653"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c) Cuando correspondan a programas de los que se recibe la financiación, por medio de un reembolso, con la justificación de los gastos efectivamente producidos.</w:t>
      </w:r>
    </w:p>
    <w:p w14:paraId="269425FC"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d) Cuando se trate de aportaciones destinadas a financiar actuaciones encuadradas en el Plan de Recuperación, Transformación y Resiliencia.</w:t>
      </w:r>
    </w:p>
    <w:p w14:paraId="409A89BD"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e) En aquellos otros supuestos, debidamente justificados, con autorización del Gobierno de Navarra, previo informe del departamento competente en materia de presupuestos.</w:t>
      </w:r>
    </w:p>
    <w:p w14:paraId="1AE70665"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Artículo 29</w:t>
      </w:r>
      <w:r w:rsidRPr="00C0709C">
        <w:rPr>
          <w:rFonts w:cs="Arial"/>
          <w:sz w:val="22"/>
          <w:szCs w:val="22"/>
          <w:lang w:val="es-ES_tradnl"/>
        </w:rPr>
        <w:t>. Compromisos de gastos con cargo a futuros presupuestos.</w:t>
      </w:r>
    </w:p>
    <w:p w14:paraId="3E66DB90"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1. El Gobierno de Navarra podrá autorizar la adquisición de compromisos de gastos de carácter plurianual, más allá de los límites y anualidades que autoriza la Ley Foral 13/2007, de 4 de abril, de la Hacienda Pública de Navarra, en los siguientes supuestos:</w:t>
      </w:r>
    </w:p>
    <w:p w14:paraId="63AA91BF"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a) Concesión de ayudas económicas a personas promotoras, adquirentes, usuarias y adjudicatarias de viviendas protegidas, y para rehabilitación de viviendas siempre y cuando no sobrepase las cuantías consignadas para tal fin en el ejercicio precedente.</w:t>
      </w:r>
    </w:p>
    <w:p w14:paraId="01E3C4E8"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lastRenderedPageBreak/>
        <w:t>b) Para hacer frente a los planes, programas e iniciativas cofinanciadas por la Unión Europea y/o por la Administración General del Estado, así como a las obligaciones derivadas de los mismos que deban contener una planificación superior a cinco años.</w:t>
      </w:r>
    </w:p>
    <w:p w14:paraId="64257F79"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c) Concesión de ayudas en forma de bonificación de intereses de los créditos o préstamos concertados por las empresas para la financiación de proyectos de I+D+i y para la concesión de ayudas a centros tecnológicos e infraestructuras científicas y tecnológicas singulares.</w:t>
      </w:r>
    </w:p>
    <w:p w14:paraId="20890248"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d) Concesión de las subvenciones establecidas por el Real Decreto 196/2010, de 26 de febrero, por el que se establecen medidas para facilitar la reinserción laboral, así como el establecimiento de ayudas especiales al personal afectado por los expedientes de regulación de empleo 76/2000, de 8 de marzo de 2001 y 25/2001, de 31 de julio de 2001.</w:t>
      </w:r>
    </w:p>
    <w:p w14:paraId="23A36159"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e) Los necesarios para dar cumplimiento a lo establecido en la Ley Orgánica 2/2006, de 3 de mayo, de Educación, respecto a la renovación de los conciertos educativos.</w:t>
      </w:r>
    </w:p>
    <w:p w14:paraId="4BA17070"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f) Concesión de ayudas económicas a las entidades locales para la elaboración o revisión de su planeamiento urbanístico municipal.</w:t>
      </w:r>
    </w:p>
    <w:p w14:paraId="7C78D5AD"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g) Arrendamiento de bienes inmuebles.</w:t>
      </w:r>
    </w:p>
    <w:p w14:paraId="1B3ED1F0"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2. El Departamento de Educación podrá contratar el transporte escolar y el servicio de comedores escolares, adquiriendo al efecto compromisos de gasto con cargo al presupuesto del ejercicio siguiente, siempre y cuando los citados compromisos correspondan a un periodo anual que sea diferente del ejercicio presupuestario por responder a las necesidades del curso escolar. </w:t>
      </w:r>
    </w:p>
    <w:p w14:paraId="69250120"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3. El Departamento de Universidad, Innovación y Transformación Digital y el Departamento de Educación podrán conceder becas y ayudas, adquiriendo al efecto compromisos de gasto con cargo al presupuesto del ejercicio siguiente, siempre y cuando los citados compromisos correspondan a un periodo anual que sea diferente del ejercicio presupuestario por responder a las necesidades del curso escolar.</w:t>
      </w:r>
    </w:p>
    <w:p w14:paraId="312BDA3C"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Artículo 30</w:t>
      </w:r>
      <w:r w:rsidRPr="00C0709C">
        <w:rPr>
          <w:rFonts w:cs="Arial"/>
          <w:sz w:val="22"/>
          <w:szCs w:val="22"/>
          <w:lang w:val="es-ES_tradnl"/>
        </w:rPr>
        <w:t xml:space="preserve"> Movimiento de fondos con motivo de incremento de retribuciones.</w:t>
      </w:r>
    </w:p>
    <w:p w14:paraId="509DEC8D"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La persona titular de la Dirección General de Función Pública podrá autorizar movimientos de fondos que se realicen con cargo a la partida F30001-F3100-1800-921402 “Incremento retributivo”, con objeto de financiar las partidas donde se impute el gasto como consecuencia del incremento de retribuciones previsto en los artículos 6, 7, 8 y 9.</w:t>
      </w:r>
    </w:p>
    <w:p w14:paraId="79F7A611"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Artículo 31</w:t>
      </w:r>
      <w:r w:rsidRPr="00C0709C">
        <w:rPr>
          <w:rFonts w:cs="Arial"/>
          <w:sz w:val="22"/>
          <w:szCs w:val="22"/>
          <w:lang w:val="es-ES_tradnl"/>
        </w:rPr>
        <w:t>. Movimiento de fondos con motivo de la incorporación de personal derivado de la Oferta Pública de Empleo de puestos de trabajo no susceptibles de contratación temporal.</w:t>
      </w:r>
    </w:p>
    <w:p w14:paraId="2FAB6274"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La persona titular de la Dirección General de Función Pública podrá autorizar movimientos de fondos que se realicen con cargo a la partida F30001-F3100-1800-921404 “Oferta Pública de Empleo de puestos no susceptibles de contratación”, con objeto de financiar las partidas donde se impute el gasto como consecuencia de la incorporación efectiva de personal.</w:t>
      </w:r>
    </w:p>
    <w:p w14:paraId="04DCAFBB"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lastRenderedPageBreak/>
        <w:t>Artículo 32.</w:t>
      </w:r>
      <w:r w:rsidRPr="00C0709C">
        <w:rPr>
          <w:rFonts w:cs="Arial"/>
          <w:sz w:val="22"/>
          <w:szCs w:val="22"/>
          <w:lang w:val="es-ES_tradnl"/>
        </w:rPr>
        <w:t xml:space="preserve"> Compensación de gastos de funcionamiento de organizaciones sindicales en el ámbito de la Administración de la Comunidad Foral de Navarra y sus Organismos Autónomos.</w:t>
      </w:r>
    </w:p>
    <w:p w14:paraId="5326D1B4"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Las partidas F30001-F3300-4819-921302; 410005-41700-4819-321100 y 540000-52000-4819-311100, las tres con la denominación “Compensación de gastos de funcionamiento de organizaciones sindicales”, podrán financiar aquellos gastos de cualquier naturaleza que resulten necesarios para el desarrollo de la actividad propia de las organizaciones sindicales.</w:t>
      </w:r>
    </w:p>
    <w:p w14:paraId="45C2A548"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Artículo 33</w:t>
      </w:r>
      <w:r w:rsidRPr="00C0709C">
        <w:rPr>
          <w:rFonts w:cs="Arial"/>
          <w:sz w:val="22"/>
          <w:szCs w:val="22"/>
          <w:lang w:val="es-ES_tradnl"/>
        </w:rPr>
        <w:t>. Movimiento de fondos por gastos de obras, Plan de Inmuebles y mobiliario, del Servicio de Patrimonio.</w:t>
      </w:r>
    </w:p>
    <w:p w14:paraId="0AF5DCEC"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La persona titular de la Dirección General de Presupuestos y Patrimonio podrá autorizar movimientos de fondos que se realicen entre las partidas 111002-11300-6020-923104 denominada “Plan de Inmuebles. Oficinas administrativas”, 111002-11300-6020-923100 denominada “Edificios y obras de nueva instalación, y reforma del patrimonio inmobiliario” y 111002-11300-6050-923100 denominada “Plan de Inmuebles. Mobiliario y equipamiento de edificios y obras”.</w:t>
      </w:r>
    </w:p>
    <w:p w14:paraId="61B4A4B5"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Artículo 34.</w:t>
      </w:r>
      <w:r w:rsidRPr="00C0709C">
        <w:rPr>
          <w:rFonts w:cs="Arial"/>
          <w:sz w:val="22"/>
          <w:szCs w:val="22"/>
          <w:lang w:val="es-ES_tradnl"/>
        </w:rPr>
        <w:t xml:space="preserve"> Movimiento de fondos por intereses.</w:t>
      </w:r>
    </w:p>
    <w:p w14:paraId="5B9B42F2"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La persona titular de la Dirección General de Economía-Next </w:t>
      </w:r>
      <w:proofErr w:type="spellStart"/>
      <w:r w:rsidRPr="00C0709C">
        <w:rPr>
          <w:rFonts w:cs="Arial"/>
          <w:sz w:val="22"/>
          <w:szCs w:val="22"/>
          <w:lang w:val="es-ES_tradnl"/>
        </w:rPr>
        <w:t>Generation</w:t>
      </w:r>
      <w:proofErr w:type="spellEnd"/>
      <w:r w:rsidRPr="00C0709C">
        <w:rPr>
          <w:rFonts w:cs="Arial"/>
          <w:sz w:val="22"/>
          <w:szCs w:val="22"/>
          <w:lang w:val="es-ES_tradnl"/>
        </w:rPr>
        <w:t xml:space="preserve"> podrá autorizar movimientos de fondos que se realicen entre las partidas destinadas al pago de intereses y otros gastos financieros, y todas las que fuera necesario habilitar, sin las limitaciones del artículo 38 de la Ley Foral 13/2007, de 4 de abril, de la Hacienda Pública de Navarra, ya sean estos devengados por la deuda, por préstamos, por operaciones de Tesorería o por saldos en cuentas.</w:t>
      </w:r>
    </w:p>
    <w:p w14:paraId="10E7792D"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bCs/>
          <w:sz w:val="22"/>
          <w:szCs w:val="22"/>
          <w:lang w:val="es-ES_tradnl"/>
        </w:rPr>
        <w:t>Artículo 35</w:t>
      </w:r>
      <w:r w:rsidRPr="00C0709C">
        <w:rPr>
          <w:rFonts w:cs="Arial"/>
          <w:sz w:val="22"/>
          <w:szCs w:val="22"/>
          <w:lang w:val="es-ES_tradnl"/>
        </w:rPr>
        <w:t>. Movimiento de fondos para financiación del Plan de gratuidad de libros de texto escolares.</w:t>
      </w:r>
    </w:p>
    <w:p w14:paraId="46E169A2"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Podrán realizarse movimientos de fondos entre las partidas presupuestarias destinadas a la financiación del plan de gratuidad de libros de texto y material educativo o aquellas que fuera necesario habilitar, sin las limitaciones del artículo 38 de la Ley Foral 13/2007, de 4 de abril, de la Hacienda Pública de Navarra, para su adecuada financiación. La competencia para autorizar los mencionados movimientos de fondos corresponderá a la persona titular de la Dirección General de Formación Profesional, Digitalización y Servicios Educativos del Departamento de Educación.</w:t>
      </w:r>
    </w:p>
    <w:p w14:paraId="61BF362A" w14:textId="77777777" w:rsidR="00EE00CD" w:rsidRPr="00C0709C" w:rsidRDefault="00EE00CD" w:rsidP="00C0709C">
      <w:pPr>
        <w:pStyle w:val="DICTA-TEXTO"/>
        <w:spacing w:beforeLines="60" w:before="144" w:afterLines="60" w:after="144" w:line="280" w:lineRule="exact"/>
        <w:rPr>
          <w:rFonts w:cs="Arial"/>
          <w:b/>
          <w:sz w:val="22"/>
          <w:szCs w:val="22"/>
          <w:lang w:val="es-ES_tradnl"/>
        </w:rPr>
      </w:pPr>
      <w:r w:rsidRPr="00C0709C">
        <w:rPr>
          <w:rFonts w:cs="Arial"/>
          <w:b/>
          <w:sz w:val="22"/>
          <w:szCs w:val="22"/>
          <w:lang w:val="es-ES_tradnl"/>
        </w:rPr>
        <w:t xml:space="preserve">Artículo 36. </w:t>
      </w:r>
      <w:r w:rsidRPr="00C0709C">
        <w:rPr>
          <w:rFonts w:cs="Arial"/>
          <w:sz w:val="22"/>
          <w:szCs w:val="22"/>
          <w:lang w:val="es-ES_tradnl"/>
        </w:rPr>
        <w:t>Movimiento de fondos entre gastos de transporte y comedores escolares.</w:t>
      </w:r>
    </w:p>
    <w:p w14:paraId="7C31EB5F"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La persona titular de la Dirección General de Formación Profesional, Digitalización y Servicios Educativos del Departamento de Educación podrá autorizar movimientos de fondos que se realicen entre partidas destinadas al transporte escolar y aquellas que fuese necesario habilitar, sin las limitaciones del artículo 38 de la Ley Foral 13/2007, de 4 de abril, de la Hacienda Pública de Navarra, para su adecuada ejecución.</w:t>
      </w:r>
    </w:p>
    <w:p w14:paraId="31A58D3A"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Asimismo, podrá autorizar movimientos de fondos entre partidas destinadas a los comedores escolares y aquellas que fuese necesario habilitar, sin las limitaciones del artículo 38 de la Ley Foral 13/2007, de 4 de abril, de la Hacienda Pública de Navarra, para su adecuada ejecución.</w:t>
      </w:r>
    </w:p>
    <w:p w14:paraId="0C8DA812"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lastRenderedPageBreak/>
        <w:t>Artículo 37</w:t>
      </w:r>
      <w:r w:rsidRPr="00C0709C">
        <w:rPr>
          <w:rFonts w:cs="Arial"/>
          <w:sz w:val="22"/>
          <w:szCs w:val="22"/>
          <w:lang w:val="es-ES_tradnl"/>
        </w:rPr>
        <w:t>. Movimiento de fondos entre partidas construcción y obras en centros educativos.</w:t>
      </w:r>
    </w:p>
    <w:p w14:paraId="7EFC58CA"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La persona titular de la Dirección General de Personal e Infraestructuras del Departamento de Educación podrá autorizar movimientos de fondos que se realicen entre partidas destinadas a la construcción y obras en centros docentes públicos y las que para este fin fuera necesario habilitar, sin las limitaciones del artículo 38 de la Ley Foral 13/2007, de 4 de abril, de la Hacienda Pública de Navarra.</w:t>
      </w:r>
    </w:p>
    <w:p w14:paraId="0D2A2CBA"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Artículo 38.</w:t>
      </w:r>
      <w:r w:rsidRPr="00C0709C">
        <w:rPr>
          <w:rFonts w:cs="Arial"/>
          <w:sz w:val="22"/>
          <w:szCs w:val="22"/>
          <w:lang w:val="es-ES_tradnl"/>
        </w:rPr>
        <w:t xml:space="preserve"> Dotación Presupuestaria de los Centros Asociados de la UNED.</w:t>
      </w:r>
    </w:p>
    <w:p w14:paraId="4A08BE9C"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Las transferencias corrientes para atender la financiación de los Centros Asociados de la UNED de Pamplona y Tudela se librarán, con carácter general, por trimestres anticipados.</w:t>
      </w:r>
    </w:p>
    <w:p w14:paraId="3092818C"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Artículo 39</w:t>
      </w:r>
      <w:r w:rsidRPr="00C0709C">
        <w:rPr>
          <w:rFonts w:cs="Arial"/>
          <w:sz w:val="22"/>
          <w:szCs w:val="22"/>
          <w:lang w:val="es-ES_tradnl"/>
        </w:rPr>
        <w:t>. Sostenimiento de centros concertados y asimilados.</w:t>
      </w:r>
    </w:p>
    <w:p w14:paraId="02FDC1F1"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1. Conforme a lo establecido en el artículo 117 de la Ley Orgánica 2/2006, de 3 de mayo, de Educación, el importe del módulo económico por unidad escolar, a efectos de distribución de la cuantía global de los fondos públicos destinados al sostenimiento de los centros concertados y subvencionados, para el año 2024, es el fijado en la disposición adicional novena.</w:t>
      </w:r>
    </w:p>
    <w:p w14:paraId="6ADF9056"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Se faculta al Gobierno de Navarra, previa negociación con el sector de la enseñanza concertada y previo informe favorable del Departamento de Economía y Hacienda, para modificar los módulos económicos y las ratios de la disposición adicional novena y la cuantía fijada en el apartado cinco del presente artículo, así como para determinar la fecha de efectividad.</w:t>
      </w:r>
    </w:p>
    <w:p w14:paraId="2E693845"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Las previsiones sobre retribuciones del personal docente, incluidas en la disposición adicional novena, tendrán efectividad desde el día 1 de enero de 2024, sin perjuicio de la fecha en que se firmen los respectivos Convenios Colectivos de la Enseñanza Privada, pudiendo la Administración aceptar pagos a cuenta, previa solicitud expresa y coincidente de todas las organizaciones patronales y consulta con las sindicales, hasta el momento en que se produzca la firma del correspondiente Convenio, considerándose que estos pagos a cuenta tendrán efecto desde el 1 de enero de 2024.</w:t>
      </w:r>
    </w:p>
    <w:p w14:paraId="46754EB5"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El componente del módulo destinado a “otros gastos” y, en su caso, “personal y gastos específicos”, incluido en la disposición adicional novena, tendrá efectos a partir del 1 de enero de 2024.</w:t>
      </w:r>
    </w:p>
    <w:p w14:paraId="091B0BB1"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Las cuantías señaladas para salarios del personal docente incluidas cargas sociales, serán abonadas directamente por la Administración mediante pago delegado, sin perjuicio de la relación laboral entre el profesorado y el titular del centro respectivo.</w:t>
      </w:r>
    </w:p>
    <w:p w14:paraId="1E9C8C0F"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Las cuantías correspondientes a “otros gastos” y, en su caso, “personal y gastos específicos” se abonarán a los centros concertados, debiendo estos justificar su aplicación al finalizar cada curso escolar, teniendo en cuenta que en el apartado de “personal y gastos específicos” de las unidades de educación especial debe incluir, al menos, una persona de apoyo de las que hace referencia la Orden Foral 50/2019, de 15 de junio, de la Consejera de Educación.</w:t>
      </w:r>
    </w:p>
    <w:p w14:paraId="3C48384C"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lastRenderedPageBreak/>
        <w:t>La distribución de los importes que integran los “gastos variables” se efectuará de acuerdo con lo que se establece en las Disposiciones Reguladoras del Régimen de Conciertos.</w:t>
      </w:r>
    </w:p>
    <w:p w14:paraId="7B5F1EED"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2. La persona titular de la Dirección General de Personal e Infraestructuras del Departamento de Educación podrá autorizar la realización de movimientos de fondos entre las partidas declaradas ampliables del proyecto 410003 Subvenciones a la enseñanza privada concertada y asimilada de código económico 4811 y las que fuera necesario habilitar, sin las limitaciones del artículo 38 de la Ley Foral 13/2007, de 4 de abril, de la Hacienda Pública de Navarra.</w:t>
      </w:r>
    </w:p>
    <w:p w14:paraId="28B49741"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3. Dado que en Navarra no se imparte actualmente toda la relación de títulos de formación profesional específica, el Departamento de Educación determinará de forma provisional los módulos económicos de aquellos Ciclos Formativos de Grado Básico, Medio o Superior que sean de nueva implantación en el curso 2024-2025 y no estén incluidos en la disposición adicional novena y podrá modificar provisionalmente los incluidos en la disposición adicional con efectos del inicio del curso 2024-2025 a la vista de la implantación de los mismos</w:t>
      </w:r>
    </w:p>
    <w:p w14:paraId="3DDA8B22"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4. A los centros concertados que hayan implantado el primer y segundo ciclo de la Educación Secundaria Obligatoria, el Bachillerato, los Ciclos Formativos de Grado Básico, Medio o Superior y la Formación Profesional Básica, se les dotará de la financiación de los servicios especializados de orientación educativa, psicopedagógica y profesional a que se refiere el artículo 2.2 de la Ley Orgánica 2/2006, de 3 de mayo, de Educación. Esta dotación se realizará en la proporción equivalente a una jornada completa del profesional adecuado a estas funciones, por cada 25 unidades concertadas de los mencionados niveles educativos. Por tanto, los centros concertados tendrán derecho a la financiación de la jornada correspondiente al citado profesional, en función del número de unidades de dichos niveles que tengan concertadas.</w:t>
      </w:r>
    </w:p>
    <w:p w14:paraId="3908D2FB"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5. El Concierto singular de los Ciclos Formativos de Grado Superior será parcial, de tal manera que las cantidades a percibir del alumnado en concepto de financiación complementaria a la proveniente de los fondos públicos que se asignen al régimen de conciertos singulares parciales, que se suscriban para la enseñanza del nivel no obligatorio de Ciclos Formativos de Grado Superior, y en concepto exclusivo de enseñanza reglada, es de 36 euros alumno/mes durante diez meses, desde el 1 de enero de 2024 hasta el 30 de junio del mismo año, y desde el 1 de septiembre de 2024 hasta el 31 de diciembre del mismo año excepto el alumnado matriculado en curso que conste exclusivamente de Formación Profesional en centros de trabajo. Estos últimos abonarán 32,45 euros alumno/mes durante los tres meses que dura la Formación Profesional en Centros de Trabajo del curso 2024-2025.</w:t>
      </w:r>
    </w:p>
    <w:p w14:paraId="73852F07"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El concierto singular de los Ciclos Formativos de Grado Superior online será parcial, de tal manera que las cantidades a percibir del alumnado en concepto de financiación complementaria a la proveniente de los fondos públicos que se asignen al régimen de conciertos singulares parciales, que se suscriban para la enseñanza del nivel no obligatorio de los Ciclos Formativos de Grado Superior online, y en concepto exclusivo de enseñanza reglada, es de 11,01 euros alumno/mes durante diez meses, desde el 1 de enero de 2024 hasta el 30 de junio del mismo año y desde el 1 de septiembre 2024 hasta el 31 de diciembre del mismo año, excepto el alumnado matriculado en curso que conste exclusivamente de </w:t>
      </w:r>
      <w:r w:rsidRPr="00C0709C">
        <w:rPr>
          <w:rFonts w:cs="Arial"/>
          <w:sz w:val="22"/>
          <w:szCs w:val="22"/>
          <w:lang w:val="es-ES_tradnl"/>
        </w:rPr>
        <w:lastRenderedPageBreak/>
        <w:t>Formación Profesional en centros de trabajo. Estos últimos abonarán 9,90 euros alumno/mes durante los tres meses que dura la Formación Profesional en Centros de Trabajo del curso 2024-2025.</w:t>
      </w:r>
    </w:p>
    <w:p w14:paraId="1E33C9FE"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La financiación obtenida por los centros, consecuencia del cobro al alumnado de estas cantidades, servirá para afrontar el apartado de “otros gastos” del módulo económico y en consecuencia la Administración sólo abonará la cantidad restante hasta alcanzar la cantidad total del apartado de “otros gastos”.</w:t>
      </w:r>
    </w:p>
    <w:p w14:paraId="7393A621"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6. El apoyo a la función directiva, de conformidad con lo previsto en la disposición adicional vigésimo séptima de la Ley Orgánica 2/2006, de 3 de mayo, de Educación, requiere una financiación que se concreta en que todos los módulos económicos por unidad escolar de los distintos niveles y modalidades educativas que se fijan en la disposición décima cuarta la presente ley foral, con excepción de las unidades que consistan exclusivamente en la formación en centros de trabajo, llevan incorporados en el concepto de otros gastos 771,51 euros anuales (514,34 euros en los ciclos formativos de grado superior online) para la financiación de otros cargos de la función directiva y/o pedagógica, independientemente del complemento de dirección que sigue incorporado al apartado de “gastos variables”.</w:t>
      </w:r>
    </w:p>
    <w:p w14:paraId="318DF12D"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7. Los centros docentes concertados de Educación Infantil y Enseñanzas Obligatorias que atiendan al alumnado con necesidades educativas especiales o en situaciones sociales o culturales desfavorecidas o en atención domiciliaria contarán con otros recursos económicos y humanos: profesorado de apoyo para la atención de este alumnado, servicios de logopedia y personal cuidador u otro personal complementario.</w:t>
      </w:r>
    </w:p>
    <w:p w14:paraId="5BF0AD4F"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La asignación de dichos recursos se realizará, con los informes técnicos precisos, previa convocatoria pública aprobada por el Departamento de Educación.</w:t>
      </w:r>
    </w:p>
    <w:p w14:paraId="133D1E87"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8. El importe del módulo económico por unidad escolar en las entidades sin ánimo de lucro que tienen suscrito convenio con el Departamento de Educación será el fijado en el Anexo I.</w:t>
      </w:r>
    </w:p>
    <w:p w14:paraId="76A77750"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 xml:space="preserve">Artículo 40. </w:t>
      </w:r>
      <w:r w:rsidRPr="00C0709C">
        <w:rPr>
          <w:rFonts w:cs="Arial"/>
          <w:sz w:val="22"/>
          <w:szCs w:val="22"/>
          <w:lang w:val="es-ES_tradnl"/>
        </w:rPr>
        <w:t>Movimiento de fondos para la gestión de créditos destinados a actuaciones financiadas con los fondos procedentes de la Conferencia Sectorial.</w:t>
      </w:r>
    </w:p>
    <w:p w14:paraId="3AF6FE25"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Podrán realizarse movimientos de fondos entre las partidas existentes y las que fuera necesario habilitar, sin las limitaciones del artículo 38 de la Ley Foral 13/2007, de 4 de abril, de la Hacienda Pública de Navarra, para imputar correctamente los gastos, en función de su naturaleza, correspondientes a las acciones de formación profesional acreditable para el empleo y políticas activas de empleo, ambos grupos financiados con fondos procedentes de la Conferencia Sectorial. </w:t>
      </w:r>
    </w:p>
    <w:p w14:paraId="522C66DB" w14:textId="0FA1CF7C"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La competencia para realizar estos movimientos de fondos corresponderá respectivamente a la persona titular de la Dirección General de Formación Profesional, Digitalización y Servicios Educativos del Departamento de Educación y a la persona titular de la Gerencia del Servicio Navarro de Empleo-</w:t>
      </w:r>
      <w:proofErr w:type="spellStart"/>
      <w:r w:rsidRPr="00C0709C">
        <w:rPr>
          <w:rFonts w:cs="Arial"/>
          <w:sz w:val="22"/>
          <w:szCs w:val="22"/>
          <w:lang w:val="es-ES_tradnl"/>
        </w:rPr>
        <w:t>Nafar</w:t>
      </w:r>
      <w:proofErr w:type="spellEnd"/>
      <w:r w:rsidRPr="00C0709C">
        <w:rPr>
          <w:rFonts w:cs="Arial"/>
          <w:sz w:val="22"/>
          <w:szCs w:val="22"/>
          <w:lang w:val="es-ES_tradnl"/>
        </w:rPr>
        <w:t xml:space="preserve"> </w:t>
      </w:r>
      <w:proofErr w:type="spellStart"/>
      <w:r w:rsidRPr="00C0709C">
        <w:rPr>
          <w:rFonts w:cs="Arial"/>
          <w:sz w:val="22"/>
          <w:szCs w:val="22"/>
          <w:lang w:val="es-ES_tradnl"/>
        </w:rPr>
        <w:t>Lansare</w:t>
      </w:r>
      <w:proofErr w:type="spellEnd"/>
      <w:r w:rsidRPr="00C0709C">
        <w:rPr>
          <w:rFonts w:cs="Arial"/>
          <w:sz w:val="22"/>
          <w:szCs w:val="22"/>
          <w:lang w:val="es-ES_tradnl"/>
        </w:rPr>
        <w:t xml:space="preserve"> adscrito al Departamento de Derechos Sociales, Economía Social y Empleo</w:t>
      </w:r>
    </w:p>
    <w:p w14:paraId="281FB127"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Artículo 41</w:t>
      </w:r>
      <w:r w:rsidRPr="00C0709C">
        <w:rPr>
          <w:rFonts w:cs="Arial"/>
          <w:sz w:val="22"/>
          <w:szCs w:val="22"/>
          <w:lang w:val="es-ES_tradnl"/>
        </w:rPr>
        <w:t>. Promoción de la investigación.</w:t>
      </w:r>
    </w:p>
    <w:p w14:paraId="280D185D"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La promoción de la investigación en Ciencias de la Salud del Departamento de Salud tendrá la consideración de inversión propia del mismo, no siéndoles de aplicación la Ley </w:t>
      </w:r>
      <w:r w:rsidRPr="00C0709C">
        <w:rPr>
          <w:rFonts w:cs="Arial"/>
          <w:sz w:val="22"/>
          <w:szCs w:val="22"/>
          <w:lang w:val="es-ES_tradnl"/>
        </w:rPr>
        <w:lastRenderedPageBreak/>
        <w:t>Foral 11/2005, de 9 de noviembre, de Subvenciones, salvo en lo que se refiere a los anticipos, que se regirán por lo previsto en la citada norma.</w:t>
      </w:r>
    </w:p>
    <w:p w14:paraId="70A7A076"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Artículo 42</w:t>
      </w:r>
      <w:r w:rsidRPr="00C0709C">
        <w:rPr>
          <w:rFonts w:cs="Arial"/>
          <w:sz w:val="22"/>
          <w:szCs w:val="22"/>
          <w:lang w:val="es-ES_tradnl"/>
        </w:rPr>
        <w:t>. Aportación de fondos a la Fundación CENER para proyectos e inversiones en I+D+i.</w:t>
      </w:r>
    </w:p>
    <w:p w14:paraId="15E36EC6"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La partida G20001-G2100-7309-467300, denominada “Aportación de fondos a la Fundación CENER para proyectos e inversiones en I+D+i”, se aplicará a la amortización del saldo de los préstamos obtenidos por la Fundación Centro Nacional de Energías Renovables (CENER) para la financiación de sus proyectos e inversiones objeto de su finalidad de investigación y desarrollo en el campo de las energías renovables.</w:t>
      </w:r>
    </w:p>
    <w:p w14:paraId="6C347608"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Artículo 43</w:t>
      </w:r>
      <w:r w:rsidRPr="00C0709C">
        <w:rPr>
          <w:rFonts w:cs="Arial"/>
          <w:sz w:val="22"/>
          <w:szCs w:val="22"/>
          <w:lang w:val="es-ES_tradnl"/>
        </w:rPr>
        <w:t>. Fomento de trasplantes de órganos.</w:t>
      </w:r>
    </w:p>
    <w:p w14:paraId="40E44157"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El importe finalista que se reciba en los centros hospitalarios y que tenga por objeto el fomento de trasplantes de órganos podrá ser destinado tanto a gastos en bienes corrientes y servicios, como a gastos en bienes inventariables, siempre que estén relacionados con el fin para el cual se han recibido.</w:t>
      </w:r>
    </w:p>
    <w:p w14:paraId="42FAF51C"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Artículo 44</w:t>
      </w:r>
      <w:r w:rsidRPr="00C0709C">
        <w:rPr>
          <w:rFonts w:cs="Arial"/>
          <w:sz w:val="22"/>
          <w:szCs w:val="22"/>
          <w:lang w:val="es-ES_tradnl"/>
        </w:rPr>
        <w:t>. Movimiento de fondos para la gestión de créditos ampliables en el Servicio Navarro de Salud-</w:t>
      </w:r>
      <w:proofErr w:type="spellStart"/>
      <w:r w:rsidRPr="00C0709C">
        <w:rPr>
          <w:rFonts w:cs="Arial"/>
          <w:sz w:val="22"/>
          <w:szCs w:val="22"/>
          <w:lang w:val="es-ES_tradnl"/>
        </w:rPr>
        <w:t>Osasunbidea</w:t>
      </w:r>
      <w:proofErr w:type="spellEnd"/>
      <w:r w:rsidRPr="00C0709C">
        <w:rPr>
          <w:rFonts w:cs="Arial"/>
          <w:sz w:val="22"/>
          <w:szCs w:val="22"/>
          <w:lang w:val="es-ES_tradnl"/>
        </w:rPr>
        <w:t>.</w:t>
      </w:r>
    </w:p>
    <w:p w14:paraId="21455A03"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La persona titular de la Dirección de Gestión Económica y Servicios Generales del Servicio Navarro de Salud-</w:t>
      </w:r>
      <w:proofErr w:type="spellStart"/>
      <w:r w:rsidRPr="00C0709C">
        <w:rPr>
          <w:rFonts w:cs="Arial"/>
          <w:sz w:val="22"/>
          <w:szCs w:val="22"/>
          <w:lang w:val="es-ES_tradnl"/>
        </w:rPr>
        <w:t>Osasunbidea</w:t>
      </w:r>
      <w:proofErr w:type="spellEnd"/>
      <w:r w:rsidRPr="00C0709C">
        <w:rPr>
          <w:rFonts w:cs="Arial"/>
          <w:sz w:val="22"/>
          <w:szCs w:val="22"/>
          <w:lang w:val="es-ES_tradnl"/>
        </w:rPr>
        <w:t xml:space="preserve"> podrá autorizar la realización de movimientos de fondos entre las partidas presupuestarias del grupo de programas 54 declaradas ampliables en el artículo 5, apartado 5, letras a), g), h), j), k), l) y m) de la presente ley foral, y las que fuera necesario habilitar, sin las limitaciones del artículo 38 de la Ley Foral 13/2007, de 4 de abril, de la Hacienda Pública de Navarra, del Servicio Navarro de Salud-</w:t>
      </w:r>
      <w:proofErr w:type="spellStart"/>
      <w:r w:rsidRPr="00C0709C">
        <w:rPr>
          <w:rFonts w:cs="Arial"/>
          <w:sz w:val="22"/>
          <w:szCs w:val="22"/>
          <w:lang w:val="es-ES_tradnl"/>
        </w:rPr>
        <w:t>Osasunbidea</w:t>
      </w:r>
      <w:proofErr w:type="spellEnd"/>
      <w:r w:rsidRPr="00C0709C">
        <w:rPr>
          <w:rFonts w:cs="Arial"/>
          <w:sz w:val="22"/>
          <w:szCs w:val="22"/>
          <w:lang w:val="es-ES_tradnl"/>
        </w:rPr>
        <w:t>.</w:t>
      </w:r>
    </w:p>
    <w:p w14:paraId="6077EA8A"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Artículo 45</w:t>
      </w:r>
      <w:r w:rsidRPr="00C0709C">
        <w:rPr>
          <w:rFonts w:cs="Arial"/>
          <w:sz w:val="22"/>
          <w:szCs w:val="22"/>
          <w:lang w:val="es-ES_tradnl"/>
        </w:rPr>
        <w:t>. Movimiento de fondos para la gestión de créditos para la reducción de las listas de espera en el Servicio Navarro de Salud-</w:t>
      </w:r>
      <w:proofErr w:type="spellStart"/>
      <w:r w:rsidRPr="00C0709C">
        <w:rPr>
          <w:rFonts w:cs="Arial"/>
          <w:sz w:val="22"/>
          <w:szCs w:val="22"/>
          <w:lang w:val="es-ES_tradnl"/>
        </w:rPr>
        <w:t>Osasunbidea</w:t>
      </w:r>
      <w:proofErr w:type="spellEnd"/>
      <w:r w:rsidRPr="00C0709C">
        <w:rPr>
          <w:rFonts w:cs="Arial"/>
          <w:sz w:val="22"/>
          <w:szCs w:val="22"/>
          <w:lang w:val="es-ES_tradnl"/>
        </w:rPr>
        <w:t>.</w:t>
      </w:r>
    </w:p>
    <w:p w14:paraId="4C2AA8F0" w14:textId="3A775965"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Podrán realizarse movimientos de fondos entre las partidas correspondientes a las listas de espera, señaladas en el párrafo segundo del artículo 5 de la </w:t>
      </w:r>
      <w:r w:rsidR="00811580" w:rsidRPr="00C0709C">
        <w:rPr>
          <w:rFonts w:cs="Arial"/>
          <w:sz w:val="22"/>
          <w:szCs w:val="22"/>
          <w:lang w:val="es-ES_tradnl"/>
        </w:rPr>
        <w:t>presente ley foral</w:t>
      </w:r>
      <w:r w:rsidRPr="00C0709C">
        <w:rPr>
          <w:rFonts w:cs="Arial"/>
          <w:sz w:val="22"/>
          <w:szCs w:val="22"/>
          <w:lang w:val="es-ES_tradnl"/>
        </w:rPr>
        <w:t>, para una mejor gestión del gasto.</w:t>
      </w:r>
    </w:p>
    <w:p w14:paraId="612A129F"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La competencia para realizar estos movimientos de fondos corresponderá a la persona titular de la Dirección de Gestión Económica y Servicios Generales del Servicio Navarro de Salud-</w:t>
      </w:r>
      <w:proofErr w:type="spellStart"/>
      <w:r w:rsidRPr="00C0709C">
        <w:rPr>
          <w:rFonts w:cs="Arial"/>
          <w:sz w:val="22"/>
          <w:szCs w:val="22"/>
          <w:lang w:val="es-ES_tradnl"/>
        </w:rPr>
        <w:t>Osasunbidea</w:t>
      </w:r>
      <w:proofErr w:type="spellEnd"/>
      <w:r w:rsidRPr="00C0709C">
        <w:rPr>
          <w:rFonts w:cs="Arial"/>
          <w:sz w:val="22"/>
          <w:szCs w:val="22"/>
          <w:lang w:val="es-ES_tradnl"/>
        </w:rPr>
        <w:t>.</w:t>
      </w:r>
    </w:p>
    <w:p w14:paraId="35BDE3D6"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Artículo 46</w:t>
      </w:r>
      <w:r w:rsidRPr="00C0709C">
        <w:rPr>
          <w:rFonts w:cs="Arial"/>
          <w:sz w:val="22"/>
          <w:szCs w:val="22"/>
          <w:lang w:val="es-ES_tradnl"/>
        </w:rPr>
        <w:t>. Movimiento de fondos para la gestión de créditos del transporte sanitario en el Servicio Navarro de Salud-</w:t>
      </w:r>
      <w:proofErr w:type="spellStart"/>
      <w:r w:rsidRPr="00C0709C">
        <w:rPr>
          <w:rFonts w:cs="Arial"/>
          <w:sz w:val="22"/>
          <w:szCs w:val="22"/>
          <w:lang w:val="es-ES_tradnl"/>
        </w:rPr>
        <w:t>Osasunbidea</w:t>
      </w:r>
      <w:proofErr w:type="spellEnd"/>
      <w:r w:rsidRPr="00C0709C">
        <w:rPr>
          <w:rFonts w:cs="Arial"/>
          <w:sz w:val="22"/>
          <w:szCs w:val="22"/>
          <w:lang w:val="es-ES_tradnl"/>
        </w:rPr>
        <w:t>.</w:t>
      </w:r>
    </w:p>
    <w:p w14:paraId="6224E0E8"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Podrán realizarse movimientos de fondos entre las partidas siguientes 540002-52833-2231-311103 denominada “Encargo a BIDEAN. Transporte sanitario”, 540002-52833-4400-311100 denominada “Transferencia corriente BIDEAN” y 540002-52833-7400-311100 denominada “Transferencia capital BIDEAN”, sin las limitaciones del artículo 38 de la Ley Foral 13/2007, de 4 de abril, de la Hacienda Pública de Navarra, para una mejor gestión del gasto.</w:t>
      </w:r>
    </w:p>
    <w:p w14:paraId="77F45C99"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La competencia para realizar estos movimientos de fondos corresponderá a la persona titular de la Dirección de Gestión Económica y Servicios Generales del Servicio Navarro de Salud-</w:t>
      </w:r>
      <w:proofErr w:type="spellStart"/>
      <w:r w:rsidRPr="00C0709C">
        <w:rPr>
          <w:rFonts w:cs="Arial"/>
          <w:sz w:val="22"/>
          <w:szCs w:val="22"/>
          <w:lang w:val="es-ES_tradnl"/>
        </w:rPr>
        <w:t>Osasunbidea</w:t>
      </w:r>
      <w:proofErr w:type="spellEnd"/>
      <w:r w:rsidRPr="00C0709C">
        <w:rPr>
          <w:rFonts w:cs="Arial"/>
          <w:sz w:val="22"/>
          <w:szCs w:val="22"/>
          <w:lang w:val="es-ES_tradnl"/>
        </w:rPr>
        <w:t>.</w:t>
      </w:r>
    </w:p>
    <w:p w14:paraId="07F1BCFA"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lastRenderedPageBreak/>
        <w:t>Artículo 47.</w:t>
      </w:r>
      <w:r w:rsidRPr="00C0709C">
        <w:rPr>
          <w:rFonts w:cs="Arial"/>
          <w:sz w:val="22"/>
          <w:szCs w:val="22"/>
          <w:lang w:val="es-ES_tradnl"/>
        </w:rPr>
        <w:t xml:space="preserve"> Movimiento de fondos para la gestión de los créditos destinados a financiar el Programa de Desarrollo Rural de Navarra 2014-2020 y el Plan Estratégico de la PAC 2023-2027.</w:t>
      </w:r>
    </w:p>
    <w:p w14:paraId="66629C13"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Entre las partidas presupuestarias destinadas a financiar el Programa de Desarrollo Rural de Navarra 2014-2020 y el Plan Estratégico de la PAC 2023-2027 o aquellas que fuera necesario habilitar para su adecuada ejecución, sin las limitaciones del artículo 38 de la Ley Foral 13/2007, de 4 de abril, de la Hacienda Pública de Navarra, podrán realizarse movimientos de fondos.</w:t>
      </w:r>
    </w:p>
    <w:p w14:paraId="5A909D4C"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La competencia para autorizar los movimientos de fondos entre las partidas mencionadas corresponderá a la persona titular del departamento donde se encuadren las partidas afectadas. En el caso que corresponda a diferentes departamentos, la competencia será de la persona titular del Departamento de Economía y Hacienda, previa conformidad de los departamentos implicados.</w:t>
      </w:r>
    </w:p>
    <w:p w14:paraId="0DB683BB"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Artículo 48.</w:t>
      </w:r>
      <w:r w:rsidRPr="00C0709C">
        <w:rPr>
          <w:rFonts w:cs="Arial"/>
          <w:i/>
          <w:iCs/>
          <w:sz w:val="22"/>
          <w:szCs w:val="22"/>
          <w:lang w:val="es-ES_tradnl"/>
        </w:rPr>
        <w:t xml:space="preserve"> </w:t>
      </w:r>
      <w:r w:rsidRPr="00C0709C">
        <w:rPr>
          <w:rFonts w:cs="Arial"/>
          <w:sz w:val="22"/>
          <w:szCs w:val="22"/>
          <w:lang w:val="es-ES_tradnl"/>
        </w:rPr>
        <w:t>Ayudas autorizadas por la Comisión Europea conforme a las Directrices de la Unión Europea aplicables a las ayudas estatales en los sectores agrícola y forestal.</w:t>
      </w:r>
    </w:p>
    <w:p w14:paraId="439E269C"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Los regímenes de ayudas autorizados por la Comisión Europea conforme a las Directrices de la Unión Europea aplicables a las ayudas estatales en los sectores agrícola y forestal financiadas total o parcialmente con cargo a los Presupuestos Generales de </w:t>
      </w:r>
      <w:proofErr w:type="gramStart"/>
      <w:r w:rsidRPr="00C0709C">
        <w:rPr>
          <w:rFonts w:cs="Arial"/>
          <w:sz w:val="22"/>
          <w:szCs w:val="22"/>
          <w:lang w:val="es-ES_tradnl"/>
        </w:rPr>
        <w:t>Navarra,</w:t>
      </w:r>
      <w:proofErr w:type="gramEnd"/>
      <w:r w:rsidRPr="00C0709C">
        <w:rPr>
          <w:rFonts w:cs="Arial"/>
          <w:sz w:val="22"/>
          <w:szCs w:val="22"/>
          <w:lang w:val="es-ES_tradnl"/>
        </w:rPr>
        <w:t xml:space="preserve"> se regirán con carácter preferente por la normativa comunitaria aplicable en cada caso.</w:t>
      </w:r>
    </w:p>
    <w:p w14:paraId="0CCE87DE"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Artículo 49</w:t>
      </w:r>
      <w:r w:rsidRPr="00C0709C">
        <w:rPr>
          <w:rFonts w:cs="Arial"/>
          <w:sz w:val="22"/>
          <w:szCs w:val="22"/>
          <w:lang w:val="es-ES_tradnl"/>
        </w:rPr>
        <w:t>. Movimiento de fondos para la gestión de créditos del Fondo 0,7 %.</w:t>
      </w:r>
    </w:p>
    <w:p w14:paraId="0DAFBC94"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Podrán realizarse movimientos de fondos entre las partidas correspondientes al Fondo 0,7 % pudiendo crearse las necesarias para una mejor gestión del gasto.</w:t>
      </w:r>
    </w:p>
    <w:p w14:paraId="03D1E436" w14:textId="15470D3D" w:rsidR="00EE00CD" w:rsidRPr="00C0709C" w:rsidRDefault="00EE00CD" w:rsidP="00C0709C">
      <w:pPr>
        <w:pStyle w:val="DICTA-TEXTO"/>
        <w:spacing w:beforeLines="60" w:before="144" w:afterLines="60" w:after="144" w:line="280" w:lineRule="exact"/>
        <w:rPr>
          <w:rFonts w:cs="Arial"/>
          <w:b/>
          <w:sz w:val="22"/>
          <w:szCs w:val="22"/>
          <w:lang w:val="es-ES_tradnl"/>
        </w:rPr>
      </w:pPr>
      <w:r w:rsidRPr="00C0709C">
        <w:rPr>
          <w:rFonts w:cs="Arial"/>
          <w:sz w:val="22"/>
          <w:szCs w:val="22"/>
          <w:lang w:val="es-ES_tradnl"/>
        </w:rPr>
        <w:t>La competencia para autorizar los mencionados movimientos de fondos corresponderá al titular del departamento donde se encuadren las partidas afectadas. En el caso que corresponda a diferentes departamentos, la competencia será de la persona titular del Departamento de Economía y Hacienda, previa conformidad de los departamentos implicados.</w:t>
      </w:r>
    </w:p>
    <w:p w14:paraId="262C9F9F"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Artículo 50.</w:t>
      </w:r>
      <w:r w:rsidRPr="00C0709C">
        <w:rPr>
          <w:rFonts w:cs="Arial"/>
          <w:sz w:val="22"/>
          <w:szCs w:val="22"/>
          <w:lang w:val="es-ES_tradnl"/>
        </w:rPr>
        <w:t xml:space="preserve"> Incorporaciones de crédito por gasto no ejecutado correspondiente a la Ley Foral 7/2009, de 5 de junio, por la que se regula la asignación tributaria del 0,7 por 100 que los contribuyentes de la Comunidad Foral destinan a otros fines de interés social.</w:t>
      </w:r>
    </w:p>
    <w:p w14:paraId="6F2713F3"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El gasto consignado en los Presupuestos Generales de Navarra correspondiente a la Ley Foral 7/2009, de 5 de junio, por la que se regula la asignación tributaria del 0,7 por 100 que los contribuyentes de la Comunidad Foral destinan a otros fines de interés social, que no se ejecute en el ejercicio correspondiente tendrá la consideración de Remanente de Tesorería afecto y podrá incorporarse a ejercicios presupuestarios siguientes.</w:t>
      </w:r>
    </w:p>
    <w:p w14:paraId="1C2ABCF4"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Artículo 51.</w:t>
      </w:r>
      <w:r w:rsidRPr="00C0709C">
        <w:rPr>
          <w:rFonts w:cs="Arial"/>
          <w:sz w:val="22"/>
          <w:szCs w:val="22"/>
          <w:lang w:val="es-ES_tradnl"/>
        </w:rPr>
        <w:t xml:space="preserve"> Movimiento de fondos para la gestión de créditos del Fondo de residuos.</w:t>
      </w:r>
    </w:p>
    <w:p w14:paraId="3AC1BC90"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Podrán realizarse movimientos de fondos entre las partidas existentes y las que fuera necesario habilitar correspondientes al Fondo de residuos, sin las limitaciones del artículo 38 de la Ley Foral 13/2007, de 4 de abril, de la Hacienda Pública de Navarra, para una mejor gestión del gasto.</w:t>
      </w:r>
    </w:p>
    <w:p w14:paraId="7EDA3278"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lastRenderedPageBreak/>
        <w:t>La competencia para autorizar los movimientos de fondos entre las partidas mencionadas corresponderá a la persona titular del departamento donde se encuadren las partidas afectadas. En el caso que corresponda a diferentes departamentos, la competencia será de la persona titular del Departamento de Economía y Hacienda, previa conformidad de los departamentos implicados.</w:t>
      </w:r>
    </w:p>
    <w:p w14:paraId="0BB08308"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Artículo 52.</w:t>
      </w:r>
      <w:r w:rsidRPr="00C0709C">
        <w:rPr>
          <w:rFonts w:cs="Arial"/>
          <w:sz w:val="22"/>
          <w:szCs w:val="22"/>
          <w:lang w:val="es-ES_tradnl"/>
        </w:rPr>
        <w:t xml:space="preserve"> Incorporaciones de créditos de gasto no ejecutados correspondientes al Fondo de residuos.</w:t>
      </w:r>
    </w:p>
    <w:p w14:paraId="3AF30644"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El gasto consignado en los Presupuestos Generales de Navarra correspondiente al Fondo de residuos creado por la Ley Foral 14/2018, de 18 de junio, de residuos y su fiscalidad, que no se ejecute en el ejercicio correspondiente tendrá la consideración de Remanente de Tesorería afecto y podrá incorporarse a ejercicios presupuestarios siguientes.</w:t>
      </w:r>
    </w:p>
    <w:p w14:paraId="0A42F4CE"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Además, cuando de las cantidades a incorporar queden excedentes sin utilizar podrán ser destinados a otros flujos y partidas presupuestarias diferentes a los de su origen de los siguientes ejercicios presupuestarios siempre dentro de los objetivos y destinos que establecidos para el Fondo de Residuos y en partidas correctamente identificadas.</w:t>
      </w:r>
    </w:p>
    <w:p w14:paraId="79151AD4"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Artículo 53.</w:t>
      </w:r>
      <w:r w:rsidRPr="00C0709C">
        <w:rPr>
          <w:rFonts w:cs="Arial"/>
          <w:sz w:val="22"/>
          <w:szCs w:val="22"/>
          <w:lang w:val="es-ES_tradnl"/>
        </w:rPr>
        <w:t xml:space="preserve"> Movimiento de fondos para la gestión de créditos del Fondo Climático de Navarra.</w:t>
      </w:r>
    </w:p>
    <w:p w14:paraId="299CA510"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Podrán realizarse movimientos de fondos entre las partidas existentes y las que fuera necesario habilitar correspondientes al Fondo Climático de Navarra, sin las limitaciones del artículo 38 de la Ley Foral 13/2007, de 4 de abril, de la Hacienda Pública de Navarra, para una mejor gestión del gasto.</w:t>
      </w:r>
    </w:p>
    <w:p w14:paraId="1DC48044"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La competencia para autorizar los mencionados movimientos de fondos corresponderá a la persona titular del departamento donde se encuadren las partidas afectadas. En el caso que corresponda a diferentes departamentos, la competencia será de la persona titular del Departamento de Economía y Hacienda, previa conformidad de los departamentos implicados.</w:t>
      </w:r>
    </w:p>
    <w:p w14:paraId="4EFB9138"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Artículo 54.</w:t>
      </w:r>
      <w:r w:rsidRPr="00C0709C">
        <w:rPr>
          <w:rFonts w:cs="Arial"/>
          <w:sz w:val="22"/>
          <w:szCs w:val="22"/>
          <w:lang w:val="es-ES_tradnl"/>
        </w:rPr>
        <w:t xml:space="preserve"> Incorporaciones de créditos de gasto no ejecutados correspondientes al Fondo Climático de Navarra.</w:t>
      </w:r>
    </w:p>
    <w:p w14:paraId="087C9A20"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El gasto consignado en los Presupuestos Generales de Navarra correspondiente al Fondo Climático de Navarra creado por la </w:t>
      </w:r>
      <w:r w:rsidRPr="00C0709C">
        <w:rPr>
          <w:rFonts w:cs="Arial"/>
          <w:bCs/>
          <w:sz w:val="22"/>
          <w:szCs w:val="22"/>
          <w:lang w:val="es-ES_tradnl"/>
        </w:rPr>
        <w:t>Ley Foral 4/2022, de 22 de marzo, de cambio climático y transición energética</w:t>
      </w:r>
      <w:r w:rsidRPr="00C0709C">
        <w:rPr>
          <w:rFonts w:cs="Arial"/>
          <w:sz w:val="22"/>
          <w:szCs w:val="22"/>
          <w:lang w:val="es-ES_tradnl"/>
        </w:rPr>
        <w:t>, que no se ejecute en el ejercicio correspondiente tendrá la consideración de Remanente de Tesorería afecto y podrá incorporarse a ejercicios presupuestarios siguientes.</w:t>
      </w:r>
    </w:p>
    <w:p w14:paraId="1723003D"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Artículo 55.</w:t>
      </w:r>
      <w:r w:rsidRPr="00C0709C">
        <w:rPr>
          <w:rFonts w:cs="Arial"/>
          <w:sz w:val="22"/>
          <w:szCs w:val="22"/>
          <w:lang w:val="es-ES_tradnl"/>
        </w:rPr>
        <w:t xml:space="preserve"> Centrales sindicales y organizaciones empresariales.</w:t>
      </w:r>
    </w:p>
    <w:p w14:paraId="35E02731"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El gasto consignado en los Presupuestos Generales de Navarra a centrales sindicales y organizaciones empresariales se destinará a los siguientes conceptos:</w:t>
      </w:r>
    </w:p>
    <w:p w14:paraId="52D89944"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a) La partida 970000-97000-4819-494100, denominada “Subvención a la Asociación Unidad de Innovación Social para su funcionamiento”, se destinará a sufragar los gastos de infraestructura y mantenimiento de la Asociación Unidad de Innovación Social para que pueda cumplir con su finalidad de promoción e impulso de la innovación social, la ideación y desarrollo colaborativos de formas innovadoras de resolver retos sociales y que promuevan </w:t>
      </w:r>
      <w:r w:rsidRPr="00C0709C">
        <w:rPr>
          <w:rFonts w:cs="Arial"/>
          <w:sz w:val="22"/>
          <w:szCs w:val="22"/>
          <w:lang w:val="es-ES_tradnl"/>
        </w:rPr>
        <w:lastRenderedPageBreak/>
        <w:t>un desarrollo económico innovador, social, sostenible y centrado en las personas, generando actividad empresarial y empleo de calidad.</w:t>
      </w:r>
    </w:p>
    <w:p w14:paraId="7DBBBE3A"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b) La partida 970000-97000-4819-494103, denominada “Compensación por su participación a los sindicatos componentes del Comité de seguimiento del proceso electoral sindical”, se distribuirá entre los sindicatos que participen en la Comisión creada por Decreto Foral 182/1994, de 3 de octubre, en proporción al número de representantes de cada uno de ellos.</w:t>
      </w:r>
    </w:p>
    <w:p w14:paraId="41C9F4B5"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c) La partida 970000-97000-4819-494108, denominada, “Transferencias a centrales sindicales en proporción a su representatividad”, del presupuesto se distribuirá entre todas ellas en función de la representación que ostente cada una de ellas en el ámbito de la Comunidad Foral, y conforme a los resultados de las actas electorales cuyas votaciones y escrutinios se hayan celebrado en el periodo comprendido entre el 1 de enero de 2020 y el 31 de diciembre de 2023 y con mandato representativo en vigor en esta última fecha, según se dispone en la Orden Foral 26E/2017, de 16 de junio, del Consejero de Desarrollo Económico, por la que se establece el régimen de la subvención a las organizaciones sindicales para el ejercicio de sus actividades ordinarias, en proporción al número de representantes obtenido en Navarra, así como en su correspondiente convocatoria anual.</w:t>
      </w:r>
    </w:p>
    <w:p w14:paraId="3644EB85"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d) La partida 970000-97000-4819-494111 denominada “Transferencia a agentes sociales y empresariales por participación”, se destinará a fomentar la participación institucional de agentes sociales y empresariales, según se establece en la Orden Foral 222/2016, de 3 de noviembre, del Consejero de Desarrollo Económico, por la que se regulan las compensaciones que percibirán las organizaciones sindicales y empresariales por su participación.</w:t>
      </w:r>
    </w:p>
    <w:p w14:paraId="22DD2285"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e) La partida 970000-97000-4819-494113, denominada “Transferencia a organizaciones empresariales por su representatividad. CEN”, se destinará a sufragar los gastos de infraestructura y funcionamiento de la Confederación Empresarial de Navarra, para que pueda cumplir sus fines fundamentales recogidos en el artículo 4 de sus estatutos.</w:t>
      </w:r>
    </w:p>
    <w:p w14:paraId="515A01BD"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f) La partida 970000-97000-4819-494114, denominada “Promoción y mantenimiento de entidades de economía social. ANEL”, se destinará a sufragar los gastos de infraestructura y mantenimiento de la Asociación de Empresas de Economía Social de Navarra (ANEL) para que pueda cumplir con su finalidad de promoción, desarrollo, fomento y fortalecimiento de la economía social.</w:t>
      </w:r>
    </w:p>
    <w:p w14:paraId="2A1E217B"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g) La partida 970000-97000-4819-494121, denominada “Transferencia a la Asociación Centros Especiales de Empleo de Iniciativa Social”, se destinará a sufragar los gastos de infraestructura y funcionamiento de la Asociación Centros Especiales de Empleo de Iniciativa Social de Navarra (CEISNA), como entidad representativa de la economía social de Navarra, para que trabaje por la plena inclusión laboral y social de las personas con discapacidad.</w:t>
      </w:r>
    </w:p>
    <w:p w14:paraId="05676311"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h) La partida 970000-97000-4819-494122, denominada “Transferencia a la Asociación de Empresas de Inserción de Navarra (EINA) PIES”, se destinará a sufragar los gastos de infraestructura y funcionamiento de la Asociación de Empresas de Inserción de Navarra (EINA), como entidad representativa de la economía social de Navarra, para que trabaje por la integración social y laboral de personas con especiales dificultades de ingreso en el mercado laboral.</w:t>
      </w:r>
    </w:p>
    <w:p w14:paraId="240262AF"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lastRenderedPageBreak/>
        <w:t>i) La partida 970000-97000-4819-494123, denominada “Transferencia a la Asociación Fundaciones de Navarra PIES”, se destinará a sufragar los gastos de infraestructura y funcionamiento de la Asociación Fundaciones de Navarra, como entidad representativa de la economía social de Navarra, para que promueva el modelo fundacional desde la economía social y mejore su gestión y la cooperación entre ellas.</w:t>
      </w:r>
    </w:p>
    <w:p w14:paraId="696563AE"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j) La partida 970000-97000-4709-494128, denominada “Subvención a la Confederación Empresarial de Navarra CEN para fomento y dinamización en materia igualdad en empresas”, se destinará al impulso, asesoramiento y promoción de la igualdad de género en las empresas navarras.</w:t>
      </w:r>
    </w:p>
    <w:p w14:paraId="3AFAEB64"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k) La partida 950002-96200-4819-242106, denominada “Compensación por participación en actividades de prospección y planificación en necesidades formativas”, se distribuirá conforme a lo previsto por la Ley 30/2015, de 9 de septiembre, por la que se regula el Sistema de Formación profesional para el empleo en el ámbito laboral.</w:t>
      </w:r>
    </w:p>
    <w:p w14:paraId="77369E28"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Artículo 56.</w:t>
      </w:r>
      <w:r w:rsidRPr="00C0709C">
        <w:rPr>
          <w:rFonts w:cs="Arial"/>
          <w:sz w:val="22"/>
          <w:szCs w:val="22"/>
          <w:lang w:val="es-ES_tradnl"/>
        </w:rPr>
        <w:t xml:space="preserve"> Movimiento de fondos para la gestión de créditos destinados a prestaciones de inclusión social.</w:t>
      </w:r>
    </w:p>
    <w:p w14:paraId="0E4334F7"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La persona titular del Departamento de Derechos Sociales, Economía Social y Empleo podrá realizar movimientos de fondos entre la partida 901002-91100-4809-231500 denominada “Renta garantizada” y la partida 901002-91100-4809-231505 denominada “Ingreso mínimo vital” y las que fuera necesario habilitar sin las limitaciones del artículo 38 de la Ley Foral 13/2007, de 4 de abril, de la Hacienda Pública de Navarra, para una mejor gestión del gasto.</w:t>
      </w:r>
    </w:p>
    <w:p w14:paraId="7A75E66A"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Artículo 57</w:t>
      </w:r>
      <w:r w:rsidRPr="00C0709C">
        <w:rPr>
          <w:rFonts w:cs="Arial"/>
          <w:sz w:val="22"/>
          <w:szCs w:val="22"/>
          <w:lang w:val="es-ES_tradnl"/>
        </w:rPr>
        <w:t>. Movimiento de fondos para la gestión de créditos destinados a prestaciones garantizadas por la Cartera de Servicios Sociales en atención a la dependencia, discapacidad y enfermedad mental.</w:t>
      </w:r>
    </w:p>
    <w:p w14:paraId="06478DD6"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La persona titular del Departamento de Derechos Sociales, Economía Social y Empleo podrá realizar movimientos de fondos entre las siguientes partidas y las que para tales fines fuera necesario habilitar:</w:t>
      </w:r>
    </w:p>
    <w:p w14:paraId="12DDA787"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a) 920005-93100-2600-231B04 denominada “Gestión de centros de mayores”.</w:t>
      </w:r>
    </w:p>
    <w:p w14:paraId="69E627A6"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b) 920005-93100-2600-231B05 denominada “Gestión de centros de personas con discapacidad”.</w:t>
      </w:r>
    </w:p>
    <w:p w14:paraId="3E24289C"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c) 920005-93100-2600-231B06 denominada “Gestión de centros de enfermedad mental”.</w:t>
      </w:r>
    </w:p>
    <w:p w14:paraId="2ADF7820"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d) 920004-93200-4809-231B00 denominada “Ayudas vinculadas a servicio”.</w:t>
      </w:r>
    </w:p>
    <w:p w14:paraId="3C240F20"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e) 920004-93200-4809-231B02 denominada “Ayudas para la atención de servicios personales”.</w:t>
      </w:r>
    </w:p>
    <w:p w14:paraId="19624825"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Artículo 58</w:t>
      </w:r>
      <w:r w:rsidRPr="00C0709C">
        <w:rPr>
          <w:rFonts w:cs="Arial"/>
          <w:sz w:val="22"/>
          <w:szCs w:val="22"/>
          <w:lang w:val="es-ES_tradnl"/>
        </w:rPr>
        <w:t>. Movimiento de fondos para la gestión de créditos destinados a prestaciones garantizadas por la Cartera de Servicios Sociales en atención a la infancia y a la adolescencia.</w:t>
      </w:r>
    </w:p>
    <w:p w14:paraId="5BCFD19C"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La persona titular del Departamento de Derechos Sociales, Economía Social y Empleo podrá realizar movimientos de fondos entre las partidas del proyecto 920008 declaradas ampliables en el artículo 5, apartado 9, de esta ley foral y las que fuera necesario habilitar, </w:t>
      </w:r>
      <w:r w:rsidRPr="00C0709C">
        <w:rPr>
          <w:rFonts w:cs="Arial"/>
          <w:sz w:val="22"/>
          <w:szCs w:val="22"/>
          <w:lang w:val="es-ES_tradnl"/>
        </w:rPr>
        <w:lastRenderedPageBreak/>
        <w:t>sin las limitaciones del artículo 38 de la Ley Foral 13/2007, de 4 de abril, de la Hacienda Pública de Navarra.</w:t>
      </w:r>
    </w:p>
    <w:p w14:paraId="4D1AFEB5" w14:textId="1F77AE9A"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Artículo 59</w:t>
      </w:r>
      <w:r w:rsidRPr="00C0709C">
        <w:rPr>
          <w:rFonts w:cs="Arial"/>
          <w:sz w:val="22"/>
          <w:szCs w:val="22"/>
          <w:lang w:val="es-ES_tradnl"/>
        </w:rPr>
        <w:t xml:space="preserve">. Subvención a </w:t>
      </w:r>
      <w:proofErr w:type="spellStart"/>
      <w:r w:rsidRPr="00C0709C">
        <w:rPr>
          <w:rFonts w:cs="Arial"/>
          <w:sz w:val="22"/>
          <w:szCs w:val="22"/>
          <w:lang w:val="es-ES_tradnl"/>
        </w:rPr>
        <w:t>Parquenasa</w:t>
      </w:r>
      <w:r w:rsidR="00D473FF" w:rsidRPr="00C0709C">
        <w:rPr>
          <w:rFonts w:cs="Arial"/>
          <w:sz w:val="22"/>
          <w:szCs w:val="22"/>
          <w:lang w:val="es-ES_tradnl"/>
        </w:rPr>
        <w:t>-</w:t>
      </w:r>
      <w:r w:rsidRPr="00C0709C">
        <w:rPr>
          <w:rFonts w:cs="Arial"/>
          <w:sz w:val="22"/>
          <w:szCs w:val="22"/>
          <w:lang w:val="es-ES_tradnl"/>
        </w:rPr>
        <w:t>Sendaviva</w:t>
      </w:r>
      <w:proofErr w:type="spellEnd"/>
      <w:r w:rsidRPr="00C0709C">
        <w:rPr>
          <w:rFonts w:cs="Arial"/>
          <w:sz w:val="22"/>
          <w:szCs w:val="22"/>
          <w:lang w:val="es-ES_tradnl"/>
        </w:rPr>
        <w:t>.</w:t>
      </w:r>
    </w:p>
    <w:p w14:paraId="600ECAA2" w14:textId="257667FA"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La partida A30004-A3400-4709-458300, denominada “Subvención a </w:t>
      </w:r>
      <w:proofErr w:type="spellStart"/>
      <w:r w:rsidRPr="00C0709C">
        <w:rPr>
          <w:rFonts w:cs="Arial"/>
          <w:sz w:val="22"/>
          <w:szCs w:val="22"/>
          <w:lang w:val="es-ES_tradnl"/>
        </w:rPr>
        <w:t>Parquenasa</w:t>
      </w:r>
      <w:r w:rsidR="00D473FF" w:rsidRPr="00C0709C">
        <w:rPr>
          <w:rFonts w:cs="Arial"/>
          <w:sz w:val="22"/>
          <w:szCs w:val="22"/>
          <w:lang w:val="es-ES_tradnl"/>
        </w:rPr>
        <w:t>-</w:t>
      </w:r>
      <w:r w:rsidRPr="00C0709C">
        <w:rPr>
          <w:rFonts w:cs="Arial"/>
          <w:sz w:val="22"/>
          <w:szCs w:val="22"/>
          <w:lang w:val="es-ES_tradnl"/>
        </w:rPr>
        <w:t>Sendaviva</w:t>
      </w:r>
      <w:proofErr w:type="spellEnd"/>
      <w:r w:rsidRPr="00C0709C">
        <w:rPr>
          <w:rFonts w:cs="Arial"/>
          <w:sz w:val="22"/>
          <w:szCs w:val="22"/>
          <w:lang w:val="es-ES_tradnl"/>
        </w:rPr>
        <w:t xml:space="preserve">”, podrá financiar aquellos gastos de cualquier naturaleza que resulten necesarios para el desarrollo de la actividad del Parque </w:t>
      </w:r>
      <w:proofErr w:type="spellStart"/>
      <w:r w:rsidRPr="00C0709C">
        <w:rPr>
          <w:rFonts w:cs="Arial"/>
          <w:sz w:val="22"/>
          <w:szCs w:val="22"/>
          <w:lang w:val="es-ES_tradnl"/>
        </w:rPr>
        <w:t>Sendaviva</w:t>
      </w:r>
      <w:proofErr w:type="spellEnd"/>
      <w:r w:rsidRPr="00C0709C">
        <w:rPr>
          <w:rFonts w:cs="Arial"/>
          <w:sz w:val="22"/>
          <w:szCs w:val="22"/>
          <w:lang w:val="es-ES_tradnl"/>
        </w:rPr>
        <w:t>.</w:t>
      </w:r>
    </w:p>
    <w:p w14:paraId="087B8275"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En relación con esta subvención, se autoriza a las sociedades públicas de la Comunidad Foral de Navarra, a otorgar en el año 2024 nuevas operaciones de aval u otras garantías análogas, a Parque de la Naturaleza de Navarra, S.A. hasta el importe máximo de dicha partida, dentro del límite establecido en el artículo 25.2 de esta ley foral.</w:t>
      </w:r>
    </w:p>
    <w:p w14:paraId="4872A964"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Artículo 60</w:t>
      </w:r>
      <w:r w:rsidRPr="00C0709C">
        <w:rPr>
          <w:rFonts w:cs="Arial"/>
          <w:sz w:val="22"/>
          <w:szCs w:val="22"/>
          <w:lang w:val="es-ES_tradnl"/>
        </w:rPr>
        <w:t>. Representación del Gobierno de Navarra en Bruselas.</w:t>
      </w:r>
    </w:p>
    <w:p w14:paraId="338C4BA4"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Los gastos necesarios para el normal funcionamiento de la Oficina Permanente de Navarra ante la Unión Europea podrán ser abonados a través de anticipos de caja fija o, en su caso, de órdenes de pago a justificar.</w:t>
      </w:r>
    </w:p>
    <w:p w14:paraId="07AE5371"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Artículo 61</w:t>
      </w:r>
      <w:r w:rsidRPr="00C0709C">
        <w:rPr>
          <w:rFonts w:cs="Arial"/>
          <w:sz w:val="22"/>
          <w:szCs w:val="22"/>
          <w:lang w:val="es-ES_tradnl"/>
        </w:rPr>
        <w:t>. Dotaciones presupuestarias del Parlamento de Navarra, de la Cámara de Comptos, de la Institución del Defensor del Pueblo, del Consejo de Navarra y de la Oficina de Buenas Prácticas y Anticorrupción.</w:t>
      </w:r>
    </w:p>
    <w:p w14:paraId="0572B68F"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1. Las dotaciones presupuestarias del Parlamento de Navarra, de la Cámara de Comptos y de la Institución del Defensor del Pueblo se librarán en firme y periódicamente a medida que las solicite respectivamente la Mesa del Parlamento y quien ostente la representación de dichas instituciones.</w:t>
      </w:r>
    </w:p>
    <w:p w14:paraId="4B506DD1"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2. Sin perjuicio de su independencia orgánica y funcional, el Consejo de Navarra y la Oficina de Buenas Prácticas y Anticorrupción estarán sometidos a la normativa general para la gestión económica y presupuestaria de la Administración de la Comunidad Foral.</w:t>
      </w:r>
    </w:p>
    <w:p w14:paraId="60418D56"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Igualmente, su actuación de índole económica y presupuestaria estará sujeta al control de la Intervención del Gobierno de Navarra en los mismos términos que los establecidos para la Administración de la Comunidad Foral y sus organismos autónomos.</w:t>
      </w:r>
    </w:p>
    <w:p w14:paraId="738C3854"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Las transferencias corrientes al Consejo de Navarra y a la Oficina de Buenas Prácticas y Anticorrupción se librarán, con carácter general, por trimestres anticipados salvo que se justifiquen necesidades superiores.</w:t>
      </w:r>
    </w:p>
    <w:p w14:paraId="45BA9F81"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Las transferencias de capital se librarán a medida que las solicite quien ostente la representación de dichas instituciones, mediante justificación de la necesidad del gasto para el que se demanden aquellas.</w:t>
      </w:r>
    </w:p>
    <w:p w14:paraId="66092761"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 xml:space="preserve">Artículo 62. </w:t>
      </w:r>
      <w:r w:rsidRPr="00C0709C">
        <w:rPr>
          <w:rFonts w:cs="Arial"/>
          <w:sz w:val="22"/>
          <w:szCs w:val="22"/>
          <w:lang w:val="es-ES_tradnl"/>
        </w:rPr>
        <w:t>Movimiento de fondos para la gestión de créditos Mecanismo de Recuperación y Resiliencia.</w:t>
      </w:r>
    </w:p>
    <w:p w14:paraId="7D6FFE45"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Podrán realizarse movimientos de fondos entre las partidas existentes o que fuera necesario crear durante el ejercicio, sin las limitaciones del artículo 38 de la Ley Foral 13/2007, de 4 de abril, de la Hacienda Pública de Navarra, correspondientes a cada Subproyecto del Plan de Recuperación, Transformación y Resiliencia, aprobado por el órgano competente de la Administración del Estado. </w:t>
      </w:r>
    </w:p>
    <w:p w14:paraId="15BC9F94"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lastRenderedPageBreak/>
        <w:t xml:space="preserve">La competencia para autorizar los mencionados movimientos de fondos corresponderá a la persona titular del Departamento donde se encuadren las partidas afectadas. En el caso que corresponda a diferentes departamentos, la competencia será de la persona titular del Departamento de Economía y Hacienda, previa conformidad de los departamentos implicados. </w:t>
      </w:r>
    </w:p>
    <w:p w14:paraId="1A69B041"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 xml:space="preserve">Artículo 63. </w:t>
      </w:r>
      <w:r w:rsidRPr="00C0709C">
        <w:rPr>
          <w:rFonts w:cs="Arial"/>
          <w:sz w:val="22"/>
          <w:szCs w:val="22"/>
          <w:lang w:val="es-ES_tradnl"/>
        </w:rPr>
        <w:t>Movimiento de fondos para la gestión de créditos REACT-EU.</w:t>
      </w:r>
    </w:p>
    <w:p w14:paraId="5D865143"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Podrán realizarse movimientos de fondos entre las partidas existentes o que fuera necesario crear durante el ejercicio (sin las limitaciones del artículo 38 de la Ley Foral 13/2007, de 4 de abril, de la Hacienda Pública de Navarra) correspondientes a cada Objetivo específico financiado con recursos REACT-EU.</w:t>
      </w:r>
    </w:p>
    <w:p w14:paraId="5FB8A0CB"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La competencia para autorizar los mencionados movimientos de fondos corresponderá a la persona titular del Departamento donde se encuadren las partidas afectadas. En el caso que corresponda a diferentes departamentos, la competencia será de la persona titular del Departamento de Economía y Hacienda, previa conformidad de los departamentos implicados. </w:t>
      </w:r>
    </w:p>
    <w:p w14:paraId="4103058E"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 xml:space="preserve">Artículo 64. </w:t>
      </w:r>
      <w:r w:rsidRPr="00C0709C">
        <w:rPr>
          <w:rFonts w:cs="Arial"/>
          <w:sz w:val="22"/>
          <w:szCs w:val="22"/>
          <w:lang w:val="es-ES_tradnl"/>
        </w:rPr>
        <w:t>Incorporaciones de créditos de gasto no ejecutados correspondientes al Mecanismo de Recuperación y Resiliencia.</w:t>
      </w:r>
    </w:p>
    <w:p w14:paraId="074E1EB9"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El gasto consignado en los Presupuestos Generales de Navarra correspondiente al Mecanismo de Recuperación y Resiliencia que no se ejecute en el ejercicio tendrá la consideración de Remanente de Tesorería afecto y podrá incorporarse a ejercicios presupuestarios siguientes en cualquiera de las partidas incluidas en cada proyecto.</w:t>
      </w:r>
    </w:p>
    <w:p w14:paraId="44458AA4"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Artículo 65</w:t>
      </w:r>
      <w:r w:rsidRPr="00C0709C">
        <w:rPr>
          <w:rFonts w:cs="Arial"/>
          <w:sz w:val="22"/>
          <w:szCs w:val="22"/>
          <w:lang w:val="es-ES_tradnl"/>
        </w:rPr>
        <w:t>. Anticipos de pago de subvenciones financiadas con fondos del componente 14 del Plan de Recuperación, Transformación y Resiliencia.</w:t>
      </w:r>
    </w:p>
    <w:p w14:paraId="6E6741A4"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No será necesaria la prestación de garantías prevista en el artículo 33.2 de la Ley Foral 11/2005, de 9 de noviembre, de Subvenciones, para la realización de anticipos de pago de las subvenciones concedidas con fondos del componente 14 “Plan de modernización y competitividad turística”, inversión 1 “Transformación del modelo turístico hacia la sostenibilidad”, </w:t>
      </w:r>
      <w:proofErr w:type="spellStart"/>
      <w:r w:rsidRPr="00C0709C">
        <w:rPr>
          <w:rFonts w:cs="Arial"/>
          <w:sz w:val="22"/>
          <w:szCs w:val="22"/>
          <w:lang w:val="es-ES_tradnl"/>
        </w:rPr>
        <w:t>submedida</w:t>
      </w:r>
      <w:proofErr w:type="spellEnd"/>
      <w:r w:rsidRPr="00C0709C">
        <w:rPr>
          <w:rFonts w:cs="Arial"/>
          <w:sz w:val="22"/>
          <w:szCs w:val="22"/>
          <w:lang w:val="es-ES_tradnl"/>
        </w:rPr>
        <w:t xml:space="preserve"> 2 “Programa de Planes de Sostenibilidad Turística en Destino” del Plan de Recuperación, Transformación y Resiliencia financiado por la Unión Europea-Next </w:t>
      </w:r>
      <w:proofErr w:type="spellStart"/>
      <w:r w:rsidRPr="00C0709C">
        <w:rPr>
          <w:rFonts w:cs="Arial"/>
          <w:sz w:val="22"/>
          <w:szCs w:val="22"/>
          <w:lang w:val="es-ES_tradnl"/>
        </w:rPr>
        <w:t>Generation</w:t>
      </w:r>
      <w:proofErr w:type="spellEnd"/>
      <w:r w:rsidRPr="00C0709C">
        <w:rPr>
          <w:rFonts w:cs="Arial"/>
          <w:sz w:val="22"/>
          <w:szCs w:val="22"/>
          <w:lang w:val="es-ES_tradnl"/>
        </w:rPr>
        <w:t xml:space="preserve"> EU.</w:t>
      </w:r>
    </w:p>
    <w:p w14:paraId="108D50CD" w14:textId="3EED6870" w:rsidR="00C77BB3" w:rsidRPr="00C0709C" w:rsidRDefault="00C77BB3"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Artículo 66</w:t>
      </w:r>
      <w:r w:rsidRPr="00C0709C">
        <w:rPr>
          <w:rFonts w:cs="Arial"/>
          <w:sz w:val="22"/>
          <w:szCs w:val="22"/>
          <w:lang w:val="es-ES_tradnl"/>
        </w:rPr>
        <w:t>. Convocatorias de subvenciones del componente 2 del Plan de Recuperación, Transformación y Resiliencia.</w:t>
      </w:r>
    </w:p>
    <w:p w14:paraId="70D1FB4E" w14:textId="1BBD5F0B" w:rsidR="00C77BB3" w:rsidRPr="00C0709C" w:rsidRDefault="00C77BB3"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Por resolución administrativa se podrán aprobar cuantías adicionales de crédito en las convocatorias de subvenciones aprobadas en desarrollo de los programas de ayuda en materia de rehabilitación residencial del Plan de Recuperación, Transformación y Resiliencia previstos en el Real Decreto 853/2021, de 5 de octubre, aun cuando el plazo de presentación de solicitudes hubiera finalizado, por el importe de los nuevos fondos recibidos para financiar dichos programas. De la misma manera podrá aprobarse la redistribución de fondos disponibles entre los distintos programas según lo previsto en el citado Real Decreto. La aprobación del incremento de gasto adicional no implicará la apertura de un nuevo plazo de presentación de solicitudes.</w:t>
      </w:r>
    </w:p>
    <w:p w14:paraId="0FB4F27B" w14:textId="5E67BE06"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bCs/>
          <w:sz w:val="22"/>
          <w:szCs w:val="22"/>
          <w:lang w:val="es-ES_tradnl"/>
        </w:rPr>
        <w:lastRenderedPageBreak/>
        <w:t xml:space="preserve">Artículo 67. </w:t>
      </w:r>
      <w:r w:rsidRPr="00C0709C">
        <w:rPr>
          <w:rFonts w:cs="Arial"/>
          <w:sz w:val="22"/>
          <w:szCs w:val="22"/>
          <w:lang w:val="es-ES_tradnl"/>
        </w:rPr>
        <w:t>Distribución entre las entidades locales de la cuantía destinada a subvencionar proyectos de desarrollo territorial sostenible en el entorno de Itoiz.</w:t>
      </w:r>
    </w:p>
    <w:p w14:paraId="0FCB1FD1" w14:textId="43CEB3D8"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La partida 210002-21400-7609-922105 denominada “Proyectos Desarrollo Territorial Sostenible en Itoiz convenio con los Ayuntamientos de </w:t>
      </w:r>
      <w:proofErr w:type="spellStart"/>
      <w:r w:rsidRPr="00C0709C">
        <w:rPr>
          <w:rFonts w:cs="Arial"/>
          <w:sz w:val="22"/>
          <w:szCs w:val="22"/>
          <w:lang w:val="es-ES_tradnl"/>
        </w:rPr>
        <w:t>Lónguida</w:t>
      </w:r>
      <w:proofErr w:type="spellEnd"/>
      <w:r w:rsidRPr="00C0709C">
        <w:rPr>
          <w:rFonts w:cs="Arial"/>
          <w:sz w:val="22"/>
          <w:szCs w:val="22"/>
          <w:lang w:val="es-ES_tradnl"/>
        </w:rPr>
        <w:t>, Arce, Aoiz y Oroz-Betelu” se articulará mediante convenios con cada una de las entidades locales de acuerdo con la siguiente distribución:</w:t>
      </w:r>
    </w:p>
    <w:p w14:paraId="7E905835" w14:textId="4A06B6F0" w:rsidR="00EE00CD" w:rsidRPr="00C0709C" w:rsidRDefault="00D473FF"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 </w:t>
      </w:r>
      <w:r w:rsidR="00EE00CD" w:rsidRPr="00C0709C">
        <w:rPr>
          <w:rFonts w:cs="Arial"/>
          <w:sz w:val="22"/>
          <w:szCs w:val="22"/>
          <w:lang w:val="es-ES_tradnl"/>
        </w:rPr>
        <w:t>Ayuntamiento de Aoiz/</w:t>
      </w:r>
      <w:proofErr w:type="spellStart"/>
      <w:r w:rsidR="00EE00CD" w:rsidRPr="00C0709C">
        <w:rPr>
          <w:rFonts w:cs="Arial"/>
          <w:sz w:val="22"/>
          <w:szCs w:val="22"/>
          <w:lang w:val="es-ES_tradnl"/>
        </w:rPr>
        <w:t>Agoitz</w:t>
      </w:r>
      <w:proofErr w:type="spellEnd"/>
      <w:r w:rsidR="00EE00CD" w:rsidRPr="00C0709C">
        <w:rPr>
          <w:rFonts w:cs="Arial"/>
          <w:sz w:val="22"/>
          <w:szCs w:val="22"/>
          <w:lang w:val="es-ES_tradnl"/>
        </w:rPr>
        <w:t>: 47 %</w:t>
      </w:r>
    </w:p>
    <w:p w14:paraId="0294EDCE" w14:textId="6367A572" w:rsidR="00EE00CD" w:rsidRPr="00C0709C" w:rsidRDefault="00D473FF"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 </w:t>
      </w:r>
      <w:r w:rsidR="00EE00CD" w:rsidRPr="00C0709C">
        <w:rPr>
          <w:rFonts w:cs="Arial"/>
          <w:sz w:val="22"/>
          <w:szCs w:val="22"/>
          <w:lang w:val="es-ES_tradnl"/>
        </w:rPr>
        <w:t>Ayuntamiento de Arce/</w:t>
      </w:r>
      <w:proofErr w:type="spellStart"/>
      <w:r w:rsidR="00EE00CD" w:rsidRPr="00C0709C">
        <w:rPr>
          <w:rFonts w:cs="Arial"/>
          <w:sz w:val="22"/>
          <w:szCs w:val="22"/>
          <w:lang w:val="es-ES_tradnl"/>
        </w:rPr>
        <w:t>Artzibar</w:t>
      </w:r>
      <w:proofErr w:type="spellEnd"/>
      <w:r w:rsidR="00EE00CD" w:rsidRPr="00C0709C">
        <w:rPr>
          <w:rFonts w:cs="Arial"/>
          <w:sz w:val="22"/>
          <w:szCs w:val="22"/>
          <w:lang w:val="es-ES_tradnl"/>
        </w:rPr>
        <w:t>: 24 %</w:t>
      </w:r>
    </w:p>
    <w:p w14:paraId="2673B7C0" w14:textId="3AE11670" w:rsidR="00EE00CD" w:rsidRPr="00C0709C" w:rsidRDefault="00D473FF"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 </w:t>
      </w:r>
      <w:r w:rsidR="00EE00CD" w:rsidRPr="00C0709C">
        <w:rPr>
          <w:rFonts w:cs="Arial"/>
          <w:sz w:val="22"/>
          <w:szCs w:val="22"/>
          <w:lang w:val="es-ES_tradnl"/>
        </w:rPr>
        <w:t xml:space="preserve">Ayuntamiento de </w:t>
      </w:r>
      <w:proofErr w:type="spellStart"/>
      <w:r w:rsidR="00EE00CD" w:rsidRPr="00C0709C">
        <w:rPr>
          <w:rFonts w:cs="Arial"/>
          <w:sz w:val="22"/>
          <w:szCs w:val="22"/>
          <w:lang w:val="es-ES_tradnl"/>
        </w:rPr>
        <w:t>Lónguida</w:t>
      </w:r>
      <w:proofErr w:type="spellEnd"/>
      <w:r w:rsidR="00EE00CD" w:rsidRPr="00C0709C">
        <w:rPr>
          <w:rFonts w:cs="Arial"/>
          <w:sz w:val="22"/>
          <w:szCs w:val="22"/>
          <w:lang w:val="es-ES_tradnl"/>
        </w:rPr>
        <w:t>: 24 %</w:t>
      </w:r>
    </w:p>
    <w:p w14:paraId="405D1845" w14:textId="0F445556" w:rsidR="00EE00CD" w:rsidRPr="00C0709C" w:rsidRDefault="00D473FF"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 </w:t>
      </w:r>
      <w:r w:rsidR="00EE00CD" w:rsidRPr="00C0709C">
        <w:rPr>
          <w:rFonts w:cs="Arial"/>
          <w:sz w:val="22"/>
          <w:szCs w:val="22"/>
          <w:lang w:val="es-ES_tradnl"/>
        </w:rPr>
        <w:t xml:space="preserve">Ayuntamiento de Oroz-Betelu: 5 % </w:t>
      </w:r>
    </w:p>
    <w:p w14:paraId="5E4E7B44" w14:textId="08DD29BA" w:rsidR="003439B2" w:rsidRPr="00C0709C" w:rsidRDefault="003439B2" w:rsidP="00C0709C">
      <w:pPr>
        <w:pStyle w:val="DICTA-TEXTO"/>
        <w:spacing w:beforeLines="60" w:before="144" w:afterLines="60" w:after="144" w:line="280" w:lineRule="exact"/>
        <w:rPr>
          <w:rFonts w:cs="Arial"/>
          <w:sz w:val="22"/>
          <w:szCs w:val="22"/>
          <w:lang w:val="es-ES_tradnl"/>
        </w:rPr>
      </w:pPr>
      <w:r w:rsidRPr="00C0709C">
        <w:rPr>
          <w:rFonts w:cs="Arial"/>
          <w:b/>
          <w:bCs/>
          <w:sz w:val="22"/>
          <w:szCs w:val="22"/>
          <w:lang w:val="es-ES_tradnl"/>
        </w:rPr>
        <w:t>Artículo 68</w:t>
      </w:r>
      <w:r w:rsidRPr="00C0709C">
        <w:rPr>
          <w:rFonts w:cs="Arial"/>
          <w:sz w:val="22"/>
          <w:szCs w:val="22"/>
          <w:lang w:val="es-ES_tradnl"/>
        </w:rPr>
        <w:t>. Autorización de movimientos de fondos en la Dirección General de Función Pública con cargo a las partidas presupuestarias de carrera profesional servicios temporales y otro personal sanitario.</w:t>
      </w:r>
    </w:p>
    <w:p w14:paraId="41157AFD" w14:textId="7337AEEF" w:rsidR="003439B2" w:rsidRPr="00C0709C" w:rsidRDefault="003439B2"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La persona titular de la Dirección General de Función Pública podrá autorizar movimientos de fondos que se realicen con cargo a las partidas presupuestarias F30001-F3100cl800-921405 "Carrera profesional servicios temporales" y 540000-52000-1800-311100 "Carrera profesional servicios temporales", con objeto de financiar las partidas donde se impute el gasto como consecuencia del reconocimiento del derecho a la carrera profesional del personal contratado temporal facultativo y diplomado sanitario y reconocimiento de los servicios prestados con carácter temporal a efectos de carrera profesional, así como para financiar las partidas donde se impute el gasto como consecuencia de la carrera profesional no facultativo ni diplomado sanitario que se establezca por </w:t>
      </w:r>
      <w:r w:rsidR="00C77BB3" w:rsidRPr="00C0709C">
        <w:rPr>
          <w:rFonts w:cs="Arial"/>
          <w:sz w:val="22"/>
          <w:szCs w:val="22"/>
          <w:lang w:val="es-ES_tradnl"/>
        </w:rPr>
        <w:t>l</w:t>
      </w:r>
      <w:r w:rsidRPr="00C0709C">
        <w:rPr>
          <w:rFonts w:cs="Arial"/>
          <w:sz w:val="22"/>
          <w:szCs w:val="22"/>
          <w:lang w:val="es-ES_tradnl"/>
        </w:rPr>
        <w:t>ey foral, no estando sujetos a las limitaciones establecidas en los artículos 38 y 44 a 50 de la Ley Foral 13/2007, de 4 de abril, de la Hacienda Pública de Navarra.</w:t>
      </w:r>
    </w:p>
    <w:p w14:paraId="061FE8DE" w14:textId="634305E2" w:rsidR="00DB212A" w:rsidRPr="00C0709C" w:rsidRDefault="00DB212A" w:rsidP="00C0709C">
      <w:pPr>
        <w:pStyle w:val="DICTA-TEXTO"/>
        <w:spacing w:beforeLines="60" w:before="144" w:afterLines="60" w:after="144" w:line="280" w:lineRule="exact"/>
        <w:rPr>
          <w:rFonts w:cs="Arial"/>
          <w:sz w:val="22"/>
          <w:szCs w:val="22"/>
          <w:lang w:val="es-ES_tradnl"/>
        </w:rPr>
      </w:pPr>
      <w:r w:rsidRPr="00C0709C">
        <w:rPr>
          <w:rFonts w:cs="Arial"/>
          <w:b/>
          <w:bCs/>
          <w:sz w:val="22"/>
          <w:szCs w:val="22"/>
          <w:lang w:val="es-ES_tradnl"/>
        </w:rPr>
        <w:t>Disposición adicional primera</w:t>
      </w:r>
      <w:r w:rsidRPr="00C0709C">
        <w:rPr>
          <w:rFonts w:cs="Arial"/>
          <w:sz w:val="22"/>
          <w:szCs w:val="22"/>
          <w:lang w:val="es-ES_tradnl"/>
        </w:rPr>
        <w:t>. Medidas urgentes en materia</w:t>
      </w:r>
      <w:r w:rsidR="00B94C63" w:rsidRPr="00C0709C">
        <w:rPr>
          <w:rFonts w:cs="Arial"/>
          <w:sz w:val="22"/>
          <w:szCs w:val="22"/>
          <w:lang w:val="es-ES_tradnl"/>
        </w:rPr>
        <w:t xml:space="preserve"> </w:t>
      </w:r>
      <w:r w:rsidRPr="00C0709C">
        <w:rPr>
          <w:rFonts w:cs="Arial"/>
          <w:sz w:val="22"/>
          <w:szCs w:val="22"/>
          <w:lang w:val="es-ES_tradnl"/>
        </w:rPr>
        <w:t>de personal al servicio de las Administraciones Públicas de Navarra.</w:t>
      </w:r>
    </w:p>
    <w:p w14:paraId="11354E24" w14:textId="0DA1BC33" w:rsidR="00DB212A" w:rsidRPr="00C0709C" w:rsidRDefault="00DB212A"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Con carácter general se prorrogan para el año 2024 las medidas urgentes en materia de personal al servicio de las Administraciones Públicas de Navarra previstas en los apartados 1,2, 3 y 6 del artículo 1 de la Ley Foral 13/2012, de 21 de junio.</w:t>
      </w:r>
    </w:p>
    <w:p w14:paraId="4503651D" w14:textId="777DB62A" w:rsidR="00DB212A" w:rsidRPr="00C0709C" w:rsidRDefault="00DB212A"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La aplicación de los apartados del artículo 1 citados en el párrafo anterior en cuanto a la edad de jubilación comprenderá a todo el personal funcionario, cualquiera que sea el sistema de previsión social al que se encuentre acogido, incluyendo los acogidos al sistema anterior a la Ley Foral 10/2003, de 5 de marzo, sobre régimen transitorio de los derechos pasivos del personal funcionario de los Montepíos de las Administraciones Públicas de Navarra, y a los acogidos a dicho régimen.</w:t>
      </w:r>
    </w:p>
    <w:p w14:paraId="2E4ADF8E" w14:textId="36E21D94" w:rsidR="00DB212A" w:rsidRPr="00C0709C" w:rsidRDefault="00DB212A"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No obstante, y como salvedad, el Departamento de Salud podrá prolongar en el servicio activo a determinado personal </w:t>
      </w:r>
      <w:proofErr w:type="gramStart"/>
      <w:r w:rsidRPr="00C0709C">
        <w:rPr>
          <w:rFonts w:cs="Arial"/>
          <w:sz w:val="22"/>
          <w:szCs w:val="22"/>
          <w:lang w:val="es-ES_tradnl"/>
        </w:rPr>
        <w:t>del mismo</w:t>
      </w:r>
      <w:proofErr w:type="gramEnd"/>
      <w:r w:rsidRPr="00C0709C">
        <w:rPr>
          <w:rFonts w:cs="Arial"/>
          <w:sz w:val="22"/>
          <w:szCs w:val="22"/>
          <w:lang w:val="es-ES_tradnl"/>
        </w:rPr>
        <w:t xml:space="preserve"> durante el 2024, por necesidades del servicio y falta de profesionales, razones en todo caso debidamente justificadas. Así, se podrá autorizar la prolongación en el servicio activo una vez que hayan llegado a la edad de jubilación legal estipulada por la Seguridad Social, a los profesionales facultativos incluidos en los estamentos </w:t>
      </w:r>
      <w:proofErr w:type="spellStart"/>
      <w:r w:rsidRPr="00C0709C">
        <w:rPr>
          <w:rFonts w:cs="Arial"/>
          <w:sz w:val="22"/>
          <w:szCs w:val="22"/>
          <w:lang w:val="es-ES_tradnl"/>
        </w:rPr>
        <w:t>A.l</w:t>
      </w:r>
      <w:proofErr w:type="spellEnd"/>
      <w:r w:rsidRPr="00C0709C">
        <w:rPr>
          <w:rFonts w:cs="Arial"/>
          <w:sz w:val="22"/>
          <w:szCs w:val="22"/>
          <w:lang w:val="es-ES_tradnl"/>
        </w:rPr>
        <w:t xml:space="preserve">. y A.2.5. de la Ley Foral 11/1992, reguladora del régimen específico del personal adscrito al Servicio Navarro de </w:t>
      </w:r>
      <w:proofErr w:type="spellStart"/>
      <w:r w:rsidRPr="00C0709C">
        <w:rPr>
          <w:rFonts w:cs="Arial"/>
          <w:sz w:val="22"/>
          <w:szCs w:val="22"/>
          <w:lang w:val="es-ES_tradnl"/>
        </w:rPr>
        <w:t>Salud­Osasunbidea</w:t>
      </w:r>
      <w:proofErr w:type="spellEnd"/>
      <w:r w:rsidRPr="00C0709C">
        <w:rPr>
          <w:rFonts w:cs="Arial"/>
          <w:sz w:val="22"/>
          <w:szCs w:val="22"/>
          <w:lang w:val="es-ES_tradnl"/>
        </w:rPr>
        <w:t xml:space="preserve">, siempre que la lista de </w:t>
      </w:r>
      <w:r w:rsidRPr="00C0709C">
        <w:rPr>
          <w:rFonts w:cs="Arial"/>
          <w:sz w:val="22"/>
          <w:szCs w:val="22"/>
          <w:lang w:val="es-ES_tradnl"/>
        </w:rPr>
        <w:lastRenderedPageBreak/>
        <w:t>contratación de su respectiva especialidad se encuentre abierta; Del mismo modo se podrá autorizar la prolongación a los profesionales de estos estamentos cuando estén desempeñando funciones de Jefe de Servicio o de Jefe de Sección Asistencial, siempre que la lista de contratación de su respectiva especialidad se encuentre abierta y sin personas candidatas disponibles a la contratación temporal. El momento para la comprobación de esta circunstancia a efectos de la concesión de la prolongación será un mes antes de la llegada a la fecha prevista de jubilación legal.</w:t>
      </w:r>
    </w:p>
    <w:p w14:paraId="48E7C95A" w14:textId="096F1225" w:rsidR="00DB212A" w:rsidRPr="00C0709C" w:rsidRDefault="00DB212A"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La prolongación se realizará por un año, siendo prorrogable si se mantienen las condiciones del otorgamiento, previa solicitud del interesado, y con el límite de setenta años de edad.</w:t>
      </w:r>
    </w:p>
    <w:p w14:paraId="56AA6212"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Disposición adicional segunda</w:t>
      </w:r>
      <w:r w:rsidRPr="00C0709C">
        <w:rPr>
          <w:rFonts w:cs="Arial"/>
          <w:sz w:val="22"/>
          <w:szCs w:val="22"/>
          <w:lang w:val="es-ES_tradnl"/>
        </w:rPr>
        <w:t>.</w:t>
      </w:r>
      <w:r w:rsidRPr="00C0709C">
        <w:rPr>
          <w:rFonts w:cs="Arial"/>
          <w:b/>
          <w:sz w:val="22"/>
          <w:szCs w:val="22"/>
          <w:lang w:val="es-ES_tradnl"/>
        </w:rPr>
        <w:t xml:space="preserve"> </w:t>
      </w:r>
      <w:r w:rsidRPr="00C0709C">
        <w:rPr>
          <w:rFonts w:cs="Arial"/>
          <w:sz w:val="22"/>
          <w:szCs w:val="22"/>
          <w:lang w:val="es-ES_tradnl"/>
        </w:rPr>
        <w:t>Disposiciones relativas a los procesos selectivos convocados por las Administraciones Públicas de Navarra.</w:t>
      </w:r>
    </w:p>
    <w:p w14:paraId="3636800B"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1. Se faculta a las Administraciones Públicas de Navarra para que, en las convocatorias de procesos selectivos, de ingreso o provisión de puestos de trabajo se exija la presentación electrónica de las solicitudes y demás documentación.</w:t>
      </w:r>
    </w:p>
    <w:p w14:paraId="63D4C391"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2. Los plazos señalados por días para la presentación de solicitudes de participación en los procesos selectivos señalados en el apartado anterior, se entenderán, en todo caso, expresados en días naturales.</w:t>
      </w:r>
    </w:p>
    <w:p w14:paraId="0F444F3E"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 xml:space="preserve">Disposición adicional tercera. </w:t>
      </w:r>
      <w:r w:rsidRPr="00C0709C">
        <w:rPr>
          <w:rFonts w:cs="Arial"/>
          <w:sz w:val="22"/>
          <w:szCs w:val="22"/>
          <w:lang w:val="es-ES_tradnl"/>
        </w:rPr>
        <w:t>Disposiciones relativas a los llamamientos en los procesos de contratación temporal por las Administraciones Públicas de Navarra.</w:t>
      </w:r>
    </w:p>
    <w:p w14:paraId="153F75CF"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1. Se faculta a las Administraciones Públicas de Navarra para que, en los procesos de contratación temporal, el llamamiento de las personas aspirantes y la elección de contratos se efectúe por medios telemáticos y electrónicos. </w:t>
      </w:r>
    </w:p>
    <w:p w14:paraId="4ACBB0AD"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2. En este caso, el llamamiento se efectuará mediante anuncio público en el portal web de la Administración Pública, en el que se publicarán las personas aspirantes llamadas y los contratos ofertados, indicando el plazo para la elección electrónica de los contratos ofertados.</w:t>
      </w:r>
    </w:p>
    <w:p w14:paraId="22566871"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Disposición adicional cuarta</w:t>
      </w:r>
      <w:r w:rsidRPr="00C0709C">
        <w:rPr>
          <w:rFonts w:cs="Arial"/>
          <w:sz w:val="22"/>
          <w:szCs w:val="22"/>
          <w:lang w:val="es-ES_tradnl"/>
        </w:rPr>
        <w:t>. Modificación requisitos de las plazas incluidas en los decretos forales en cuya virtud se aprueben ofertas públicas de empleo.</w:t>
      </w:r>
    </w:p>
    <w:p w14:paraId="37173D1C"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Los requisitos de las plazas incluidas en los decretos forales en cuya virtud se aprueben ofertas públicas de empleo de la Administración de la Comunidad Foral de Navarra y sus organismos autónomos podrán ser modificados con posterioridad a la aprobación del respectivo decreto foral y se ofertarán de conformidad con los que figuren en la plantilla orgánica a la fecha de la respectiva convocatoria de ingreso.</w:t>
      </w:r>
    </w:p>
    <w:p w14:paraId="646E2456"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 xml:space="preserve">Disposición adicional quinta. </w:t>
      </w:r>
      <w:r w:rsidRPr="00C0709C">
        <w:rPr>
          <w:rFonts w:cs="Arial"/>
          <w:sz w:val="22"/>
          <w:szCs w:val="22"/>
          <w:lang w:val="es-ES_tradnl"/>
        </w:rPr>
        <w:t>Transferencia de servicios en materia de tráfico y circulación de vehículos a motor.</w:t>
      </w:r>
    </w:p>
    <w:p w14:paraId="51290EE3"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1. Se autoriza al Gobierno de Navarra para que proceda a la integración en la plantilla de la Administración de la Comunidad Foral del personal funcionario y/o laboral identificado en la Relación Número 2 del Real Decreto 252/2023, de 4 de abril, de traspaso de funciones y servicios de la Administración del Estado a la Comunidad Foral de Navarra en materia de tráfico y circulación de vehículos a motor prevista.</w:t>
      </w:r>
    </w:p>
    <w:p w14:paraId="6E3CFC9F"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lastRenderedPageBreak/>
        <w:t>2. Se autoriza al Departamento de Interior, Función Pública y Justicia, para que, de conformidad con lo dispuesto en la disposición adicional novena de la Ley Foral 23/2018, de 19 de noviembre, de las Policías de Navarra, habilite los mecanismos necesarios para permitir la integración en la Policía Foral de funcionarios de la Administración General del Estado que presten servicios en la Agrupación de Tráfico.</w:t>
      </w:r>
    </w:p>
    <w:p w14:paraId="04993216"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3. Al personal que con anterioridad a la transferencia viniera percibiendo como suma de las retribuciones básicas y complementarias un importe superior al que le corresponda en ejecución de la normativa retributiva aplicable al personal al servicio de la Administración de la Comunidad Foral de Navarra, se le asignará un complemento compensatorio por la diferencia. Esta compensación será absorbida con cualquier incremento que se produzca en sus retribuciones, incluyéndose expresamente entre ellas tanto las referidas a sus retribuciones personales y complementarias como a las actualizaciones retributivas que se puedan aplicar con carácter general.</w:t>
      </w:r>
    </w:p>
    <w:p w14:paraId="5681752B"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Disposición adicional sexta.</w:t>
      </w:r>
      <w:r w:rsidRPr="00C0709C">
        <w:rPr>
          <w:rFonts w:cs="Arial"/>
          <w:sz w:val="22"/>
          <w:szCs w:val="22"/>
          <w:lang w:val="es-ES_tradnl"/>
        </w:rPr>
        <w:t xml:space="preserve"> Tratamiento del Fondo de Participación de las Entidades Locales.</w:t>
      </w:r>
    </w:p>
    <w:p w14:paraId="173D4892"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1.</w:t>
      </w:r>
      <w:r w:rsidRPr="00C0709C">
        <w:rPr>
          <w:rFonts w:cs="Arial"/>
          <w:b/>
          <w:sz w:val="22"/>
          <w:szCs w:val="22"/>
          <w:lang w:val="es-ES_tradnl"/>
        </w:rPr>
        <w:t xml:space="preserve"> </w:t>
      </w:r>
      <w:r w:rsidRPr="00C0709C">
        <w:rPr>
          <w:rFonts w:cs="Arial"/>
          <w:sz w:val="22"/>
          <w:szCs w:val="22"/>
          <w:lang w:val="es-ES_tradnl"/>
        </w:rPr>
        <w:t>Los créditos que integran el fondo de participación de las entidades locales en los tributos de Navarra en su vertiente de transferencias de capital no utilizados presupuestariamente al cierre del ejercicio, los que tengan su origen en las economías de ejercicios cerrados, así como las cantidades reintegradas, tendrán la consideración de Remanente de Tesorería afecto a dicho Fondo. Este Remanente podrá asignarse conjuntamente con el crédito presupuestario de cada ejercicio, en función del grado de ejecución presupuestaria y siempre que las previsiones de ingreso así lo permitan, en orden a financiar aportaciones a entidades locales por ejecución de obras incluidas en los planes de inversiones.</w:t>
      </w:r>
    </w:p>
    <w:p w14:paraId="4DCE470C"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2. La persona titular de la Dirección General de Administración Local y Despoblación podrá realizar movimientos de fondos entre partidas del Fondo de Participación de las Entidades Locales en los tributos de Navarra en su vertiente de transferencias de capital cuando así se considere necesario.</w:t>
      </w:r>
    </w:p>
    <w:p w14:paraId="776597F2"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Igualmente se podrán crear partidas presupuestarias dentro del Fondo de Participación de las Entidades Locales en los tributos de Navarra en su vertiente de transferencias de capital cuando así se considere necesario, </w:t>
      </w:r>
    </w:p>
    <w:p w14:paraId="32426B2F"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3. La Dirección General de Administración Local y Despoblación se hará cargo de la gestión, bien mediante encargo a un ente instrumental, o bien por contratación conforme a la legislación foral de contratos públicos, de los créditos del Plan de Inversiones Locales destinados a financiar estudios y proyectos de planes directores, incluyendo gastos de cualquier naturaleza relacionados con servicios, inversiones y actuaciones que se consideren necesarios para su desarrollo y ejecución. En todo caso, las obligaciones reconocidas en el Presupuesto de Gastos por esta gestión se considerará gasto propio del Plan de Inversiones Locales.</w:t>
      </w:r>
    </w:p>
    <w:p w14:paraId="37CBAC2D"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4. La persona titular de la Dirección General de Administración Local y Despoblación podrá realizar movimientos de fondos entre partidas del Fondo de Participación de las Haciendas Locales en los Tributos de Navarra por Transferencias Corrientes cuando así se consideren necesarios.</w:t>
      </w:r>
    </w:p>
    <w:p w14:paraId="56EB122C"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lastRenderedPageBreak/>
        <w:t>Asimismo, se podrán crear partidas presupuestarias dentro del Fondo de Participación de las Haciendas Locales en los Tributos de Navarra por Transferencias Corrientes cuando así se considere necesario.</w:t>
      </w:r>
    </w:p>
    <w:p w14:paraId="113BCD05"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Disposición adicional séptima.</w:t>
      </w:r>
      <w:r w:rsidRPr="00C0709C">
        <w:rPr>
          <w:rFonts w:cs="Arial"/>
          <w:sz w:val="22"/>
          <w:szCs w:val="22"/>
          <w:lang w:val="es-ES_tradnl"/>
        </w:rPr>
        <w:t xml:space="preserve"> Competencias en las zonas regables de la 1ª y la 2ª fase del Canal de Navarra.</w:t>
      </w:r>
    </w:p>
    <w:p w14:paraId="1081DD9A" w14:textId="739B486B"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Corresponde al Departamento de Cohesión Territorial la titularidad de las competencias que, conforme a lo dispuesto en el artículo 3.1 b) de la Ley Foral 12/2005, de 22 de noviembre, por la que se regula la construcción y explotación de las infraestructuras de interés general de la zona regable del Canal de Navarra, ostenta la Administración de la Comunidad Foral de Navarra en los contratos de concesión de obras públicas para la construcción y explotación de las infraestructuras de interés general de la 1.ª fase de la Zona Regable del Canal de Navarra (incluida la ampliación), a excepción de las referidas a los procesos de concentración parcelaria y a las declaraciones de puesta en riego de cada sector o zona y sus modificaciones. La aprobación administrativa de los proyectos de obras del contrato concesional y las modificaciones de </w:t>
      </w:r>
      <w:r w:rsidR="00E610A7" w:rsidRPr="00C0709C">
        <w:rPr>
          <w:rFonts w:cs="Arial"/>
          <w:sz w:val="22"/>
          <w:szCs w:val="22"/>
          <w:lang w:val="es-ES_tradnl"/>
        </w:rPr>
        <w:t>e</w:t>
      </w:r>
      <w:r w:rsidRPr="00C0709C">
        <w:rPr>
          <w:rFonts w:cs="Arial"/>
          <w:sz w:val="22"/>
          <w:szCs w:val="22"/>
          <w:lang w:val="es-ES_tradnl"/>
        </w:rPr>
        <w:t>stos se realizarán por el Departamento de Cohesión Territorial.</w:t>
      </w:r>
    </w:p>
    <w:p w14:paraId="7F55B5F2"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Los cánones de los contratos de concesión serán abonados por el Departamento que corresponda de acuerdo con la consignación presupuestaria de los créditos.</w:t>
      </w:r>
    </w:p>
    <w:p w14:paraId="1900B5F4"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Corresponde, así mismo, al Departamento de Cohesión Territorial la titularidad de las competencias de actuación que ostenta la Administración de la Comunidad Foral de Navarra en las zonas regables de la 2ª fase del Canal de Navarra a excepción, igualmente, de las referidas a los procesos de concentración parcelaria y a las declaraciones de puesta en riego de cada sector o zona y sus modificaciones.</w:t>
      </w:r>
    </w:p>
    <w:p w14:paraId="018E1B6C"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Una vez estén finalizadas todas las obras de construcción de las infraestructuras de interés general de la zona regable del Canal de Navarra, las competencias correspondientes a dicha infraestructura serán ejercidas por el Departamento de Desarrollo Rural y Medio Ambiente.</w:t>
      </w:r>
    </w:p>
    <w:p w14:paraId="076C3102"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 xml:space="preserve">Disposición adicional octava. </w:t>
      </w:r>
      <w:r w:rsidRPr="00C0709C">
        <w:rPr>
          <w:rFonts w:cs="Arial"/>
          <w:sz w:val="22"/>
          <w:szCs w:val="22"/>
          <w:lang w:val="es-ES_tradnl"/>
        </w:rPr>
        <w:t>Atribuciones en materia de transporte.</w:t>
      </w:r>
    </w:p>
    <w:p w14:paraId="1F129F65"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La contratación de servicios de transporte y el otorgamiento de subvenciones que tengan por objeto actividades de transporte precisarán en todo caso un informe previo favorable emitido por la Dirección General de Transportes y Movilidad Sostenible del Departamento de Cohesión Territorial.</w:t>
      </w:r>
    </w:p>
    <w:p w14:paraId="5CD60E34"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Disposición adicional novena.</w:t>
      </w:r>
      <w:r w:rsidRPr="00C0709C">
        <w:rPr>
          <w:rFonts w:cs="Arial"/>
          <w:sz w:val="22"/>
          <w:szCs w:val="22"/>
          <w:lang w:val="es-ES_tradnl"/>
        </w:rPr>
        <w:t xml:space="preserve"> Módulos económicos de distribución de fondos públicos para sostenimiento de centros concertados.</w:t>
      </w:r>
    </w:p>
    <w:p w14:paraId="63E84141" w14:textId="4C7AE599"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Los importes anuales de los módulos económicos por unidad escolar en los centros concertados de los distintos niveles y modalidades educativas, desglosados en los siguientes conceptos: “Salarios del personal docente incluidas cargas sociales”, con especificación de la ratio de profesorado titular y agregado por unidad concertada, “Gastos variables”, “Otros gastos” y, en su caso, “Personal y gastos específicos”, con expresión del porcentaje de cada concepto respecto a la totalidad del módulo, serán los recogidos en el Anexo I.</w:t>
      </w:r>
    </w:p>
    <w:p w14:paraId="37CCB884"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lastRenderedPageBreak/>
        <w:t>En el concepto de “Salarios del personal docente incluidas cargas sociales” se recoge el coste derivado de las remuneraciones del personal docente y sus cargas sociales en los respectivos niveles de enseñanza.</w:t>
      </w:r>
    </w:p>
    <w:p w14:paraId="0974B2F0"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En el concepto de “Gastos variables”, además del coste de la antigüedad del personal docente y su repercusión en Seguridad Social, se recogen las sustituciones del profesorado, el complemento de dirección, y las obligaciones derivadas de lo establecido en el artículo 68, e) del Estatuto de los Trabajadores.</w:t>
      </w:r>
    </w:p>
    <w:p w14:paraId="1980F3C2"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Estas cantidades se recogerán en un fondo general que se distribuirá en forma individualizada entre el personal docente de los centros concertados, de acuerdo con las circunstancias que concurran en cada docente.</w:t>
      </w:r>
    </w:p>
    <w:p w14:paraId="3341BE50"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Disposición adicional décima</w:t>
      </w:r>
      <w:r w:rsidRPr="00C0709C">
        <w:rPr>
          <w:rFonts w:cs="Arial"/>
          <w:sz w:val="22"/>
          <w:szCs w:val="22"/>
          <w:lang w:val="es-ES_tradnl"/>
        </w:rPr>
        <w:t>. Venta de libros del programa de gratuidad de libros de texto escolares.</w:t>
      </w:r>
    </w:p>
    <w:p w14:paraId="2CCC335F"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Los libros correspondientes al programa de gratuidad de libros de texto escolares solo podrán ser vendidos por los establecimientos que cuenten con la autorización que les habilite para el ejercicio de venta de libros.</w:t>
      </w:r>
    </w:p>
    <w:p w14:paraId="70BAFF32"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Disposición adicional undécima.</w:t>
      </w:r>
      <w:r w:rsidRPr="00C0709C">
        <w:rPr>
          <w:rFonts w:cs="Arial"/>
          <w:sz w:val="22"/>
          <w:szCs w:val="22"/>
          <w:lang w:val="es-ES_tradnl"/>
        </w:rPr>
        <w:t xml:space="preserve"> Determinación de la carga lectiva del personal docente.</w:t>
      </w:r>
    </w:p>
    <w:p w14:paraId="4EC31FFB"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A fin de proceder a la provisión de los puestos de trabajo docentes según las necesidades existentes al comienzo de cada curso escolar, y siempre que no exista suficiente carga lectiva en la correspondiente especialidad, el personal docente no universitario completará su horario impartiendo docencia en otras especialidades docentes, en los supuestos y condiciones en que así se determine por el Departamento de Educación.</w:t>
      </w:r>
    </w:p>
    <w:p w14:paraId="00A4A409"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Disposición adicional duodécima.</w:t>
      </w:r>
      <w:r w:rsidRPr="00C0709C">
        <w:rPr>
          <w:rFonts w:cs="Arial"/>
          <w:sz w:val="22"/>
          <w:szCs w:val="22"/>
          <w:lang w:val="es-ES_tradnl"/>
        </w:rPr>
        <w:t xml:space="preserve"> Centros docentes públicos de nueva creación.</w:t>
      </w:r>
    </w:p>
    <w:p w14:paraId="7047A6D7"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El Departamento de Educación podrá nombrar con una anticipación de hasta cuatro meses, previa a la creación de un centro docente público, cargos directivos docentes que realizarán las funciones establecidas en los Reglamentos orgánicos, así como las competencias atribuidas al Consejo Escolar hasta la constitución </w:t>
      </w:r>
      <w:proofErr w:type="gramStart"/>
      <w:r w:rsidRPr="00C0709C">
        <w:rPr>
          <w:rFonts w:cs="Arial"/>
          <w:sz w:val="22"/>
          <w:szCs w:val="22"/>
          <w:lang w:val="es-ES_tradnl"/>
        </w:rPr>
        <w:t>del mismo</w:t>
      </w:r>
      <w:proofErr w:type="gramEnd"/>
      <w:r w:rsidRPr="00C0709C">
        <w:rPr>
          <w:rFonts w:cs="Arial"/>
          <w:sz w:val="22"/>
          <w:szCs w:val="22"/>
          <w:lang w:val="es-ES_tradnl"/>
        </w:rPr>
        <w:t>.</w:t>
      </w:r>
    </w:p>
    <w:p w14:paraId="178023A4"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Disposición adicional décima tercera.</w:t>
      </w:r>
      <w:r w:rsidRPr="00C0709C">
        <w:rPr>
          <w:rFonts w:cs="Arial"/>
          <w:sz w:val="22"/>
          <w:szCs w:val="22"/>
          <w:lang w:val="es-ES_tradnl"/>
        </w:rPr>
        <w:t xml:space="preserve"> Ofertas de empleo público de personal docente no universitario.</w:t>
      </w:r>
    </w:p>
    <w:p w14:paraId="2B51085A"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1. Las plazas de personal docente no universitario de la Administración de la Comunidad Foral de Navarra que queden vacantes por jubilación, fallecimiento, renuncia o cualquier otra situación administrativa que no suponga la reserva de la plaza quedarán automáticamente asignadas en plantilla orgánica al Cuerpo o puesto docente de procedencia, sin especificación del resto de las características de las plazas.</w:t>
      </w:r>
    </w:p>
    <w:p w14:paraId="2A067F0E"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2. Las ofertas de empleo público de personal docente no universitario de la Administración de la Comunidad Foral de Navarra se determinarán estableciendo el número total de plazas de cada Cuerpo o puesto docente que se incluyan en las mismas. Las características de las plazas incluidas en dichas ofertas de empleo, en todo caso especialidad e idioma, se establecerán en un decreto foral de modificación de la plantilla orgánica con carácter previo a la convocatoria de las pruebas selectivas de ingreso.</w:t>
      </w:r>
    </w:p>
    <w:p w14:paraId="317B6CE3"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lastRenderedPageBreak/>
        <w:t>3. Los miembros de los órganos de selección del personal a que se refiere la Ley Foral 11/2022, de 4 de mayo, por la que se establecen medidas en materia de selección y provisión de puestos de personal funcionario docente no universitario de la Administración de la Comunidad Foral de Navarra, serán nombrados conforme a lo dispuesto en la normativa estatal de ingreso en los Cuerpos docentes y estarán formados prioritariamente por personal funcionario docente nombrado para el puesto de trabajo docente objeto del proceso selectivo. En caso de que no haya suficiente personal disponible del correspondiente puesto de trabajo, se designará a personal funcionario de los cuerpos docentes o de puestos de trabajo afines.</w:t>
      </w:r>
    </w:p>
    <w:p w14:paraId="79053E8E"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Disposición adicional décima cuarta.</w:t>
      </w:r>
      <w:r w:rsidRPr="00C0709C">
        <w:rPr>
          <w:rFonts w:cs="Arial"/>
          <w:sz w:val="22"/>
          <w:szCs w:val="22"/>
          <w:lang w:val="es-ES_tradnl"/>
        </w:rPr>
        <w:t xml:space="preserve"> Transferencias para el funcionamiento de los centros sanitarios.</w:t>
      </w:r>
    </w:p>
    <w:p w14:paraId="2F329C6A"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La distribución del importe que figura en la partida presupuestaria 547001-52300-4609-312200, denominada “Transferencias para el funcionamiento de los centros sanitarios”, cuyo destino es financiar los gastos de funcionamiento de los Consultorios Locales y Auxiliares de Navarra de propiedad municipal, se realizará en función de los módulos y cuantías máximas que anualmente apruebe la persona titular de la Gerencia del Servicio Navarro de Salud-</w:t>
      </w:r>
      <w:proofErr w:type="spellStart"/>
      <w:r w:rsidRPr="00C0709C">
        <w:rPr>
          <w:rFonts w:cs="Arial"/>
          <w:sz w:val="22"/>
          <w:szCs w:val="22"/>
          <w:lang w:val="es-ES_tradnl"/>
        </w:rPr>
        <w:t>Osasunbidea</w:t>
      </w:r>
      <w:proofErr w:type="spellEnd"/>
      <w:r w:rsidRPr="00C0709C">
        <w:rPr>
          <w:rFonts w:cs="Arial"/>
          <w:sz w:val="22"/>
          <w:szCs w:val="22"/>
          <w:lang w:val="es-ES_tradnl"/>
        </w:rPr>
        <w:t>, no siéndole de aplicación la Ley Foral 11/2005, de 9 de noviembre, de Subvenciones.</w:t>
      </w:r>
    </w:p>
    <w:p w14:paraId="07669B00"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En cualquier caso, estos módulos tendrán en cuenta la superficie y tipo de consultorio.</w:t>
      </w:r>
    </w:p>
    <w:p w14:paraId="06FC2C1B"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El equipamiento de los consultorios locales se efectuará, en su caso, por el Servicio Navarro de Salud-</w:t>
      </w:r>
      <w:proofErr w:type="spellStart"/>
      <w:r w:rsidRPr="00C0709C">
        <w:rPr>
          <w:rFonts w:cs="Arial"/>
          <w:sz w:val="22"/>
          <w:szCs w:val="22"/>
          <w:lang w:val="es-ES_tradnl"/>
        </w:rPr>
        <w:t>Osasunbidea</w:t>
      </w:r>
      <w:proofErr w:type="spellEnd"/>
      <w:r w:rsidRPr="00C0709C">
        <w:rPr>
          <w:rFonts w:cs="Arial"/>
          <w:sz w:val="22"/>
          <w:szCs w:val="22"/>
          <w:lang w:val="es-ES_tradnl"/>
        </w:rPr>
        <w:t>.</w:t>
      </w:r>
    </w:p>
    <w:p w14:paraId="6B82B459"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Disposición adicional décima quinta.</w:t>
      </w:r>
      <w:r w:rsidRPr="00C0709C">
        <w:rPr>
          <w:rFonts w:cs="Arial"/>
          <w:sz w:val="22"/>
          <w:szCs w:val="22"/>
          <w:lang w:val="es-ES_tradnl"/>
        </w:rPr>
        <w:t xml:space="preserve"> Indemnizaciones por la colaboración en estadística agraria.</w:t>
      </w:r>
    </w:p>
    <w:p w14:paraId="112AC93F"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El Departamento de Desarrollo Rural y Medio Ambiente podrá indemnizar a las personas colaboradoras en materia de estadística agraria por los gastos que les origine su colaboración de acuerdo con las siguientes cuantías máximas, en euros/año:</w:t>
      </w:r>
    </w:p>
    <w:tbl>
      <w:tblPr>
        <w:tblW w:w="7420" w:type="dxa"/>
        <w:tblInd w:w="628" w:type="dxa"/>
        <w:tblCellMar>
          <w:left w:w="70" w:type="dxa"/>
          <w:right w:w="70" w:type="dxa"/>
        </w:tblCellMar>
        <w:tblLook w:val="04A0" w:firstRow="1" w:lastRow="0" w:firstColumn="1" w:lastColumn="0" w:noHBand="0" w:noVBand="1"/>
      </w:tblPr>
      <w:tblGrid>
        <w:gridCol w:w="6112"/>
        <w:gridCol w:w="1308"/>
      </w:tblGrid>
      <w:tr w:rsidR="00EE00CD" w:rsidRPr="00C0709C" w14:paraId="6B36B33E" w14:textId="77777777" w:rsidTr="00970E0A">
        <w:trPr>
          <w:trHeight w:val="330"/>
        </w:trPr>
        <w:tc>
          <w:tcPr>
            <w:tcW w:w="611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44693BB9" w14:textId="77777777" w:rsidR="00EE00CD" w:rsidRPr="00C0709C" w:rsidRDefault="00EE00CD" w:rsidP="00C0709C">
            <w:pPr>
              <w:pStyle w:val="DICTA-TEXTO"/>
              <w:spacing w:beforeLines="60" w:before="144" w:afterLines="60" w:after="144" w:line="280" w:lineRule="exact"/>
              <w:ind w:firstLine="0"/>
              <w:rPr>
                <w:rFonts w:cs="Arial"/>
                <w:sz w:val="22"/>
                <w:szCs w:val="22"/>
                <w:lang w:val="es-ES_tradnl"/>
              </w:rPr>
            </w:pPr>
            <w:r w:rsidRPr="00C0709C">
              <w:rPr>
                <w:rFonts w:cs="Arial"/>
                <w:sz w:val="22"/>
                <w:szCs w:val="22"/>
                <w:lang w:val="es-ES_tradnl"/>
              </w:rPr>
              <w:t>Superficies anuales de los cultivos</w:t>
            </w:r>
          </w:p>
        </w:tc>
        <w:tc>
          <w:tcPr>
            <w:tcW w:w="1308" w:type="dxa"/>
            <w:tcBorders>
              <w:top w:val="single" w:sz="8" w:space="0" w:color="auto"/>
              <w:left w:val="nil"/>
              <w:bottom w:val="single" w:sz="4" w:space="0" w:color="auto"/>
              <w:right w:val="single" w:sz="8" w:space="0" w:color="auto"/>
            </w:tcBorders>
            <w:shd w:val="clear" w:color="auto" w:fill="auto"/>
            <w:noWrap/>
            <w:vAlign w:val="center"/>
            <w:hideMark/>
          </w:tcPr>
          <w:p w14:paraId="142504D2" w14:textId="77777777" w:rsidR="00EE00CD" w:rsidRPr="00C0709C" w:rsidRDefault="00EE00CD" w:rsidP="00C0709C">
            <w:pPr>
              <w:pStyle w:val="DICTA-TEXTO"/>
              <w:spacing w:beforeLines="60" w:before="144" w:afterLines="60" w:after="144" w:line="280" w:lineRule="exact"/>
              <w:jc w:val="right"/>
              <w:rPr>
                <w:rFonts w:cs="Arial"/>
                <w:sz w:val="22"/>
                <w:szCs w:val="22"/>
                <w:lang w:val="es-ES_tradnl"/>
              </w:rPr>
            </w:pPr>
            <w:r w:rsidRPr="00C0709C">
              <w:rPr>
                <w:rFonts w:cs="Arial"/>
                <w:sz w:val="22"/>
                <w:szCs w:val="22"/>
                <w:lang w:val="es-ES_tradnl"/>
              </w:rPr>
              <w:t>85</w:t>
            </w:r>
          </w:p>
        </w:tc>
      </w:tr>
      <w:tr w:rsidR="00EE00CD" w:rsidRPr="00C0709C" w14:paraId="5322AEE3" w14:textId="77777777" w:rsidTr="00970E0A">
        <w:trPr>
          <w:trHeight w:val="330"/>
        </w:trPr>
        <w:tc>
          <w:tcPr>
            <w:tcW w:w="611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C875240" w14:textId="77777777" w:rsidR="00EE00CD" w:rsidRPr="00C0709C" w:rsidRDefault="00EE00CD" w:rsidP="00C0709C">
            <w:pPr>
              <w:pStyle w:val="DICTA-TEXTO"/>
              <w:spacing w:beforeLines="60" w:before="144" w:afterLines="60" w:after="144" w:line="280" w:lineRule="exact"/>
              <w:ind w:firstLine="0"/>
              <w:rPr>
                <w:rFonts w:cs="Arial"/>
                <w:sz w:val="22"/>
                <w:szCs w:val="22"/>
                <w:lang w:val="es-ES_tradnl"/>
              </w:rPr>
            </w:pPr>
            <w:r w:rsidRPr="00C0709C">
              <w:rPr>
                <w:rFonts w:cs="Arial"/>
                <w:sz w:val="22"/>
                <w:szCs w:val="22"/>
                <w:lang w:val="es-ES_tradnl"/>
              </w:rPr>
              <w:t>Producciones anuales de los cultivos</w:t>
            </w:r>
          </w:p>
        </w:tc>
        <w:tc>
          <w:tcPr>
            <w:tcW w:w="1308" w:type="dxa"/>
            <w:tcBorders>
              <w:top w:val="single" w:sz="4" w:space="0" w:color="auto"/>
              <w:left w:val="nil"/>
              <w:bottom w:val="single" w:sz="8" w:space="0" w:color="auto"/>
              <w:right w:val="single" w:sz="8" w:space="0" w:color="auto"/>
            </w:tcBorders>
            <w:shd w:val="clear" w:color="auto" w:fill="auto"/>
            <w:noWrap/>
            <w:vAlign w:val="center"/>
            <w:hideMark/>
          </w:tcPr>
          <w:p w14:paraId="5E6B3D7C" w14:textId="77777777" w:rsidR="00EE00CD" w:rsidRPr="00C0709C" w:rsidRDefault="00EE00CD" w:rsidP="00C0709C">
            <w:pPr>
              <w:pStyle w:val="DICTA-TEXTO"/>
              <w:spacing w:beforeLines="60" w:before="144" w:afterLines="60" w:after="144" w:line="280" w:lineRule="exact"/>
              <w:jc w:val="right"/>
              <w:rPr>
                <w:rFonts w:cs="Arial"/>
                <w:sz w:val="22"/>
                <w:szCs w:val="22"/>
                <w:lang w:val="es-ES_tradnl"/>
              </w:rPr>
            </w:pPr>
            <w:r w:rsidRPr="00C0709C">
              <w:rPr>
                <w:rFonts w:cs="Arial"/>
                <w:sz w:val="22"/>
                <w:szCs w:val="22"/>
                <w:lang w:val="es-ES_tradnl"/>
              </w:rPr>
              <w:t>85</w:t>
            </w:r>
          </w:p>
        </w:tc>
      </w:tr>
      <w:tr w:rsidR="00EE00CD" w:rsidRPr="00C0709C" w14:paraId="4520B948"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9C296E" w14:textId="77777777" w:rsidR="00EE00CD" w:rsidRPr="00C0709C" w:rsidRDefault="00EE00CD" w:rsidP="00C0709C">
            <w:pPr>
              <w:pStyle w:val="DICTA-TEXTO"/>
              <w:spacing w:beforeLines="60" w:before="144" w:afterLines="60" w:after="144" w:line="280" w:lineRule="exact"/>
              <w:ind w:firstLine="0"/>
              <w:rPr>
                <w:rFonts w:cs="Arial"/>
                <w:sz w:val="22"/>
                <w:szCs w:val="22"/>
                <w:lang w:val="es-ES_tradnl"/>
              </w:rPr>
            </w:pPr>
            <w:r w:rsidRPr="00C0709C">
              <w:rPr>
                <w:rFonts w:cs="Arial"/>
                <w:sz w:val="22"/>
                <w:szCs w:val="22"/>
                <w:lang w:val="es-ES_tradnl"/>
              </w:rPr>
              <w:t>Evaluación de otras producciones ganaderas</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25EE618A" w14:textId="77777777" w:rsidR="00EE00CD" w:rsidRPr="00C0709C" w:rsidRDefault="00EE00CD" w:rsidP="00C0709C">
            <w:pPr>
              <w:pStyle w:val="DICTA-TEXTO"/>
              <w:spacing w:beforeLines="60" w:before="144" w:afterLines="60" w:after="144" w:line="280" w:lineRule="exact"/>
              <w:jc w:val="right"/>
              <w:rPr>
                <w:rFonts w:cs="Arial"/>
                <w:sz w:val="22"/>
                <w:szCs w:val="22"/>
                <w:lang w:val="es-ES_tradnl"/>
              </w:rPr>
            </w:pPr>
            <w:r w:rsidRPr="00C0709C">
              <w:rPr>
                <w:rFonts w:cs="Arial"/>
                <w:sz w:val="22"/>
                <w:szCs w:val="22"/>
                <w:lang w:val="es-ES_tradnl"/>
              </w:rPr>
              <w:t>275</w:t>
            </w:r>
          </w:p>
        </w:tc>
      </w:tr>
      <w:tr w:rsidR="00EE00CD" w:rsidRPr="00C0709C" w14:paraId="4C6DBCD5"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370EA4F" w14:textId="77777777" w:rsidR="00EE00CD" w:rsidRPr="00C0709C" w:rsidRDefault="00EE00CD" w:rsidP="00C0709C">
            <w:pPr>
              <w:pStyle w:val="DICTA-TEXTO"/>
              <w:spacing w:beforeLines="60" w:before="144" w:afterLines="60" w:after="144" w:line="280" w:lineRule="exact"/>
              <w:ind w:firstLine="0"/>
              <w:rPr>
                <w:rFonts w:cs="Arial"/>
                <w:sz w:val="22"/>
                <w:szCs w:val="22"/>
                <w:lang w:val="es-ES_tradnl"/>
              </w:rPr>
            </w:pPr>
            <w:r w:rsidRPr="00C0709C">
              <w:rPr>
                <w:rFonts w:cs="Arial"/>
                <w:sz w:val="22"/>
                <w:szCs w:val="22"/>
                <w:lang w:val="es-ES_tradnl"/>
              </w:rPr>
              <w:t>Precios de la tierra</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6DD9826F" w14:textId="77777777" w:rsidR="00EE00CD" w:rsidRPr="00C0709C" w:rsidRDefault="00EE00CD" w:rsidP="00C0709C">
            <w:pPr>
              <w:pStyle w:val="DICTA-TEXTO"/>
              <w:spacing w:beforeLines="60" w:before="144" w:afterLines="60" w:after="144" w:line="280" w:lineRule="exact"/>
              <w:jc w:val="right"/>
              <w:rPr>
                <w:rFonts w:cs="Arial"/>
                <w:sz w:val="22"/>
                <w:szCs w:val="22"/>
                <w:lang w:val="es-ES_tradnl"/>
              </w:rPr>
            </w:pPr>
            <w:r w:rsidRPr="00C0709C">
              <w:rPr>
                <w:rFonts w:cs="Arial"/>
                <w:sz w:val="22"/>
                <w:szCs w:val="22"/>
                <w:lang w:val="es-ES_tradnl"/>
              </w:rPr>
              <w:t>1.400</w:t>
            </w:r>
          </w:p>
        </w:tc>
      </w:tr>
      <w:tr w:rsidR="00EE00CD" w:rsidRPr="00C0709C" w14:paraId="4CC87C77"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8F20F6C" w14:textId="77777777" w:rsidR="00EE00CD" w:rsidRPr="00C0709C" w:rsidRDefault="00EE00CD" w:rsidP="00C0709C">
            <w:pPr>
              <w:pStyle w:val="DICTA-TEXTO"/>
              <w:spacing w:beforeLines="60" w:before="144" w:afterLines="60" w:after="144" w:line="280" w:lineRule="exact"/>
              <w:ind w:firstLine="0"/>
              <w:rPr>
                <w:rFonts w:cs="Arial"/>
                <w:sz w:val="22"/>
                <w:szCs w:val="22"/>
                <w:lang w:val="es-ES_tradnl"/>
              </w:rPr>
            </w:pPr>
            <w:r w:rsidRPr="00C0709C">
              <w:rPr>
                <w:rFonts w:cs="Arial"/>
                <w:sz w:val="22"/>
                <w:szCs w:val="22"/>
                <w:lang w:val="es-ES_tradnl"/>
              </w:rPr>
              <w:t>Cánones de arrendamientos rústicos</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6946661E" w14:textId="77777777" w:rsidR="00EE00CD" w:rsidRPr="00C0709C" w:rsidRDefault="00EE00CD" w:rsidP="00C0709C">
            <w:pPr>
              <w:pStyle w:val="DICTA-TEXTO"/>
              <w:spacing w:beforeLines="60" w:before="144" w:afterLines="60" w:after="144" w:line="280" w:lineRule="exact"/>
              <w:jc w:val="right"/>
              <w:rPr>
                <w:rFonts w:cs="Arial"/>
                <w:sz w:val="22"/>
                <w:szCs w:val="22"/>
                <w:lang w:val="es-ES_tradnl"/>
              </w:rPr>
            </w:pPr>
            <w:r w:rsidRPr="00C0709C">
              <w:rPr>
                <w:rFonts w:cs="Arial"/>
                <w:sz w:val="22"/>
                <w:szCs w:val="22"/>
                <w:lang w:val="es-ES_tradnl"/>
              </w:rPr>
              <w:t>380</w:t>
            </w:r>
          </w:p>
        </w:tc>
      </w:tr>
      <w:tr w:rsidR="00EE00CD" w:rsidRPr="00C0709C" w14:paraId="2C94C018"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25BCCD4" w14:textId="77777777" w:rsidR="00EE00CD" w:rsidRPr="00C0709C" w:rsidRDefault="00EE00CD" w:rsidP="00C0709C">
            <w:pPr>
              <w:pStyle w:val="DICTA-TEXTO"/>
              <w:spacing w:beforeLines="60" w:before="144" w:afterLines="60" w:after="144" w:line="280" w:lineRule="exact"/>
              <w:ind w:firstLine="0"/>
              <w:rPr>
                <w:rFonts w:cs="Arial"/>
                <w:sz w:val="22"/>
                <w:szCs w:val="22"/>
                <w:lang w:val="es-ES_tradnl"/>
              </w:rPr>
            </w:pPr>
            <w:r w:rsidRPr="00C0709C">
              <w:rPr>
                <w:rFonts w:cs="Arial"/>
                <w:sz w:val="22"/>
                <w:szCs w:val="22"/>
                <w:lang w:val="es-ES_tradnl"/>
              </w:rPr>
              <w:t>Precios semanales de productos agrícolas y ganaderos</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56CDB48F" w14:textId="77777777" w:rsidR="00EE00CD" w:rsidRPr="00C0709C" w:rsidRDefault="00EE00CD" w:rsidP="00C0709C">
            <w:pPr>
              <w:pStyle w:val="DICTA-TEXTO"/>
              <w:spacing w:beforeLines="60" w:before="144" w:afterLines="60" w:after="144" w:line="280" w:lineRule="exact"/>
              <w:jc w:val="right"/>
              <w:rPr>
                <w:rFonts w:cs="Arial"/>
                <w:sz w:val="22"/>
                <w:szCs w:val="22"/>
                <w:lang w:val="es-ES_tradnl"/>
              </w:rPr>
            </w:pPr>
            <w:r w:rsidRPr="00C0709C">
              <w:rPr>
                <w:rFonts w:cs="Arial"/>
                <w:sz w:val="22"/>
                <w:szCs w:val="22"/>
                <w:lang w:val="es-ES_tradnl"/>
              </w:rPr>
              <w:t>1.900</w:t>
            </w:r>
          </w:p>
        </w:tc>
      </w:tr>
      <w:tr w:rsidR="00EE00CD" w:rsidRPr="00C0709C" w14:paraId="68914D7E"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9A3301" w14:textId="77777777" w:rsidR="00EE00CD" w:rsidRPr="00C0709C" w:rsidRDefault="00EE00CD" w:rsidP="00C0709C">
            <w:pPr>
              <w:pStyle w:val="DICTA-TEXTO"/>
              <w:spacing w:beforeLines="60" w:before="144" w:afterLines="60" w:after="144" w:line="280" w:lineRule="exact"/>
              <w:ind w:firstLine="0"/>
              <w:rPr>
                <w:rFonts w:cs="Arial"/>
                <w:sz w:val="22"/>
                <w:szCs w:val="22"/>
                <w:lang w:val="es-ES_tradnl"/>
              </w:rPr>
            </w:pPr>
            <w:r w:rsidRPr="00C0709C">
              <w:rPr>
                <w:rFonts w:cs="Arial"/>
                <w:sz w:val="22"/>
                <w:szCs w:val="22"/>
                <w:lang w:val="es-ES_tradnl"/>
              </w:rPr>
              <w:t>Precios percibidos por los agricultores/as y ganaderos/as</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73A3A8D8" w14:textId="77777777" w:rsidR="00EE00CD" w:rsidRPr="00C0709C" w:rsidRDefault="00EE00CD" w:rsidP="00C0709C">
            <w:pPr>
              <w:pStyle w:val="DICTA-TEXTO"/>
              <w:spacing w:beforeLines="60" w:before="144" w:afterLines="60" w:after="144" w:line="280" w:lineRule="exact"/>
              <w:jc w:val="right"/>
              <w:rPr>
                <w:rFonts w:cs="Arial"/>
                <w:sz w:val="22"/>
                <w:szCs w:val="22"/>
                <w:lang w:val="es-ES_tradnl"/>
              </w:rPr>
            </w:pPr>
            <w:r w:rsidRPr="00C0709C">
              <w:rPr>
                <w:rFonts w:cs="Arial"/>
                <w:sz w:val="22"/>
                <w:szCs w:val="22"/>
                <w:lang w:val="es-ES_tradnl"/>
              </w:rPr>
              <w:t>1.200</w:t>
            </w:r>
          </w:p>
        </w:tc>
      </w:tr>
      <w:tr w:rsidR="00EE00CD" w:rsidRPr="00C0709C" w14:paraId="431BC2B9"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956D1B0" w14:textId="77777777" w:rsidR="00EE00CD" w:rsidRPr="00C0709C" w:rsidRDefault="00EE00CD" w:rsidP="00C0709C">
            <w:pPr>
              <w:pStyle w:val="DICTA-TEXTO"/>
              <w:spacing w:beforeLines="60" w:before="144" w:afterLines="60" w:after="144" w:line="280" w:lineRule="exact"/>
              <w:ind w:firstLine="0"/>
              <w:rPr>
                <w:rFonts w:cs="Arial"/>
                <w:sz w:val="22"/>
                <w:szCs w:val="22"/>
                <w:lang w:val="es-ES_tradnl"/>
              </w:rPr>
            </w:pPr>
            <w:r w:rsidRPr="00C0709C">
              <w:rPr>
                <w:rFonts w:cs="Arial"/>
                <w:sz w:val="22"/>
                <w:szCs w:val="22"/>
                <w:lang w:val="es-ES_tradnl"/>
              </w:rPr>
              <w:t>Precios pagados por los agricultores/as y ganaderos/as</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02B70A88" w14:textId="77777777" w:rsidR="00EE00CD" w:rsidRPr="00C0709C" w:rsidRDefault="00EE00CD" w:rsidP="00C0709C">
            <w:pPr>
              <w:pStyle w:val="DICTA-TEXTO"/>
              <w:spacing w:beforeLines="60" w:before="144" w:afterLines="60" w:after="144" w:line="280" w:lineRule="exact"/>
              <w:jc w:val="right"/>
              <w:rPr>
                <w:rFonts w:cs="Arial"/>
                <w:sz w:val="22"/>
                <w:szCs w:val="22"/>
                <w:lang w:val="es-ES_tradnl"/>
              </w:rPr>
            </w:pPr>
            <w:r w:rsidRPr="00C0709C">
              <w:rPr>
                <w:rFonts w:cs="Arial"/>
                <w:sz w:val="22"/>
                <w:szCs w:val="22"/>
                <w:lang w:val="es-ES_tradnl"/>
              </w:rPr>
              <w:t>655</w:t>
            </w:r>
          </w:p>
        </w:tc>
      </w:tr>
      <w:tr w:rsidR="00EE00CD" w:rsidRPr="00C0709C" w14:paraId="2D6A565A"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09F958" w14:textId="77777777" w:rsidR="00EE00CD" w:rsidRPr="00C0709C" w:rsidRDefault="00EE00CD" w:rsidP="00C0709C">
            <w:pPr>
              <w:pStyle w:val="DICTA-TEXTO"/>
              <w:spacing w:beforeLines="60" w:before="144" w:afterLines="60" w:after="144" w:line="280" w:lineRule="exact"/>
              <w:ind w:firstLine="0"/>
              <w:rPr>
                <w:rFonts w:cs="Arial"/>
                <w:sz w:val="22"/>
                <w:szCs w:val="22"/>
                <w:lang w:val="es-ES_tradnl"/>
              </w:rPr>
            </w:pPr>
            <w:r w:rsidRPr="00C0709C">
              <w:rPr>
                <w:rFonts w:cs="Arial"/>
                <w:sz w:val="22"/>
                <w:szCs w:val="22"/>
                <w:lang w:val="es-ES_tradnl"/>
              </w:rPr>
              <w:lastRenderedPageBreak/>
              <w:t>Precios de productos de pequeña significación</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68AF700B" w14:textId="77777777" w:rsidR="00EE00CD" w:rsidRPr="00C0709C" w:rsidRDefault="00EE00CD" w:rsidP="00C0709C">
            <w:pPr>
              <w:pStyle w:val="DICTA-TEXTO"/>
              <w:spacing w:beforeLines="60" w:before="144" w:afterLines="60" w:after="144" w:line="280" w:lineRule="exact"/>
              <w:jc w:val="right"/>
              <w:rPr>
                <w:rFonts w:cs="Arial"/>
                <w:sz w:val="22"/>
                <w:szCs w:val="22"/>
                <w:lang w:val="es-ES_tradnl"/>
              </w:rPr>
            </w:pPr>
            <w:r w:rsidRPr="00C0709C">
              <w:rPr>
                <w:rFonts w:cs="Arial"/>
                <w:sz w:val="22"/>
                <w:szCs w:val="22"/>
                <w:lang w:val="es-ES_tradnl"/>
              </w:rPr>
              <w:t>330</w:t>
            </w:r>
          </w:p>
        </w:tc>
      </w:tr>
      <w:tr w:rsidR="00EE00CD" w:rsidRPr="00C0709C" w14:paraId="433A6300"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37F73F0" w14:textId="77777777" w:rsidR="00EE00CD" w:rsidRPr="00C0709C" w:rsidRDefault="00EE00CD" w:rsidP="00C0709C">
            <w:pPr>
              <w:pStyle w:val="DICTA-TEXTO"/>
              <w:spacing w:beforeLines="60" w:before="144" w:afterLines="60" w:after="144" w:line="280" w:lineRule="exact"/>
              <w:ind w:firstLine="0"/>
              <w:rPr>
                <w:rFonts w:cs="Arial"/>
                <w:sz w:val="22"/>
                <w:szCs w:val="22"/>
                <w:lang w:val="es-ES_tradnl"/>
              </w:rPr>
            </w:pPr>
            <w:r w:rsidRPr="00C0709C">
              <w:rPr>
                <w:rFonts w:cs="Arial"/>
                <w:sz w:val="22"/>
                <w:szCs w:val="22"/>
                <w:lang w:val="es-ES_tradnl"/>
              </w:rPr>
              <w:t>Salarios agrarios</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2B8FB5B3" w14:textId="77777777" w:rsidR="00EE00CD" w:rsidRPr="00C0709C" w:rsidRDefault="00EE00CD" w:rsidP="00C0709C">
            <w:pPr>
              <w:pStyle w:val="DICTA-TEXTO"/>
              <w:spacing w:beforeLines="60" w:before="144" w:afterLines="60" w:after="144" w:line="280" w:lineRule="exact"/>
              <w:jc w:val="right"/>
              <w:rPr>
                <w:rFonts w:cs="Arial"/>
                <w:sz w:val="22"/>
                <w:szCs w:val="22"/>
                <w:lang w:val="es-ES_tradnl"/>
              </w:rPr>
            </w:pPr>
            <w:r w:rsidRPr="00C0709C">
              <w:rPr>
                <w:rFonts w:cs="Arial"/>
                <w:sz w:val="22"/>
                <w:szCs w:val="22"/>
                <w:lang w:val="es-ES_tradnl"/>
              </w:rPr>
              <w:t>220</w:t>
            </w:r>
          </w:p>
        </w:tc>
      </w:tr>
      <w:tr w:rsidR="00EE00CD" w:rsidRPr="00C0709C" w14:paraId="63E76388"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1F4E213" w14:textId="77777777" w:rsidR="00EE00CD" w:rsidRPr="00C0709C" w:rsidRDefault="00EE00CD" w:rsidP="00C0709C">
            <w:pPr>
              <w:pStyle w:val="DICTA-TEXTO"/>
              <w:spacing w:beforeLines="60" w:before="144" w:afterLines="60" w:after="144" w:line="280" w:lineRule="exact"/>
              <w:ind w:firstLine="0"/>
              <w:rPr>
                <w:rFonts w:cs="Arial"/>
                <w:sz w:val="22"/>
                <w:szCs w:val="22"/>
                <w:lang w:val="es-ES_tradnl"/>
              </w:rPr>
            </w:pPr>
            <w:r w:rsidRPr="00C0709C">
              <w:rPr>
                <w:rFonts w:cs="Arial"/>
                <w:sz w:val="22"/>
                <w:szCs w:val="22"/>
                <w:lang w:val="es-ES_tradnl"/>
              </w:rPr>
              <w:t>Cuentas macroeconómicas</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1A91BC09" w14:textId="77777777" w:rsidR="00EE00CD" w:rsidRPr="00C0709C" w:rsidRDefault="00EE00CD" w:rsidP="00C0709C">
            <w:pPr>
              <w:pStyle w:val="DICTA-TEXTO"/>
              <w:spacing w:beforeLines="60" w:before="144" w:afterLines="60" w:after="144" w:line="280" w:lineRule="exact"/>
              <w:jc w:val="right"/>
              <w:rPr>
                <w:rFonts w:cs="Arial"/>
                <w:sz w:val="22"/>
                <w:szCs w:val="22"/>
                <w:lang w:val="es-ES_tradnl"/>
              </w:rPr>
            </w:pPr>
            <w:r w:rsidRPr="00C0709C">
              <w:rPr>
                <w:rFonts w:cs="Arial"/>
                <w:sz w:val="22"/>
                <w:szCs w:val="22"/>
                <w:lang w:val="es-ES_tradnl"/>
              </w:rPr>
              <w:t>220</w:t>
            </w:r>
          </w:p>
        </w:tc>
      </w:tr>
      <w:tr w:rsidR="00EE00CD" w:rsidRPr="00C0709C" w14:paraId="7B614C87"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E25670" w14:textId="77777777" w:rsidR="00EE00CD" w:rsidRPr="00C0709C" w:rsidRDefault="00EE00CD" w:rsidP="00C0709C">
            <w:pPr>
              <w:pStyle w:val="DICTA-TEXTO"/>
              <w:spacing w:beforeLines="60" w:before="144" w:afterLines="60" w:after="144" w:line="280" w:lineRule="exact"/>
              <w:ind w:firstLine="0"/>
              <w:rPr>
                <w:rFonts w:cs="Arial"/>
                <w:sz w:val="22"/>
                <w:szCs w:val="22"/>
                <w:lang w:val="es-ES_tradnl"/>
              </w:rPr>
            </w:pPr>
            <w:r w:rsidRPr="00C0709C">
              <w:rPr>
                <w:rFonts w:cs="Arial"/>
                <w:sz w:val="22"/>
                <w:szCs w:val="22"/>
                <w:lang w:val="es-ES_tradnl"/>
              </w:rPr>
              <w:t>Meteorología-Completa</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0C1ACE19" w14:textId="77777777" w:rsidR="00EE00CD" w:rsidRPr="00C0709C" w:rsidRDefault="00EE00CD" w:rsidP="00C0709C">
            <w:pPr>
              <w:pStyle w:val="DICTA-TEXTO"/>
              <w:spacing w:beforeLines="60" w:before="144" w:afterLines="60" w:after="144" w:line="280" w:lineRule="exact"/>
              <w:jc w:val="right"/>
              <w:rPr>
                <w:rFonts w:cs="Arial"/>
                <w:sz w:val="22"/>
                <w:szCs w:val="22"/>
                <w:lang w:val="es-ES_tradnl"/>
              </w:rPr>
            </w:pPr>
            <w:r w:rsidRPr="00C0709C">
              <w:rPr>
                <w:rFonts w:cs="Arial"/>
                <w:sz w:val="22"/>
                <w:szCs w:val="22"/>
                <w:lang w:val="es-ES_tradnl"/>
              </w:rPr>
              <w:t>1.440</w:t>
            </w:r>
          </w:p>
        </w:tc>
      </w:tr>
      <w:tr w:rsidR="00EE00CD" w:rsidRPr="00C0709C" w14:paraId="706FD902"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C1C0C4" w14:textId="77777777" w:rsidR="00EE00CD" w:rsidRPr="00C0709C" w:rsidRDefault="00EE00CD" w:rsidP="00C0709C">
            <w:pPr>
              <w:pStyle w:val="DICTA-TEXTO"/>
              <w:spacing w:beforeLines="60" w:before="144" w:afterLines="60" w:after="144" w:line="280" w:lineRule="exact"/>
              <w:ind w:firstLine="0"/>
              <w:rPr>
                <w:rFonts w:cs="Arial"/>
                <w:sz w:val="22"/>
                <w:szCs w:val="22"/>
                <w:lang w:val="es-ES_tradnl"/>
              </w:rPr>
            </w:pPr>
            <w:r w:rsidRPr="00C0709C">
              <w:rPr>
                <w:rFonts w:cs="Arial"/>
                <w:sz w:val="22"/>
                <w:szCs w:val="22"/>
                <w:lang w:val="es-ES_tradnl"/>
              </w:rPr>
              <w:t>Meteorología-Semicompleta</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4A0D046E" w14:textId="77777777" w:rsidR="00EE00CD" w:rsidRPr="00C0709C" w:rsidRDefault="00EE00CD" w:rsidP="00C0709C">
            <w:pPr>
              <w:pStyle w:val="DICTA-TEXTO"/>
              <w:spacing w:beforeLines="60" w:before="144" w:afterLines="60" w:after="144" w:line="280" w:lineRule="exact"/>
              <w:jc w:val="right"/>
              <w:rPr>
                <w:rFonts w:cs="Arial"/>
                <w:sz w:val="22"/>
                <w:szCs w:val="22"/>
                <w:lang w:val="es-ES_tradnl"/>
              </w:rPr>
            </w:pPr>
            <w:r w:rsidRPr="00C0709C">
              <w:rPr>
                <w:rFonts w:cs="Arial"/>
                <w:sz w:val="22"/>
                <w:szCs w:val="22"/>
                <w:lang w:val="es-ES_tradnl"/>
              </w:rPr>
              <w:t>1.275</w:t>
            </w:r>
          </w:p>
        </w:tc>
      </w:tr>
      <w:tr w:rsidR="00EE00CD" w:rsidRPr="00C0709C" w14:paraId="6B81CDA2"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E514E5" w14:textId="77777777" w:rsidR="00EE00CD" w:rsidRPr="00C0709C" w:rsidRDefault="00EE00CD" w:rsidP="00C0709C">
            <w:pPr>
              <w:pStyle w:val="DICTA-TEXTO"/>
              <w:spacing w:beforeLines="60" w:before="144" w:afterLines="60" w:after="144" w:line="280" w:lineRule="exact"/>
              <w:ind w:firstLine="0"/>
              <w:rPr>
                <w:rFonts w:cs="Arial"/>
                <w:sz w:val="22"/>
                <w:szCs w:val="22"/>
                <w:lang w:val="es-ES_tradnl"/>
              </w:rPr>
            </w:pPr>
            <w:r w:rsidRPr="00C0709C">
              <w:rPr>
                <w:rFonts w:cs="Arial"/>
                <w:sz w:val="22"/>
                <w:szCs w:val="22"/>
                <w:lang w:val="es-ES_tradnl"/>
              </w:rPr>
              <w:t>Meteorología-</w:t>
            </w:r>
            <w:proofErr w:type="spellStart"/>
            <w:r w:rsidRPr="00C0709C">
              <w:rPr>
                <w:rFonts w:cs="Arial"/>
                <w:sz w:val="22"/>
                <w:szCs w:val="22"/>
                <w:lang w:val="es-ES_tradnl"/>
              </w:rPr>
              <w:t>Termopluviométrica</w:t>
            </w:r>
            <w:proofErr w:type="spellEnd"/>
            <w:r w:rsidRPr="00C0709C">
              <w:rPr>
                <w:rFonts w:cs="Arial"/>
                <w:sz w:val="22"/>
                <w:szCs w:val="22"/>
                <w:lang w:val="es-ES_tradnl"/>
              </w:rPr>
              <w:t xml:space="preserve"> con información de nieve</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285F4FB6" w14:textId="77777777" w:rsidR="00EE00CD" w:rsidRPr="00C0709C" w:rsidRDefault="00EE00CD" w:rsidP="00C0709C">
            <w:pPr>
              <w:pStyle w:val="DICTA-TEXTO"/>
              <w:spacing w:beforeLines="60" w:before="144" w:afterLines="60" w:after="144" w:line="280" w:lineRule="exact"/>
              <w:jc w:val="right"/>
              <w:rPr>
                <w:rFonts w:cs="Arial"/>
                <w:sz w:val="22"/>
                <w:szCs w:val="22"/>
                <w:lang w:val="es-ES_tradnl"/>
              </w:rPr>
            </w:pPr>
            <w:r w:rsidRPr="00C0709C">
              <w:rPr>
                <w:rFonts w:cs="Arial"/>
                <w:sz w:val="22"/>
                <w:szCs w:val="22"/>
                <w:lang w:val="es-ES_tradnl"/>
              </w:rPr>
              <w:t>1.070</w:t>
            </w:r>
          </w:p>
        </w:tc>
      </w:tr>
      <w:tr w:rsidR="00EE00CD" w:rsidRPr="00C0709C" w14:paraId="4E4D63EF"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BABBDB" w14:textId="77777777" w:rsidR="00EE00CD" w:rsidRPr="00C0709C" w:rsidRDefault="00EE00CD" w:rsidP="00C0709C">
            <w:pPr>
              <w:pStyle w:val="DICTA-TEXTO"/>
              <w:spacing w:beforeLines="60" w:before="144" w:afterLines="60" w:after="144" w:line="280" w:lineRule="exact"/>
              <w:ind w:firstLine="0"/>
              <w:rPr>
                <w:rFonts w:cs="Arial"/>
                <w:sz w:val="22"/>
                <w:szCs w:val="22"/>
                <w:lang w:val="es-ES_tradnl"/>
              </w:rPr>
            </w:pPr>
            <w:r w:rsidRPr="00C0709C">
              <w:rPr>
                <w:rFonts w:cs="Arial"/>
                <w:sz w:val="22"/>
                <w:szCs w:val="22"/>
                <w:lang w:val="es-ES_tradnl"/>
              </w:rPr>
              <w:t>Meteorología-</w:t>
            </w:r>
            <w:proofErr w:type="spellStart"/>
            <w:r w:rsidRPr="00C0709C">
              <w:rPr>
                <w:rFonts w:cs="Arial"/>
                <w:sz w:val="22"/>
                <w:szCs w:val="22"/>
                <w:lang w:val="es-ES_tradnl"/>
              </w:rPr>
              <w:t>Termopluviométrica</w:t>
            </w:r>
            <w:proofErr w:type="spellEnd"/>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2FC5B214" w14:textId="77777777" w:rsidR="00EE00CD" w:rsidRPr="00C0709C" w:rsidRDefault="00EE00CD" w:rsidP="00C0709C">
            <w:pPr>
              <w:pStyle w:val="DICTA-TEXTO"/>
              <w:spacing w:beforeLines="60" w:before="144" w:afterLines="60" w:after="144" w:line="280" w:lineRule="exact"/>
              <w:jc w:val="right"/>
              <w:rPr>
                <w:rFonts w:cs="Arial"/>
                <w:sz w:val="22"/>
                <w:szCs w:val="22"/>
                <w:lang w:val="es-ES_tradnl"/>
              </w:rPr>
            </w:pPr>
            <w:r w:rsidRPr="00C0709C">
              <w:rPr>
                <w:rFonts w:cs="Arial"/>
                <w:sz w:val="22"/>
                <w:szCs w:val="22"/>
                <w:lang w:val="es-ES_tradnl"/>
              </w:rPr>
              <w:t>820</w:t>
            </w:r>
          </w:p>
        </w:tc>
      </w:tr>
      <w:tr w:rsidR="00EE00CD" w:rsidRPr="00C0709C" w14:paraId="635C8EC6"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FFAA49" w14:textId="77777777" w:rsidR="00EE00CD" w:rsidRPr="00C0709C" w:rsidRDefault="00EE00CD" w:rsidP="00C0709C">
            <w:pPr>
              <w:pStyle w:val="DICTA-TEXTO"/>
              <w:spacing w:beforeLines="60" w:before="144" w:afterLines="60" w:after="144" w:line="280" w:lineRule="exact"/>
              <w:ind w:firstLine="0"/>
              <w:rPr>
                <w:rFonts w:cs="Arial"/>
                <w:sz w:val="22"/>
                <w:szCs w:val="22"/>
                <w:lang w:val="es-ES_tradnl"/>
              </w:rPr>
            </w:pPr>
            <w:r w:rsidRPr="00C0709C">
              <w:rPr>
                <w:rFonts w:cs="Arial"/>
                <w:sz w:val="22"/>
                <w:szCs w:val="22"/>
                <w:lang w:val="es-ES_tradnl"/>
              </w:rPr>
              <w:t>Meteorología-Pluviométrica</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3034598F" w14:textId="77777777" w:rsidR="00EE00CD" w:rsidRPr="00C0709C" w:rsidRDefault="00EE00CD" w:rsidP="00C0709C">
            <w:pPr>
              <w:pStyle w:val="DICTA-TEXTO"/>
              <w:spacing w:beforeLines="60" w:before="144" w:afterLines="60" w:after="144" w:line="280" w:lineRule="exact"/>
              <w:jc w:val="right"/>
              <w:rPr>
                <w:rFonts w:cs="Arial"/>
                <w:sz w:val="22"/>
                <w:szCs w:val="22"/>
                <w:lang w:val="es-ES_tradnl"/>
              </w:rPr>
            </w:pPr>
            <w:r w:rsidRPr="00C0709C">
              <w:rPr>
                <w:rFonts w:cs="Arial"/>
                <w:sz w:val="22"/>
                <w:szCs w:val="22"/>
                <w:lang w:val="es-ES_tradnl"/>
              </w:rPr>
              <w:t>725</w:t>
            </w:r>
          </w:p>
        </w:tc>
      </w:tr>
      <w:tr w:rsidR="00EE00CD" w:rsidRPr="00C0709C" w14:paraId="6B3985C7"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0DE3B3C" w14:textId="77777777" w:rsidR="00EE00CD" w:rsidRPr="00C0709C" w:rsidRDefault="00EE00CD" w:rsidP="00C0709C">
            <w:pPr>
              <w:pStyle w:val="DICTA-TEXTO"/>
              <w:spacing w:beforeLines="60" w:before="144" w:afterLines="60" w:after="144" w:line="280" w:lineRule="exact"/>
              <w:ind w:firstLine="0"/>
              <w:rPr>
                <w:rFonts w:cs="Arial"/>
                <w:sz w:val="22"/>
                <w:szCs w:val="22"/>
                <w:lang w:val="es-ES_tradnl"/>
              </w:rPr>
            </w:pPr>
            <w:r w:rsidRPr="00C0709C">
              <w:rPr>
                <w:rFonts w:cs="Arial"/>
                <w:sz w:val="22"/>
                <w:szCs w:val="22"/>
                <w:lang w:val="es-ES_tradnl"/>
              </w:rPr>
              <w:t>Meteorología-Semicompleta con información de nieve</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18936FED" w14:textId="77777777" w:rsidR="00EE00CD" w:rsidRPr="00C0709C" w:rsidRDefault="00EE00CD" w:rsidP="00C0709C">
            <w:pPr>
              <w:pStyle w:val="DICTA-TEXTO"/>
              <w:spacing w:beforeLines="60" w:before="144" w:afterLines="60" w:after="144" w:line="280" w:lineRule="exact"/>
              <w:jc w:val="right"/>
              <w:rPr>
                <w:rFonts w:cs="Arial"/>
                <w:sz w:val="22"/>
                <w:szCs w:val="22"/>
                <w:lang w:val="es-ES_tradnl"/>
              </w:rPr>
            </w:pPr>
            <w:r w:rsidRPr="00C0709C">
              <w:rPr>
                <w:rFonts w:cs="Arial"/>
                <w:sz w:val="22"/>
                <w:szCs w:val="22"/>
                <w:lang w:val="es-ES_tradnl"/>
              </w:rPr>
              <w:t>1.525</w:t>
            </w:r>
          </w:p>
        </w:tc>
      </w:tr>
    </w:tbl>
    <w:p w14:paraId="32636871"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 xml:space="preserve">Disposición adicional décima sexta. </w:t>
      </w:r>
      <w:r w:rsidRPr="00C0709C">
        <w:rPr>
          <w:rFonts w:cs="Arial"/>
          <w:sz w:val="22"/>
          <w:szCs w:val="22"/>
          <w:lang w:val="es-ES_tradnl"/>
        </w:rPr>
        <w:t>Condiciones especiales de aplazamiento de deudas a empresas en dificultades.</w:t>
      </w:r>
    </w:p>
    <w:p w14:paraId="694691DF"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A propuesta de la dirección general competente, el Gobierno de Navarra podrá conceder a las empresas que tengan la consideración de empresas en dificultades, de conformidad con lo establecido por la Orden Foral 397/2012, de 3 septiembre, de la Consejera de Economía, Hacienda, Industria y Empleo, o disposición que la sustituya, condiciones especiales de fraccionamiento y aplazamiento de las deudas de la empresa para con la Comunidad Foral de Navarra, en cuanto al plazo y sistema de amortización necesarios para hacer posible la viabilidad de la empresa por sus propios medios, aplicándose un tipo de interés no superior al 50 por 100 del interés legal vigente. En cuanto al resto de las condiciones, serán las establecidas con carácter general para el aplazamiento y fraccionamiento de las deudas.</w:t>
      </w:r>
    </w:p>
    <w:p w14:paraId="4F79A574"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Disposición adicional décima séptima.</w:t>
      </w:r>
      <w:r w:rsidRPr="00C0709C">
        <w:rPr>
          <w:rFonts w:cs="Arial"/>
          <w:sz w:val="22"/>
          <w:szCs w:val="22"/>
          <w:lang w:val="es-ES_tradnl"/>
        </w:rPr>
        <w:t xml:space="preserve"> Devolución de prestaciones indebidas en materia de Derechos Sociales.</w:t>
      </w:r>
    </w:p>
    <w:p w14:paraId="4332001F"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El Departamento de Economía y Hacienda establecerá el fraccionamiento de la devolución de los importes indebidamente percibidos en concepto de prestaciones periódicas y pensiones abonadas desde la Dirección General de Protección Social y Cooperación al Desarrollo, desde la Agencia Navarra de Autonomía y Desarrollo de las Personas y desde el Instituto Navarro para la Igualdad sin reclamar intereses ni garantías a propuesta, en su caso, de la citada dirección general y organismos autónomos.</w:t>
      </w:r>
    </w:p>
    <w:p w14:paraId="35F23555" w14:textId="77777777" w:rsidR="00EE00CD" w:rsidRPr="00C0709C" w:rsidRDefault="00EE00CD" w:rsidP="00C0709C">
      <w:pPr>
        <w:pStyle w:val="DICTA-TEXTO"/>
        <w:spacing w:beforeLines="60" w:before="144" w:afterLines="60" w:after="144" w:line="280" w:lineRule="exact"/>
        <w:rPr>
          <w:rFonts w:cs="Arial"/>
          <w:b/>
          <w:bCs/>
          <w:sz w:val="22"/>
          <w:szCs w:val="22"/>
          <w:lang w:val="es-ES_tradnl"/>
        </w:rPr>
      </w:pPr>
      <w:r w:rsidRPr="00C0709C">
        <w:rPr>
          <w:rFonts w:cs="Arial"/>
          <w:b/>
          <w:bCs/>
          <w:sz w:val="22"/>
          <w:szCs w:val="22"/>
          <w:lang w:val="es-ES_tradnl"/>
        </w:rPr>
        <w:t xml:space="preserve">Disposición adicional décima octava. </w:t>
      </w:r>
      <w:r w:rsidRPr="00C0709C">
        <w:rPr>
          <w:rFonts w:cs="Arial"/>
          <w:sz w:val="22"/>
          <w:szCs w:val="22"/>
          <w:lang w:val="es-ES_tradnl"/>
        </w:rPr>
        <w:t>Contratos de servicios y encargos para el control de ayudas provenientes del Fondo Europeo Agrícola de Garantía (FEAGA) y del Fondo Europeo Agrícola de Desarrollo Rural (FEADER).</w:t>
      </w:r>
      <w:r w:rsidRPr="00C0709C">
        <w:rPr>
          <w:rFonts w:cs="Arial"/>
          <w:b/>
          <w:bCs/>
          <w:sz w:val="22"/>
          <w:szCs w:val="22"/>
          <w:lang w:val="es-ES_tradnl"/>
        </w:rPr>
        <w:t xml:space="preserve"> </w:t>
      </w:r>
    </w:p>
    <w:p w14:paraId="771B7E7A"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A efectos de garantizar el cumplimiento de las obligaciones derivadas Reglamento Delegado (UE) número 907/2014 de la Comisión, de 11 de marzo de 2014, que completa el </w:t>
      </w:r>
      <w:r w:rsidRPr="00C0709C">
        <w:rPr>
          <w:rFonts w:cs="Arial"/>
          <w:sz w:val="22"/>
          <w:szCs w:val="22"/>
          <w:lang w:val="es-ES_tradnl"/>
        </w:rPr>
        <w:lastRenderedPageBreak/>
        <w:t>Reglamento (UE) número 1306/2013 del Parlamento Europeo y del Consejo en lo relativo a los organismos pagadores y otros órganos, la gestión financiera, la liquidación de cuentas, las garantías y el uso del euro, en lo que concierne al procedimiento de liquidación de cuentas de los Fondos Europeos FEAGA y FEADER, el Departamento de Desarrollo Rural y Medio Ambiente podrá celebrar contratos de servicios, con objeto de controlar y verificar los hechos en base a los cuales se realizan los pagos a quienes solicitan las ayudas provenientes los citados fondos europeos, o de apoyar la ejecución de las funciones del Organismo Pagador de la Comunidad Foral de Navarra. Asimismo, podrá encargar la realización de estas tareas a los entes instrumentales de la Administración de la Comunidad Foral de Navarra.</w:t>
      </w:r>
    </w:p>
    <w:p w14:paraId="6D87B3E3"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bCs/>
          <w:sz w:val="22"/>
          <w:szCs w:val="22"/>
          <w:lang w:val="es-ES_tradnl"/>
        </w:rPr>
        <w:t>Disposición adicional décima novena.</w:t>
      </w:r>
      <w:r w:rsidRPr="00C0709C">
        <w:rPr>
          <w:rFonts w:cs="Arial"/>
          <w:sz w:val="22"/>
          <w:szCs w:val="22"/>
          <w:lang w:val="es-ES_tradnl"/>
        </w:rPr>
        <w:t xml:space="preserve"> Habilitación para la participación en acciones docentes o investigadoras del personal sanitario adscrito al Departamento de Salud y sus organismos autónomos.</w:t>
      </w:r>
    </w:p>
    <w:p w14:paraId="31FE2B70"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1. El personal sanitario adscrito al Departamento de Salud y sus organismos autónomos podrá realizar colaboración docente con la Universidad Pública de Navarra, dentro del ámbito de sus funciones, mediante su participación en los programas de intensificación de la docencia que se establezcan a través de la suscripción del correspondiente convenio entre el Gobierno de Navarra y la citada Universidad Pública de Navarra. </w:t>
      </w:r>
    </w:p>
    <w:p w14:paraId="5448A059"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2. Asimismo se habilita al personal sanitario adscrito al Departamento de Salud y sus organismos autónomos para realizar, dentro del ámbito de sus funciones, acciones investigadoras en entidades integrantes del Sector Público Institucional Foral que resulten de interés para el Gobierno de Navarra.</w:t>
      </w:r>
    </w:p>
    <w:p w14:paraId="00A607A1"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3. La autorización para realizar las actividades señaladas en los apartados anteriores será concedida previa resolución de la Dirección General de Salud, la Dirección Gerencia del Servicio Navarro de Salud-</w:t>
      </w:r>
      <w:proofErr w:type="spellStart"/>
      <w:r w:rsidRPr="00C0709C">
        <w:rPr>
          <w:rFonts w:cs="Arial"/>
          <w:sz w:val="22"/>
          <w:szCs w:val="22"/>
          <w:lang w:val="es-ES_tradnl"/>
        </w:rPr>
        <w:t>Osasunbidea</w:t>
      </w:r>
      <w:proofErr w:type="spellEnd"/>
      <w:r w:rsidRPr="00C0709C">
        <w:rPr>
          <w:rFonts w:cs="Arial"/>
          <w:sz w:val="22"/>
          <w:szCs w:val="22"/>
          <w:lang w:val="es-ES_tradnl"/>
        </w:rPr>
        <w:t xml:space="preserve"> o de la Dirección Gerencia del Instituto de Salud Pública y Laboral de Navarra en virtud de la adscripción orgánica de la persona interesada.</w:t>
      </w:r>
    </w:p>
    <w:p w14:paraId="3B0F620F" w14:textId="164C54F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 xml:space="preserve">Disposición transitoria </w:t>
      </w:r>
      <w:r w:rsidR="000E2916" w:rsidRPr="00C0709C">
        <w:rPr>
          <w:rFonts w:cs="Arial"/>
          <w:b/>
          <w:sz w:val="22"/>
          <w:szCs w:val="22"/>
          <w:lang w:val="es-ES_tradnl"/>
        </w:rPr>
        <w:t>primera</w:t>
      </w:r>
      <w:r w:rsidRPr="00C0709C">
        <w:rPr>
          <w:rFonts w:cs="Arial"/>
          <w:sz w:val="22"/>
          <w:szCs w:val="22"/>
          <w:lang w:val="es-ES_tradnl"/>
        </w:rPr>
        <w:t>. Prácticas alumnado de FP: Seguridad Social.</w:t>
      </w:r>
    </w:p>
    <w:p w14:paraId="07A09993"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Durante el año 2024 se imputarán a la partida 430001-43100-4800-322E00 denominada “Prácticas alumnado de FP: Seguridad Social”, los gastos de cotización a la Seguridad Social del alumnado de Formación Profesional en prácticas formativas o prácticas académicas externas incluidas en programas de formación de los centros sostenidos con fondos públicos.</w:t>
      </w:r>
    </w:p>
    <w:p w14:paraId="4B723B69" w14:textId="4A9805F5" w:rsidR="000E2916" w:rsidRPr="00C0709C" w:rsidRDefault="000E2916" w:rsidP="00C0709C">
      <w:pPr>
        <w:pStyle w:val="DICTA-TEXTO"/>
        <w:spacing w:beforeLines="60" w:before="144" w:afterLines="60" w:after="144" w:line="280" w:lineRule="exact"/>
        <w:rPr>
          <w:rFonts w:cs="Arial"/>
          <w:sz w:val="22"/>
          <w:szCs w:val="22"/>
          <w:lang w:val="es-ES_tradnl"/>
        </w:rPr>
      </w:pPr>
      <w:r w:rsidRPr="00C0709C">
        <w:rPr>
          <w:rFonts w:cs="Arial"/>
          <w:b/>
          <w:bCs/>
          <w:sz w:val="22"/>
          <w:szCs w:val="22"/>
          <w:lang w:val="es-ES_tradnl"/>
        </w:rPr>
        <w:t>Disposición transitoria segunda</w:t>
      </w:r>
      <w:r w:rsidRPr="00C0709C">
        <w:rPr>
          <w:rFonts w:cs="Arial"/>
          <w:sz w:val="22"/>
          <w:szCs w:val="22"/>
          <w:lang w:val="es-ES_tradnl"/>
        </w:rPr>
        <w:t>. Autorizaciones de prolongación en el servicio activo de determinado personal.</w:t>
      </w:r>
    </w:p>
    <w:p w14:paraId="785DFE16" w14:textId="77777777" w:rsidR="000E2916" w:rsidRPr="00C0709C" w:rsidRDefault="000E2916"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De manera excepcional, hasta el 30 de junio de 2024, las Administraciones públicas de Navarra podrán autorizar la prolongación en aquellos supuestos en los que la adecuada prestación de los servicios públicos haga imprescindible la permanencia en el servicio activo de determinado personal, por un periodo máximo de un año contado desde el día en que se cumpla la edad de jubilación forzosa, sin que quepa prórroga posible. Respecto del personal al servicio de la Administración de la Comunidad Foral de Navarra y sus organismos autónomos, esta autorización de carácter extraordinario se realizará mediante Acuerdo del Gobierno de Navarra.</w:t>
      </w:r>
    </w:p>
    <w:p w14:paraId="7E2D3BB5" w14:textId="48E9951E" w:rsidR="000E2916" w:rsidRPr="00C0709C" w:rsidRDefault="000E2916"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lastRenderedPageBreak/>
        <w:t>Únicamente, podrá acogerse a lo dispuesto en esta disposición el personal funcionario de las Administraciones Públicas de Navarra que, durante este año 2024, cumpla la edad de jubilación forzosa, sin que quepa la prórroga de situaciones autorizadas anteriormente.</w:t>
      </w:r>
    </w:p>
    <w:p w14:paraId="51E2CE84"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 xml:space="preserve">Disposición final primera. </w:t>
      </w:r>
      <w:r w:rsidRPr="00C0709C">
        <w:rPr>
          <w:rFonts w:cs="Arial"/>
          <w:sz w:val="22"/>
          <w:szCs w:val="22"/>
          <w:lang w:val="es-ES_tradnl"/>
        </w:rPr>
        <w:t>Modificación de la Ley Foral 13/2007, de 4 de abril, de la Hacienda Pública de Navarra.</w:t>
      </w:r>
    </w:p>
    <w:p w14:paraId="3D3DB69C"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u w:val="single"/>
          <w:lang w:val="es-ES_tradnl"/>
        </w:rPr>
        <w:t>Uno</w:t>
      </w:r>
      <w:r w:rsidRPr="00C0709C">
        <w:rPr>
          <w:rFonts w:cs="Arial"/>
          <w:sz w:val="22"/>
          <w:szCs w:val="22"/>
          <w:lang w:val="es-ES_tradnl"/>
        </w:rPr>
        <w:t>. - Se modifica el artículo 2, que quedará redactado en los siguientes términos:</w:t>
      </w:r>
    </w:p>
    <w:p w14:paraId="43C08D67"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“Artículo 2. Sector público foral</w:t>
      </w:r>
    </w:p>
    <w:p w14:paraId="367A98A1"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A los efectos de esta ley foral forman parte del sector público foral:</w:t>
      </w:r>
    </w:p>
    <w:p w14:paraId="183E2D3C"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a) La Administración de la Comunidad Foral de Navarra y sus organismos autónomos.</w:t>
      </w:r>
    </w:p>
    <w:p w14:paraId="245A1AFC"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b) El Parlamento de Navarra y sus órganos dependientes.</w:t>
      </w:r>
    </w:p>
    <w:p w14:paraId="2FC9F443"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c) El Consejo de Navarra.</w:t>
      </w:r>
    </w:p>
    <w:p w14:paraId="71AC8973"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d) La Oficina de Buenas Prácticas y Anticorrupción de la Comunidad Foral de Navarra.</w:t>
      </w:r>
    </w:p>
    <w:p w14:paraId="0321FC30"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e) Las entidades públicas empresariales de la Administración de la Comunidad Foral de Navarra.</w:t>
      </w:r>
    </w:p>
    <w:p w14:paraId="49D47735"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f) Las sociedades públicas de la Comunidad Foral de Navarra, a tenor de lo establecido en la Ley Foral 14/2007, de 4 de abril, del Patrimonio de Navarra.</w:t>
      </w:r>
    </w:p>
    <w:p w14:paraId="76EE07D1"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g) Las fundaciones públicas de la Administración de la Comunidad Foral de Navarra y de sus organismos públicos, de acuerdo con lo establecido en la Ley Foral 11/2019, de 11 de marzo, de la Administración de la Comunidad Foral de Navarra y del sector público institucional foral.</w:t>
      </w:r>
    </w:p>
    <w:p w14:paraId="24AECC6C"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h) Otros entes públicos de nueva creación, cuando la disposición que los cree así lo disponga expresamente.</w:t>
      </w:r>
    </w:p>
    <w:p w14:paraId="60E50980"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i) La Universidad Pública de Navarra, que se regirá por su normativa específica y supletoriamente por las disposiciones de esta ley foral”.</w:t>
      </w:r>
    </w:p>
    <w:p w14:paraId="19127808"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u w:val="single"/>
          <w:lang w:val="es-ES_tradnl"/>
        </w:rPr>
        <w:t>Dos.</w:t>
      </w:r>
      <w:r w:rsidRPr="00C0709C">
        <w:rPr>
          <w:rFonts w:cs="Arial"/>
          <w:sz w:val="22"/>
          <w:szCs w:val="22"/>
          <w:lang w:val="es-ES_tradnl"/>
        </w:rPr>
        <w:t xml:space="preserve"> - Se modifica el artículo 27, que quedará redactado en los siguientes términos:</w:t>
      </w:r>
    </w:p>
    <w:p w14:paraId="59FCA06B"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“Artículo 27. Alcance Subjetivo.</w:t>
      </w:r>
    </w:p>
    <w:p w14:paraId="4960BE22"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Los Presupuestos Generales de Navarra estarán integrados por:</w:t>
      </w:r>
    </w:p>
    <w:p w14:paraId="1F6AEB28"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a) El presupuesto de la Cámara Legislativa, el Defensor del Pueblo y la Cámara de Comptos.</w:t>
      </w:r>
    </w:p>
    <w:p w14:paraId="63CC17F9"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b) El presupuesto de la Administración de la Comunidad Foral y de sus organismos autónomos.</w:t>
      </w:r>
    </w:p>
    <w:p w14:paraId="27C09F5F" w14:textId="0549152A"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c) El presupuesto de los entes públicos de la Comunidad Foral, a los que se refieren las letras c), d) y h) del artículo 2 de la </w:t>
      </w:r>
      <w:r w:rsidR="00811580" w:rsidRPr="00C0709C">
        <w:rPr>
          <w:rFonts w:cs="Arial"/>
          <w:sz w:val="22"/>
          <w:szCs w:val="22"/>
          <w:lang w:val="es-ES_tradnl"/>
        </w:rPr>
        <w:t>presente ley foral</w:t>
      </w:r>
      <w:r w:rsidRPr="00C0709C">
        <w:rPr>
          <w:rFonts w:cs="Arial"/>
          <w:sz w:val="22"/>
          <w:szCs w:val="22"/>
          <w:lang w:val="es-ES_tradnl"/>
        </w:rPr>
        <w:t>.</w:t>
      </w:r>
    </w:p>
    <w:p w14:paraId="23AED947"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d) Los estados financieros de previsión de las entidades públicas empresariales.</w:t>
      </w:r>
    </w:p>
    <w:p w14:paraId="05D24380"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e) Los presupuestos de operaciones corrientes y los de operaciones de capital y financieras de las fundaciones públicas de la Comunidad Foral.</w:t>
      </w:r>
    </w:p>
    <w:p w14:paraId="6E743CA5"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lastRenderedPageBreak/>
        <w:t>f) Los programas de actuación, inversiones y financiación y los estados financieros de las sociedades públicas de la Comunidad Foral.</w:t>
      </w:r>
    </w:p>
    <w:p w14:paraId="7C477A27"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g) El presupuesto estimativo y la financiación de la Universidad Pública de Navarra”.</w:t>
      </w:r>
    </w:p>
    <w:p w14:paraId="1AA1E25E"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u w:val="single"/>
          <w:lang w:val="es-ES_tradnl"/>
        </w:rPr>
        <w:t>Tres</w:t>
      </w:r>
      <w:r w:rsidRPr="00C0709C">
        <w:rPr>
          <w:rFonts w:cs="Arial"/>
          <w:sz w:val="22"/>
          <w:szCs w:val="22"/>
          <w:lang w:val="es-ES_tradnl"/>
        </w:rPr>
        <w:t>. - Se modifica el punto 2 del artículo 29, que quedará redactado en los siguientes términos:</w:t>
      </w:r>
    </w:p>
    <w:p w14:paraId="79DDD4F5"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“2. Los documentos a que se refieren las letras d), e), f) y g) del artículo 27 contendrán la información prevista en el capítulo II de este Título”.</w:t>
      </w:r>
    </w:p>
    <w:p w14:paraId="7B15336B"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u w:val="single"/>
          <w:lang w:val="es-ES_tradnl"/>
        </w:rPr>
        <w:t>Cuatro.</w:t>
      </w:r>
      <w:r w:rsidRPr="00C0709C">
        <w:rPr>
          <w:rFonts w:cs="Arial"/>
          <w:sz w:val="22"/>
          <w:szCs w:val="22"/>
          <w:lang w:val="es-ES_tradnl"/>
        </w:rPr>
        <w:t xml:space="preserve"> - Se modifica el artículo 33, que quedará redactado en los siguientes términos: </w:t>
      </w:r>
    </w:p>
    <w:p w14:paraId="1A272745"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“Artículo 33. Los Presupuestos de la Cámara Legislativa, Cámara de Comptos, Defensor del Pueblo y otros entes.</w:t>
      </w:r>
    </w:p>
    <w:p w14:paraId="6BF733F4" w14:textId="4C002281"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La aprobación de los presupuestos de la Cámara Legislativa, Cámara de Comptos, Defensor del Pueblo y otros entes públicos incluidos en la letra c) del artículo 27, se ajustará a lo establecido en la disposición adicional primera de </w:t>
      </w:r>
      <w:r w:rsidR="00811580" w:rsidRPr="00C0709C">
        <w:rPr>
          <w:rFonts w:cs="Arial"/>
          <w:sz w:val="22"/>
          <w:szCs w:val="22"/>
          <w:lang w:val="es-ES_tradnl"/>
        </w:rPr>
        <w:t>esta ley foral</w:t>
      </w:r>
      <w:r w:rsidRPr="00C0709C">
        <w:rPr>
          <w:rFonts w:cs="Arial"/>
          <w:sz w:val="22"/>
          <w:szCs w:val="22"/>
          <w:lang w:val="es-ES_tradnl"/>
        </w:rPr>
        <w:t>”.</w:t>
      </w:r>
    </w:p>
    <w:p w14:paraId="2727AF6E"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u w:val="single"/>
          <w:lang w:val="es-ES_tradnl"/>
        </w:rPr>
        <w:t>Cinco.</w:t>
      </w:r>
      <w:r w:rsidRPr="00C0709C">
        <w:rPr>
          <w:rFonts w:cs="Arial"/>
          <w:sz w:val="22"/>
          <w:szCs w:val="22"/>
          <w:lang w:val="es-ES_tradnl"/>
        </w:rPr>
        <w:t xml:space="preserve"> - Se modifica el punto 5 del artículo 38, que quedará redactado en los siguientes términos: </w:t>
      </w:r>
    </w:p>
    <w:p w14:paraId="667A23EF" w14:textId="77777777" w:rsidR="00EE00CD" w:rsidRPr="00C0709C" w:rsidRDefault="00EE00CD" w:rsidP="00C0709C">
      <w:pPr>
        <w:pStyle w:val="DICTA-TEXTO"/>
        <w:spacing w:beforeLines="60" w:before="144" w:afterLines="60" w:after="144" w:line="280" w:lineRule="exact"/>
        <w:rPr>
          <w:rFonts w:cs="Arial"/>
          <w:sz w:val="22"/>
          <w:szCs w:val="22"/>
          <w:lang w:val="es-ES_tradnl"/>
        </w:rPr>
      </w:pPr>
      <w:bookmarkStart w:id="2" w:name="Ar.34"/>
      <w:bookmarkEnd w:id="2"/>
      <w:r w:rsidRPr="00C0709C">
        <w:rPr>
          <w:rFonts w:cs="Arial"/>
          <w:sz w:val="22"/>
          <w:szCs w:val="22"/>
          <w:lang w:val="es-ES_tradnl"/>
        </w:rPr>
        <w:t>“5. Asimismo, podrán crearse nuevas partidas, aunque no exista vinculación, cuando el crédito provenga de una incorporación o de un ingreso vinculado al gasto”.</w:t>
      </w:r>
    </w:p>
    <w:p w14:paraId="75C95189" w14:textId="77777777" w:rsidR="00EE00CD" w:rsidRPr="00C0709C" w:rsidRDefault="00EE00CD" w:rsidP="00C0709C">
      <w:pPr>
        <w:pStyle w:val="DICTA-TEXTO"/>
        <w:spacing w:beforeLines="60" w:before="144" w:afterLines="60" w:after="144" w:line="280" w:lineRule="exact"/>
        <w:rPr>
          <w:rFonts w:cs="Arial"/>
          <w:sz w:val="22"/>
          <w:szCs w:val="22"/>
          <w:lang w:val="es-ES_tradnl"/>
        </w:rPr>
      </w:pPr>
      <w:bookmarkStart w:id="3" w:name="Ar.60"/>
      <w:bookmarkEnd w:id="3"/>
      <w:r w:rsidRPr="00C0709C">
        <w:rPr>
          <w:rFonts w:cs="Arial"/>
          <w:sz w:val="22"/>
          <w:szCs w:val="22"/>
          <w:u w:val="single"/>
          <w:lang w:val="es-ES_tradnl"/>
        </w:rPr>
        <w:t>Seis.</w:t>
      </w:r>
      <w:r w:rsidRPr="00C0709C">
        <w:rPr>
          <w:rFonts w:cs="Arial"/>
          <w:sz w:val="22"/>
          <w:szCs w:val="22"/>
          <w:lang w:val="es-ES_tradnl"/>
        </w:rPr>
        <w:t xml:space="preserve"> - Se modifica el artículo 60, que quedará redactado en los siguientes términos:</w:t>
      </w:r>
    </w:p>
    <w:p w14:paraId="7B2547C1"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“Artículo 60. Presupuestos.</w:t>
      </w:r>
    </w:p>
    <w:p w14:paraId="5DEF3412" w14:textId="05C30236"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1. Las entidades públicas empresariales, las </w:t>
      </w:r>
      <w:proofErr w:type="gramStart"/>
      <w:r w:rsidRPr="00C0709C">
        <w:rPr>
          <w:rFonts w:cs="Arial"/>
          <w:sz w:val="22"/>
          <w:szCs w:val="22"/>
          <w:lang w:val="es-ES_tradnl"/>
        </w:rPr>
        <w:t>fundaciones públicas y las sociedades públicas</w:t>
      </w:r>
      <w:proofErr w:type="gramEnd"/>
      <w:r w:rsidRPr="00C0709C">
        <w:rPr>
          <w:rFonts w:cs="Arial"/>
          <w:sz w:val="22"/>
          <w:szCs w:val="22"/>
          <w:lang w:val="es-ES_tradnl"/>
        </w:rPr>
        <w:t xml:space="preserve"> de la Administración de la Comunidad Foral de Navarra a que se refiere el artículo 27, en sus letras d), e) y f) de la </w:t>
      </w:r>
      <w:r w:rsidR="00811580" w:rsidRPr="00C0709C">
        <w:rPr>
          <w:rFonts w:cs="Arial"/>
          <w:sz w:val="22"/>
          <w:szCs w:val="22"/>
          <w:lang w:val="es-ES_tradnl"/>
        </w:rPr>
        <w:t>presente ley foral</w:t>
      </w:r>
      <w:r w:rsidRPr="00C0709C">
        <w:rPr>
          <w:rFonts w:cs="Arial"/>
          <w:sz w:val="22"/>
          <w:szCs w:val="22"/>
          <w:lang w:val="es-ES_tradnl"/>
        </w:rPr>
        <w:t xml:space="preserve"> elaborarán y remitirán antes del 15 de octubre de cada año, al Departamento de Economía y Hacienda, la siguiente documentación:</w:t>
      </w:r>
    </w:p>
    <w:p w14:paraId="655B23CC"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a) Un presupuesto de explotación que detallará los recursos y dotaciones anuales correspondientes.</w:t>
      </w:r>
    </w:p>
    <w:p w14:paraId="74792605"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b) Un presupuesto de capital con el mismo detalle que el apartado anterior.</w:t>
      </w:r>
    </w:p>
    <w:p w14:paraId="66B470A5"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c) Una memoria explicativa del contenido de los presupuestos de explotación y de capital, así como de los objetivos a alcanzar en el ejercicio.</w:t>
      </w:r>
    </w:p>
    <w:p w14:paraId="795D7A87"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2. Los presupuestos de explotación y de capital a que se refiere el número anterior estarán constituidos por una previsión de la cuenta de resultados y del cuadro de financiación del correspondiente ejercicio.</w:t>
      </w:r>
    </w:p>
    <w:p w14:paraId="3702CB6A"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3. Las </w:t>
      </w:r>
      <w:proofErr w:type="gramStart"/>
      <w:r w:rsidRPr="00C0709C">
        <w:rPr>
          <w:rFonts w:cs="Arial"/>
          <w:sz w:val="22"/>
          <w:szCs w:val="22"/>
          <w:lang w:val="es-ES_tradnl"/>
        </w:rPr>
        <w:t>sociedades públicas y las entidades públicas</w:t>
      </w:r>
      <w:proofErr w:type="gramEnd"/>
      <w:r w:rsidRPr="00C0709C">
        <w:rPr>
          <w:rFonts w:cs="Arial"/>
          <w:sz w:val="22"/>
          <w:szCs w:val="22"/>
          <w:lang w:val="es-ES_tradnl"/>
        </w:rPr>
        <w:t xml:space="preserve"> empresariales acompañarán a los documentos indicados la cuenta de resultados y el cuadro de financiación correspondiente a la liquidación del último ejercicio y la estimación del ejercicio en curso. También incluirán el balance de situación referido al último ejercicio liquidado, la estimación correspondiente al ejercicio en curso y la previsión relativa al ejercicio siguiente.</w:t>
      </w:r>
    </w:p>
    <w:p w14:paraId="6A5866FB"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4. La Universidad Pública de Navarra remitirá al Gobierno de Navarra antes del día 15 de octubre de cada ejercicio, para su integración en el proyecto de Presupuestos Generales </w:t>
      </w:r>
      <w:r w:rsidRPr="00C0709C">
        <w:rPr>
          <w:rFonts w:cs="Arial"/>
          <w:sz w:val="22"/>
          <w:szCs w:val="22"/>
          <w:lang w:val="es-ES_tradnl"/>
        </w:rPr>
        <w:lastRenderedPageBreak/>
        <w:t>de Navarra, los siguientes documentos: los criterios generales para la elaboración del presupuesto del ejercicio correspondiente, una previsión de ingresos y gastos y el cuadro de financiación previsto”.</w:t>
      </w:r>
    </w:p>
    <w:p w14:paraId="5B99FC93"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u w:val="single"/>
          <w:lang w:val="es-ES_tradnl"/>
        </w:rPr>
        <w:t>Siete.</w:t>
      </w:r>
      <w:r w:rsidRPr="00C0709C">
        <w:rPr>
          <w:rFonts w:cs="Arial"/>
          <w:sz w:val="22"/>
          <w:szCs w:val="22"/>
          <w:lang w:val="es-ES_tradnl"/>
        </w:rPr>
        <w:t xml:space="preserve"> - Se modifica el artículo 82 quinquies, que quedará redactado en los siguientes términos:</w:t>
      </w:r>
    </w:p>
    <w:p w14:paraId="45DDD562"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“Artículo 82 quinquies. Formalización de los préstamos.</w:t>
      </w:r>
    </w:p>
    <w:p w14:paraId="145DDFB2" w14:textId="64AF3B8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Los préstamos concedidos por el Gobierno de Navarra se formalizarán por la persona titular del Departamento de </w:t>
      </w:r>
      <w:r w:rsidR="00E610A7" w:rsidRPr="00C0709C">
        <w:rPr>
          <w:rFonts w:cs="Arial"/>
          <w:sz w:val="22"/>
          <w:szCs w:val="22"/>
          <w:lang w:val="es-ES_tradnl"/>
        </w:rPr>
        <w:t>Economía</w:t>
      </w:r>
      <w:r w:rsidRPr="00C0709C">
        <w:rPr>
          <w:rFonts w:cs="Arial"/>
          <w:sz w:val="22"/>
          <w:szCs w:val="22"/>
          <w:lang w:val="es-ES_tradnl"/>
        </w:rPr>
        <w:t xml:space="preserve"> y Hacienda, y los concedidos por las entidades públicas empresariales, </w:t>
      </w:r>
      <w:proofErr w:type="gramStart"/>
      <w:r w:rsidRPr="00C0709C">
        <w:rPr>
          <w:rFonts w:cs="Arial"/>
          <w:sz w:val="22"/>
          <w:szCs w:val="22"/>
          <w:lang w:val="es-ES_tradnl"/>
        </w:rPr>
        <w:t>fundaciones públicas y sociedades públicas</w:t>
      </w:r>
      <w:proofErr w:type="gramEnd"/>
      <w:r w:rsidRPr="00C0709C">
        <w:rPr>
          <w:rFonts w:cs="Arial"/>
          <w:sz w:val="22"/>
          <w:szCs w:val="22"/>
          <w:lang w:val="es-ES_tradnl"/>
        </w:rPr>
        <w:t>, por la persona que ostente la dirección o gerencia de dichas entidades”.</w:t>
      </w:r>
    </w:p>
    <w:p w14:paraId="7D41EA62"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u w:val="single"/>
          <w:lang w:val="es-ES_tradnl"/>
        </w:rPr>
        <w:t>Ocho.</w:t>
      </w:r>
      <w:r w:rsidRPr="00C0709C">
        <w:rPr>
          <w:rFonts w:cs="Arial"/>
          <w:sz w:val="22"/>
          <w:szCs w:val="22"/>
          <w:lang w:val="es-ES_tradnl"/>
        </w:rPr>
        <w:t xml:space="preserve"> - Se modifica el artículo 109, que quedará redactado en los siguientes términos:</w:t>
      </w:r>
    </w:p>
    <w:p w14:paraId="29D670A7"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“Artículo 109. Definición.</w:t>
      </w:r>
    </w:p>
    <w:p w14:paraId="4DE662CA" w14:textId="2F2057C6"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La auditoría pública consistirá en la verificación, realizada con posterioridad y efectuada de forma sistemática, de la actividad económico-financiera del sector público foral, con excepción de los órganos y entes recogidos en las letras b), c) y d) del artículo 2 de la presente </w:t>
      </w:r>
      <w:r w:rsidR="00E610A7" w:rsidRPr="00C0709C">
        <w:rPr>
          <w:rFonts w:cs="Arial"/>
          <w:sz w:val="22"/>
          <w:szCs w:val="22"/>
          <w:lang w:val="es-ES_tradnl"/>
        </w:rPr>
        <w:t xml:space="preserve">ley foral, </w:t>
      </w:r>
      <w:r w:rsidRPr="00C0709C">
        <w:rPr>
          <w:rFonts w:cs="Arial"/>
          <w:sz w:val="22"/>
          <w:szCs w:val="22"/>
          <w:lang w:val="es-ES_tradnl"/>
        </w:rPr>
        <w:t>mediante la aplicación de los procedimientos de revisión selectivos contenidos en las normas de auditoría e instrucciones aplicables.</w:t>
      </w:r>
    </w:p>
    <w:p w14:paraId="413FD2BB"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Asimismo, alcanzará a la correcta aplicación de fondos públicos por parte de personas físicas y jurídicas ajenas al sector público foral”.</w:t>
      </w:r>
    </w:p>
    <w:p w14:paraId="0E8EA1C6"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u w:val="single"/>
          <w:lang w:val="es-ES_tradnl"/>
        </w:rPr>
        <w:t>Nueve.</w:t>
      </w:r>
      <w:r w:rsidRPr="00C0709C">
        <w:rPr>
          <w:rFonts w:cs="Arial"/>
          <w:sz w:val="22"/>
          <w:szCs w:val="22"/>
          <w:lang w:val="es-ES_tradnl"/>
        </w:rPr>
        <w:t xml:space="preserve"> - Se modifica el punto 1 del artículo 118, que quedará redactado en los siguientes términos:</w:t>
      </w:r>
    </w:p>
    <w:p w14:paraId="1CBF3B9A" w14:textId="0203B62A"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“1. El sector público foral, con excepción de los entes y órganos descritos en las letras b), c) y d) del artículo 2 de la </w:t>
      </w:r>
      <w:r w:rsidR="00811580" w:rsidRPr="00C0709C">
        <w:rPr>
          <w:rFonts w:cs="Arial"/>
          <w:sz w:val="22"/>
          <w:szCs w:val="22"/>
          <w:lang w:val="es-ES_tradnl"/>
        </w:rPr>
        <w:t>presente ley foral</w:t>
      </w:r>
      <w:r w:rsidRPr="00C0709C">
        <w:rPr>
          <w:rFonts w:cs="Arial"/>
          <w:sz w:val="22"/>
          <w:szCs w:val="22"/>
          <w:lang w:val="es-ES_tradnl"/>
        </w:rPr>
        <w:t>, queda sujeto al régimen de contabilidad previsto en este Título”.</w:t>
      </w:r>
    </w:p>
    <w:p w14:paraId="10B30CDC"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u w:val="single"/>
          <w:lang w:val="es-ES_tradnl"/>
        </w:rPr>
        <w:t>Diez.</w:t>
      </w:r>
      <w:r w:rsidRPr="00C0709C">
        <w:rPr>
          <w:rFonts w:cs="Arial"/>
          <w:sz w:val="22"/>
          <w:szCs w:val="22"/>
          <w:lang w:val="es-ES_tradnl"/>
        </w:rPr>
        <w:t xml:space="preserve"> - Se modifica el artículo 126, que quedará redactado en los siguientes términos:</w:t>
      </w:r>
    </w:p>
    <w:p w14:paraId="04ECCA0E"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“Artículo 126. Contenido de las Cuentas anuales de ciertas instituciones forales.</w:t>
      </w:r>
    </w:p>
    <w:p w14:paraId="06D71BFD" w14:textId="6055BB19"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El contenido de las Cuentas anuales de las instituciones forales recogidas en las letras b), c) y d) del artículo 2 de la </w:t>
      </w:r>
      <w:r w:rsidR="00811580" w:rsidRPr="00C0709C">
        <w:rPr>
          <w:rFonts w:cs="Arial"/>
          <w:sz w:val="22"/>
          <w:szCs w:val="22"/>
          <w:lang w:val="es-ES_tradnl"/>
        </w:rPr>
        <w:t>presente ley foral</w:t>
      </w:r>
      <w:r w:rsidRPr="00C0709C">
        <w:rPr>
          <w:rFonts w:cs="Arial"/>
          <w:sz w:val="22"/>
          <w:szCs w:val="22"/>
          <w:lang w:val="es-ES_tradnl"/>
        </w:rPr>
        <w:t xml:space="preserve"> se ajustará a lo prevenido en la disposición adicional primera de </w:t>
      </w:r>
      <w:r w:rsidR="00811580" w:rsidRPr="00C0709C">
        <w:rPr>
          <w:rFonts w:cs="Arial"/>
          <w:sz w:val="22"/>
          <w:szCs w:val="22"/>
          <w:lang w:val="es-ES_tradnl"/>
        </w:rPr>
        <w:t>esta ley foral</w:t>
      </w:r>
      <w:r w:rsidRPr="00C0709C">
        <w:rPr>
          <w:rFonts w:cs="Arial"/>
          <w:sz w:val="22"/>
          <w:szCs w:val="22"/>
          <w:lang w:val="es-ES_tradnl"/>
        </w:rPr>
        <w:t>”.</w:t>
      </w:r>
    </w:p>
    <w:p w14:paraId="528EA469"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u w:val="single"/>
          <w:lang w:val="es-ES_tradnl"/>
        </w:rPr>
        <w:t>Once.</w:t>
      </w:r>
      <w:r w:rsidRPr="00C0709C">
        <w:rPr>
          <w:rFonts w:cs="Arial"/>
          <w:sz w:val="22"/>
          <w:szCs w:val="22"/>
          <w:lang w:val="es-ES_tradnl"/>
        </w:rPr>
        <w:t xml:space="preserve"> - Se modifica el punto 1 de la disposición adicional primera, que quedará redactado en los siguientes términos:</w:t>
      </w:r>
    </w:p>
    <w:p w14:paraId="3368D051"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“1. El Parlamento de Navarra y sus órganos dependientes, el Consejo de Navarra y la Oficina de Buenas Prácticas y Anticorrupción aprobarán, de acuerdo con lo establecido en su normativa específica, su proyecto de Presupuesto y lo remitirán al Gobierno de Navarra, antes del día 1 de octubre de cada ejercicio, para su integración en el proyecto de Presupuestos Generales de Navarra”.</w:t>
      </w:r>
    </w:p>
    <w:p w14:paraId="18A26F39"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 xml:space="preserve">Disposición final segunda. </w:t>
      </w:r>
      <w:r w:rsidRPr="00C0709C">
        <w:rPr>
          <w:rFonts w:cs="Arial"/>
          <w:sz w:val="22"/>
          <w:szCs w:val="22"/>
          <w:lang w:val="es-ES_tradnl"/>
        </w:rPr>
        <w:t>Modificación de la Ley Foral 2/2018, de 13 de abril, de Contratos Públicos.</w:t>
      </w:r>
    </w:p>
    <w:p w14:paraId="2CDA90FD"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u w:val="single"/>
          <w:lang w:val="es-ES_tradnl"/>
        </w:rPr>
        <w:lastRenderedPageBreak/>
        <w:t>Uno.</w:t>
      </w:r>
      <w:r w:rsidRPr="00C0709C">
        <w:rPr>
          <w:rFonts w:cs="Arial"/>
          <w:sz w:val="22"/>
          <w:szCs w:val="22"/>
          <w:lang w:val="es-ES_tradnl"/>
        </w:rPr>
        <w:t xml:space="preserve"> - Se modifica el punto 2 c) del artículo 16, que quedará redactado en los siguientes términos: </w:t>
      </w:r>
    </w:p>
    <w:p w14:paraId="097D3E2B"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“c) Una declaración sobre el volumen global de negocios y, en su caso, sobre el volumen de negocios en el ámbito de actividades similares a la del objeto del contrato, referida como máximo a los tres últimos ejercicios disponibles en función de la fecha de creación o de inicio de las actividades de quien vaya a licitar, en la medida en que se disponga de las referencias de dicho volumen de negocios.</w:t>
      </w:r>
    </w:p>
    <w:p w14:paraId="73513EC1"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El volumen de negocios mínimo anual exigido no excederá de una vez y media del valor estimado del contrato. En particular, en los contratos de prestación continuada, en los que el cálculo del valor estimado contemple varias anualidades, el volumen de negocio exigible se calculará teniendo en cuenta el valor medio anual de la prestación.</w:t>
      </w:r>
    </w:p>
    <w:p w14:paraId="76C0C3A4"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No </w:t>
      </w:r>
      <w:proofErr w:type="gramStart"/>
      <w:r w:rsidRPr="00C0709C">
        <w:rPr>
          <w:rFonts w:cs="Arial"/>
          <w:sz w:val="22"/>
          <w:szCs w:val="22"/>
          <w:lang w:val="es-ES_tradnl"/>
        </w:rPr>
        <w:t>obstante</w:t>
      </w:r>
      <w:proofErr w:type="gramEnd"/>
      <w:r w:rsidRPr="00C0709C">
        <w:rPr>
          <w:rFonts w:cs="Arial"/>
          <w:sz w:val="22"/>
          <w:szCs w:val="22"/>
          <w:lang w:val="es-ES_tradnl"/>
        </w:rPr>
        <w:t xml:space="preserve"> lo dispuesto en el párrafo anterior, en casos debidamente justificados, como los relacionados con los riesgos especiales vinculados a la naturaleza de las obras, los servicios o los suministros, estos límites podrán ser superados. En este caso se indicarán en el informe de necesidades al que hace referencia el artículo 138.3 las principales razones para la imposición de dicho requisito”.</w:t>
      </w:r>
    </w:p>
    <w:p w14:paraId="12DCCFE5"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u w:val="single"/>
          <w:lang w:val="es-ES_tradnl"/>
        </w:rPr>
        <w:t>Dos.</w:t>
      </w:r>
      <w:r w:rsidRPr="00C0709C">
        <w:rPr>
          <w:rFonts w:cs="Arial"/>
          <w:sz w:val="22"/>
          <w:szCs w:val="22"/>
          <w:lang w:val="es-ES_tradnl"/>
        </w:rPr>
        <w:t xml:space="preserve"> - Se modifican las letras b) y f) del punto 1 del artículo 22, que quedarán redactados en los siguientes términos: </w:t>
      </w:r>
    </w:p>
    <w:p w14:paraId="3E0F69BF"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“b) Haber sido sancionadas con carácter firme por infracción grave en materia profesional que ponga en entredicho su integridad, de disciplina de mercado, de falseamiento de la competencia, de integración laboral y de igualdad de oportunidades y no discriminación de las personas con discapacidad, o de extranjería, o por infracción muy grave en materia medioambiental, social, laboral, o por acoso sexual o acoso por razón de sexo, de conformidad con lo establecido en la normativa vigente, o por no solicitar la afiliación inicial o el alta de los trabajadores que ingresen a su servicio, o solicitar la misma, como consecuencia de actuación inspectora, fuera del plazo establecido. A estos efectos se considerará una infracción por cada uno de los trabajadores afectados, o por las infracciones muy graves previstas en la Ley 2/2023, de 20 de febrero, reguladora de la protección de las personas que informen sobre infracciones normativas y de lucha contra la corrupción, o por infracción grave o muy grave en materia de igualdad de trato y no discriminación por razón de orientación e identidad sexual, expresión de género o características sexuales, cuando se acuerde la prohibición en los términos previstos en la Ley 4/2023, de 28 de febrero, para la igualdad real y efectiva de las personas trans y para la garantía de los derechos de las personas LGTBI”.</w:t>
      </w:r>
    </w:p>
    <w:p w14:paraId="1205D0E5"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“f) No hallarse al corriente en el cumplimiento de las obligaciones tributarias o de Seguridad Social impuestas por las disposiciones vigentes, en los términos que reglamentariamente se determinen; o en el caso de empresas de 50 o más trabajadores, no cumplir el requisito de que al menos el 2% de sus empleados sean trabajadores con discapacidad, de conformidad con el artículo 42 del Real Decreto Legislativo 1/2013, de 29 de noviembre, por el que se aprueba el Texto Refundido de la Ley General de derechos de las personas con discapacidad y de su inclusión social, en las condiciones que reglamentariamente se determinen; o en el caso de empresas de 50 trabajadores o más, no cumplir con la obligación de contar con un plan de igualdad conforme a lo dispuesto en el </w:t>
      </w:r>
      <w:r w:rsidRPr="00C0709C">
        <w:rPr>
          <w:rFonts w:cs="Arial"/>
          <w:sz w:val="22"/>
          <w:szCs w:val="22"/>
          <w:lang w:val="es-ES_tradnl"/>
        </w:rPr>
        <w:lastRenderedPageBreak/>
        <w:t>artículo 45 de la Ley Orgánica 3/2007, de 22 de marzo, para la igualdad de mujeres y hombres”.</w:t>
      </w:r>
    </w:p>
    <w:p w14:paraId="158EC5D5"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u w:val="single"/>
          <w:lang w:val="es-ES_tradnl"/>
        </w:rPr>
        <w:t>Tres.</w:t>
      </w:r>
      <w:r w:rsidRPr="00C0709C">
        <w:rPr>
          <w:rFonts w:cs="Arial"/>
          <w:sz w:val="22"/>
          <w:szCs w:val="22"/>
          <w:lang w:val="es-ES_tradnl"/>
        </w:rPr>
        <w:t xml:space="preserve"> - Se modifican los puntos 1 y 3 del artículo 45, que quedarán redactados en los siguientes términos: </w:t>
      </w:r>
    </w:p>
    <w:p w14:paraId="6B26E1CB"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“1. La duración de los contratos públicos deberá establecerse teniendo en cuenta la naturaleza de las prestaciones, las características de su financiación y la necesidad de someter periódicamente a concurrencia la realización de </w:t>
      </w:r>
      <w:proofErr w:type="gramStart"/>
      <w:r w:rsidRPr="00C0709C">
        <w:rPr>
          <w:rFonts w:cs="Arial"/>
          <w:sz w:val="22"/>
          <w:szCs w:val="22"/>
          <w:lang w:val="es-ES_tradnl"/>
        </w:rPr>
        <w:t>las mismas</w:t>
      </w:r>
      <w:proofErr w:type="gramEnd"/>
      <w:r w:rsidRPr="00C0709C">
        <w:rPr>
          <w:rFonts w:cs="Arial"/>
          <w:sz w:val="22"/>
          <w:szCs w:val="22"/>
          <w:lang w:val="es-ES_tradnl"/>
        </w:rPr>
        <w:t>.</w:t>
      </w:r>
    </w:p>
    <w:p w14:paraId="2093C2FE"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El contrato podrá prever una o varias prórrogas siempre que sus características permanezcan inalterables durante el período de duración de éstas y que la concurrencia para su adjudicación haya sido realizada teniendo en cuenta la duración máxima del contrato, incluidos los períodos de prórroga.</w:t>
      </w:r>
    </w:p>
    <w:p w14:paraId="6F92CBDB"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La prórroga se acordará de forma expresa, previo acuerdo de ambas partes, excepto que el pliego regulador establezca la posibilidad de que el órgano de contratación apruebe la prórroga obligatoria”.</w:t>
      </w:r>
    </w:p>
    <w:p w14:paraId="366E4097"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“3. Cuando al vencimiento de un contrato, como consecuencia de incidencias resultantes de acontecimientos imprevisibles, no se hubiera formalizado el nuevo contrato que garantice la continuidad de la prestación y existan razones de interés público para no interrumpirla, se podrá aprobar la prórroga obligatoria el contrato originario por un periodo máximo de nueve meses, o veinticuatro meses cuando se trate de contratos cuya prestación sea necesaria para garantizar un derecho fundamental, sin modificar las restantes condiciones, hasta que comience la ejecución del nuevo contrato, siempre que el anuncio de licitación de este último se haya publicado con una antelación mínima de tres meses respecto de la fecha de finalización del contrato originario, o tratándose de procedimientos con invitación, esta se haya enviado con quince días de antelación”. </w:t>
      </w:r>
    </w:p>
    <w:p w14:paraId="1D308DC0"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u w:val="single"/>
          <w:lang w:val="es-ES_tradnl"/>
        </w:rPr>
        <w:t>Cuatro.</w:t>
      </w:r>
      <w:r w:rsidRPr="00C0709C">
        <w:rPr>
          <w:rFonts w:cs="Arial"/>
          <w:sz w:val="22"/>
          <w:szCs w:val="22"/>
          <w:lang w:val="es-ES_tradnl"/>
        </w:rPr>
        <w:t xml:space="preserve"> - Se modifica el punto 1 del artículo 109, que quedará redactado en los siguientes términos:</w:t>
      </w:r>
    </w:p>
    <w:p w14:paraId="1C283522"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“1. Los precios de los contratos públicos celebrados por las entidades sometidas a esta ley foral solo podrán ser objeto de revisión periódica y predeterminada en los términos establecidos en este artículo. Se entenderá por precio cualquier retribución o contraprestación económica del contrato, bien sean abonadas por la Administración o por los usuarios.</w:t>
      </w:r>
    </w:p>
    <w:p w14:paraId="6F0CBDEC"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La revisión de precios solo se podrá llevar a cabo en los contratos de obra, en los contratos de equipamiento de las Administraciones Públicas, los contratos de suministro de energía y en aquellos otros contratos en los que el período de recuperación de la inversión sea igual o superior a cinco años, previa justificación en el expediente.</w:t>
      </w:r>
    </w:p>
    <w:p w14:paraId="4045EE8B"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Además, previa justificación en el </w:t>
      </w:r>
      <w:proofErr w:type="gramStart"/>
      <w:r w:rsidRPr="00C0709C">
        <w:rPr>
          <w:rFonts w:cs="Arial"/>
          <w:sz w:val="22"/>
          <w:szCs w:val="22"/>
          <w:lang w:val="es-ES_tradnl"/>
        </w:rPr>
        <w:t>expediente,</w:t>
      </w:r>
      <w:proofErr w:type="gramEnd"/>
      <w:r w:rsidRPr="00C0709C">
        <w:rPr>
          <w:rFonts w:cs="Arial"/>
          <w:sz w:val="22"/>
          <w:szCs w:val="22"/>
          <w:lang w:val="es-ES_tradnl"/>
        </w:rPr>
        <w:t xml:space="preserve"> podrá admitirse la revisión de precios en el resto de contratos, siempre que la suma de la participación en el presupuesto base de licitación del contrato de las materias primas, bienes intermedios y energía que se hayan de emplear, supere el 20 por ciento de dicho presupuesto. En estos casos la revisión solo podrá afectar a la fracción del precio del contrato que representa dicha participación. El pliego deberá indicar el peso de cada materia prima, bien intermedio o suministro energético con participación superior al 1 por ciento y su respectivo índice oficial de revisión de precios.</w:t>
      </w:r>
    </w:p>
    <w:p w14:paraId="21DB90FE"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lastRenderedPageBreak/>
        <w:t>Para llevar a cabo la revisión de precios será requisito imprescindible que el contrato se hubiese ejecutado, al menos, en el 20% de su importe y hubiese transcurrido un año desde su formalización, excepto en los contratos de suministro de combustibles.</w:t>
      </w:r>
    </w:p>
    <w:p w14:paraId="24EA16CB"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No se considerarán revisables en ningún caso los costes asociados a las amortizaciones, los costes financieros, los gastos generales o de estructura ni el beneficio industrial”.</w:t>
      </w:r>
    </w:p>
    <w:p w14:paraId="1C22FA30"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u w:val="single"/>
          <w:lang w:val="es-ES_tradnl"/>
        </w:rPr>
        <w:t>Cinco.</w:t>
      </w:r>
      <w:r w:rsidRPr="00C0709C">
        <w:rPr>
          <w:rFonts w:cs="Arial"/>
          <w:sz w:val="22"/>
          <w:szCs w:val="22"/>
          <w:lang w:val="es-ES_tradnl"/>
        </w:rPr>
        <w:t xml:space="preserve"> - Se modifica la disposición adicional décima, que quedará redactada en los siguientes términos:</w:t>
      </w:r>
    </w:p>
    <w:p w14:paraId="55EAF970"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“Disposición adicional décima. - Régimen especial para contratos relacionados con actividades docentes: </w:t>
      </w:r>
    </w:p>
    <w:p w14:paraId="111B2987"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En los contratos cuyo objeto consista en actividades docentes o de formación, adjudicados a personas físicas y desarrollados en forma de cursos de formación o perfeccionamiento del personal al servicio de la Administración o de acciones formativas impartidas en centros públicos de formación para el empleo, así como los seminarios, coloquios, mesas redondas, conferencias, colaboraciones, artículos científicos o preparación de materiales por escrito, los únicos tramites exigibles serán, conforme a la legislación presupuestaria aplicable, la designación o nombramiento por el órgano competente y la presentación de la correspondiente factura”. </w:t>
      </w:r>
    </w:p>
    <w:p w14:paraId="6ED7C665"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u w:val="single"/>
          <w:lang w:val="es-ES_tradnl"/>
        </w:rPr>
        <w:t>Seis.</w:t>
      </w:r>
      <w:r w:rsidRPr="00C0709C">
        <w:rPr>
          <w:rFonts w:cs="Arial"/>
          <w:sz w:val="22"/>
          <w:szCs w:val="22"/>
          <w:lang w:val="es-ES_tradnl"/>
        </w:rPr>
        <w:t xml:space="preserve"> - Se suprime el punto 2 de la disposición adicional vigesimoprimera.</w:t>
      </w:r>
    </w:p>
    <w:p w14:paraId="2F93385F"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u w:val="single"/>
          <w:lang w:val="es-ES_tradnl"/>
        </w:rPr>
        <w:t>Siete.</w:t>
      </w:r>
      <w:r w:rsidRPr="00C0709C">
        <w:rPr>
          <w:rFonts w:cs="Arial"/>
          <w:sz w:val="22"/>
          <w:szCs w:val="22"/>
          <w:lang w:val="es-ES_tradnl"/>
        </w:rPr>
        <w:t xml:space="preserve"> - Se añade una nueva disposición adicional, con el siguiente contenido:</w:t>
      </w:r>
    </w:p>
    <w:p w14:paraId="4A4FB972"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“Disposición adicional vigesimotercera”. Régimen especial para determinados contratos celebrados por el Servicio Navarro de Salud-</w:t>
      </w:r>
      <w:proofErr w:type="spellStart"/>
      <w:r w:rsidRPr="00C0709C">
        <w:rPr>
          <w:rFonts w:cs="Arial"/>
          <w:sz w:val="22"/>
          <w:szCs w:val="22"/>
          <w:lang w:val="es-ES_tradnl"/>
        </w:rPr>
        <w:t>Osasunbidea</w:t>
      </w:r>
      <w:proofErr w:type="spellEnd"/>
      <w:r w:rsidRPr="00C0709C">
        <w:rPr>
          <w:rFonts w:cs="Arial"/>
          <w:sz w:val="22"/>
          <w:szCs w:val="22"/>
          <w:lang w:val="es-ES_tradnl"/>
        </w:rPr>
        <w:t xml:space="preserve"> y el Instituto de Salud Pública y Laboral de Navarra.</w:t>
      </w:r>
    </w:p>
    <w:p w14:paraId="247AA24F" w14:textId="744BA1C8"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En los contratos en los que la entidad proveedora se obligue a entregar una pluralidad de bienes o servicios de forma sucesiva y por precio unitario, celebrados por el Servicio Navarro de Salud-</w:t>
      </w:r>
      <w:proofErr w:type="spellStart"/>
      <w:r w:rsidRPr="00C0709C">
        <w:rPr>
          <w:rFonts w:cs="Arial"/>
          <w:sz w:val="22"/>
          <w:szCs w:val="22"/>
          <w:lang w:val="es-ES_tradnl"/>
        </w:rPr>
        <w:t>Osasunbidea</w:t>
      </w:r>
      <w:proofErr w:type="spellEnd"/>
      <w:r w:rsidRPr="00C0709C">
        <w:rPr>
          <w:rFonts w:cs="Arial"/>
          <w:sz w:val="22"/>
          <w:szCs w:val="22"/>
          <w:lang w:val="es-ES_tradnl"/>
        </w:rPr>
        <w:t xml:space="preserve"> o el Instituto de Salud Pública y Laboral de Navarra, y gestionados a través de la herramienta implantada en dichos organismos para la gestión de compras y control del gasto, no será necesario incorporar al expediente el documento de reserva y de autorización de gasto a que se refiere el artículo 138.3 de esta </w:t>
      </w:r>
      <w:r w:rsidR="00E610A7" w:rsidRPr="00C0709C">
        <w:rPr>
          <w:rFonts w:cs="Arial"/>
          <w:sz w:val="22"/>
          <w:szCs w:val="22"/>
          <w:lang w:val="es-ES_tradnl"/>
        </w:rPr>
        <w:t>ley foral</w:t>
      </w:r>
      <w:r w:rsidRPr="00C0709C">
        <w:rPr>
          <w:rFonts w:cs="Arial"/>
          <w:sz w:val="22"/>
          <w:szCs w:val="22"/>
          <w:lang w:val="es-ES_tradnl"/>
        </w:rPr>
        <w:t xml:space="preserve">, debiendo acreditarse la disponibilidad presupuestaria en la forma que determine el </w:t>
      </w:r>
      <w:r w:rsidR="00E610A7" w:rsidRPr="00C0709C">
        <w:rPr>
          <w:rFonts w:cs="Arial"/>
          <w:sz w:val="22"/>
          <w:szCs w:val="22"/>
          <w:lang w:val="es-ES_tradnl"/>
        </w:rPr>
        <w:t xml:space="preserve">departamento </w:t>
      </w:r>
      <w:r w:rsidRPr="00C0709C">
        <w:rPr>
          <w:rFonts w:cs="Arial"/>
          <w:sz w:val="22"/>
          <w:szCs w:val="22"/>
          <w:lang w:val="es-ES_tradnl"/>
        </w:rPr>
        <w:t>competente en materia de Hacienda”.</w:t>
      </w:r>
    </w:p>
    <w:p w14:paraId="26CC7C73"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b/>
          <w:sz w:val="22"/>
          <w:szCs w:val="22"/>
          <w:lang w:val="es-ES_tradnl"/>
        </w:rPr>
        <w:t xml:space="preserve">Disposición final tercera. </w:t>
      </w:r>
      <w:r w:rsidRPr="00C0709C">
        <w:rPr>
          <w:rFonts w:cs="Arial"/>
          <w:sz w:val="22"/>
          <w:szCs w:val="22"/>
          <w:lang w:val="es-ES_tradnl"/>
        </w:rPr>
        <w:t>Modificación de la Ley Foral General Tributaria.</w:t>
      </w:r>
    </w:p>
    <w:p w14:paraId="59363686"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Se adiciona una letra p) al artículo 105.1 de la Ley Foral 13/2000, de 14 de diciembre, General Tributaria, con el siguiente contenido:</w:t>
      </w:r>
    </w:p>
    <w:p w14:paraId="37F8B809" w14:textId="77777777" w:rsidR="00EE00CD" w:rsidRPr="00C0709C" w:rsidRDefault="00EE00CD"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“p) La colaboración con el servicio competente en materia de patrimonio en los procedimientos de adquisición de bienes y derechos por sucesión legal en favor de la Comunidad Foral de Navarra conforme a lo dispuesto en la Ley Foral 14/2007 de Patrimonio de Navarra”.</w:t>
      </w:r>
    </w:p>
    <w:p w14:paraId="636D67F7" w14:textId="4B505A60" w:rsidR="00123AF5" w:rsidRPr="00C0709C" w:rsidRDefault="007417A7" w:rsidP="00C0709C">
      <w:pPr>
        <w:pStyle w:val="DICTA-TEXTO"/>
        <w:spacing w:beforeLines="60" w:before="144" w:afterLines="60" w:after="144" w:line="280" w:lineRule="exact"/>
        <w:rPr>
          <w:rFonts w:cs="Arial"/>
          <w:sz w:val="22"/>
          <w:szCs w:val="22"/>
          <w:lang w:val="es-ES_tradnl"/>
        </w:rPr>
      </w:pPr>
      <w:r w:rsidRPr="00C0709C">
        <w:rPr>
          <w:rFonts w:cs="Arial"/>
          <w:b/>
          <w:bCs/>
          <w:sz w:val="22"/>
          <w:szCs w:val="22"/>
          <w:lang w:val="es-ES_tradnl"/>
        </w:rPr>
        <w:t xml:space="preserve">Disposición final </w:t>
      </w:r>
      <w:r w:rsidR="005704C6" w:rsidRPr="00C0709C">
        <w:rPr>
          <w:rFonts w:cs="Arial"/>
          <w:b/>
          <w:bCs/>
          <w:sz w:val="22"/>
          <w:szCs w:val="22"/>
          <w:lang w:val="es-ES_tradnl"/>
        </w:rPr>
        <w:t>cuarta</w:t>
      </w:r>
      <w:r w:rsidRPr="00C0709C">
        <w:rPr>
          <w:rFonts w:cs="Arial"/>
          <w:sz w:val="22"/>
          <w:szCs w:val="22"/>
          <w:lang w:val="es-ES_tradnl"/>
        </w:rPr>
        <w:t>. Modificación del Texto Refundido de la Ley Foral del Impuesto sobre la Renta de las Personas Físicas.</w:t>
      </w:r>
    </w:p>
    <w:p w14:paraId="73FE24AB" w14:textId="12E48274" w:rsidR="003B1587" w:rsidRPr="00C0709C" w:rsidRDefault="007417A7"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lastRenderedPageBreak/>
        <w:t>La disposición adicional sexagésima quinta del Texto Refundido de la Ley Foral del Impuesto sobre la Renta de las Personas Físicas, aprobado por el Decreto Foral Legislativo 4/2008, de 2 de junio, quedará redactada del siguiente modo:</w:t>
      </w:r>
    </w:p>
    <w:p w14:paraId="78E82DF2" w14:textId="77777777" w:rsidR="003B1587" w:rsidRPr="00C0709C" w:rsidRDefault="007417A7"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 “Disposición adicional sexagésima quinta. Deducción por obras de mejora de la eficiencia energética de viviendas.</w:t>
      </w:r>
    </w:p>
    <w:p w14:paraId="775ECD5E" w14:textId="7143E87F" w:rsidR="00123AF5" w:rsidRPr="00C0709C" w:rsidRDefault="00123AF5"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1. </w:t>
      </w:r>
      <w:r w:rsidR="007417A7" w:rsidRPr="00C0709C">
        <w:rPr>
          <w:rFonts w:cs="Arial"/>
          <w:sz w:val="22"/>
          <w:szCs w:val="22"/>
          <w:lang w:val="es-ES_tradnl"/>
        </w:rPr>
        <w:t>Los contribuyentes podrán deducir el 20 por ciento de las cantidades satisfechas en 2022, en 2023 y en 2024 por las obras realizadas durante dicho período para la reducción de la demanda de calefacción y refrigeración de su vivienda habitual o de cualquier otra de su titularidad que tuviera arrendada para su uso como vivienda en ese momento o en expectativa de alquiler, siempre que, en este último caso, la vivienda se alquile antes de 31 de diciembre de 2025.</w:t>
      </w:r>
    </w:p>
    <w:p w14:paraId="7FFBC75F" w14:textId="77777777" w:rsidR="00123AF5" w:rsidRPr="00C0709C" w:rsidRDefault="007417A7"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A estos efectos, únicamente se entenderá que se ha reducido la demanda de calefacción y refrigeración de la vivienda cuando se reduzca en al menos un 7 por ciento la suma de los indicadores de demanda de calefacción y refrigeración del certificado de eficiencia energética de la vivienda expedido por el técnico competente después de la realización de las obras, respecto del expedido antes del inicio de </w:t>
      </w:r>
      <w:proofErr w:type="gramStart"/>
      <w:r w:rsidRPr="00C0709C">
        <w:rPr>
          <w:rFonts w:cs="Arial"/>
          <w:sz w:val="22"/>
          <w:szCs w:val="22"/>
          <w:lang w:val="es-ES_tradnl"/>
        </w:rPr>
        <w:t>las mismas</w:t>
      </w:r>
      <w:proofErr w:type="gramEnd"/>
      <w:r w:rsidRPr="00C0709C">
        <w:rPr>
          <w:rFonts w:cs="Arial"/>
          <w:sz w:val="22"/>
          <w:szCs w:val="22"/>
          <w:lang w:val="es-ES_tradnl"/>
        </w:rPr>
        <w:t>.</w:t>
      </w:r>
    </w:p>
    <w:p w14:paraId="3326247A" w14:textId="77777777" w:rsidR="00123AF5" w:rsidRPr="00C0709C" w:rsidRDefault="007417A7"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La deducción se practicará en el período impositivo en el que se expida el certificado de eficiencia energética emitido después de la realización de las obras que, en todo caso, deberá ser expedido antes de 1 de enero de 2025.</w:t>
      </w:r>
    </w:p>
    <w:p w14:paraId="5EAE4F45" w14:textId="49CC069A" w:rsidR="003B1587" w:rsidRPr="00C0709C" w:rsidRDefault="007417A7"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La base máxima de esta deducción será de 5.000 euros anuales. </w:t>
      </w:r>
    </w:p>
    <w:p w14:paraId="0059B9ED" w14:textId="77777777" w:rsidR="00123AF5" w:rsidRPr="00C0709C" w:rsidRDefault="007417A7"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2. Los contribuyentes podrán deducir el 40 por ciento de las cantidades satisfechas en 2022, en 2023 y en 2024, por las obras realizadas durante dicho período para la mejora en el consumo de energía primaria no renovable de su vivienda habitual o de cualquier otra de su titularidad que tuviera arrendada para su uso como vivienda en ese momento o en expectativa de alquiler, siempre que, en este último caso, la vivienda se alquile antes de 31 de diciembre de 2025.</w:t>
      </w:r>
    </w:p>
    <w:p w14:paraId="70049F24" w14:textId="77777777" w:rsidR="00123AF5" w:rsidRPr="00C0709C" w:rsidRDefault="007417A7"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A estos efectos, únicamente se entenderá que se ha mejorado el consumo de energía primaria no renovable en la vivienda en la que se hubieran realizado tales obras cuando se reduzca en al menos un 30 por ciento el indicador de consumo de energía primaria no renovable, o bien se consiga una mejora de la calificación energética de la vivienda para obtener una clase energética «A» o «B», en la misma escala de calificación, acreditado mediante certificado de eficiencia energética expedido por el técnico competente después de la realización de aquellas, respecto del expedido antes del inicio de las mismas.</w:t>
      </w:r>
    </w:p>
    <w:p w14:paraId="6AE68084" w14:textId="77777777" w:rsidR="00123AF5" w:rsidRPr="00C0709C" w:rsidRDefault="007417A7"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La deducción se practicará en el período impositivo en el que se expida el certificado de eficiencia energética emitido después de la realización de las obras, que, en todo caso, deberá ser expedido antes de 1 de enero de 2025.</w:t>
      </w:r>
    </w:p>
    <w:p w14:paraId="5E97E30D" w14:textId="1A05C86B" w:rsidR="003B1587" w:rsidRPr="00C0709C" w:rsidRDefault="007417A7"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La base máxima de esta deducción será de 7.500 euros anuales. </w:t>
      </w:r>
    </w:p>
    <w:p w14:paraId="2DA7F13F" w14:textId="77777777" w:rsidR="00123AF5" w:rsidRPr="00C0709C" w:rsidRDefault="007417A7"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3. Los contribuyentes propietarios de viviendas ubicadas en edificios de uso predominante residencial en el que se hayan llevado a cabo en 2022, 2023, 2024 y 2025, obras de rehabilitación energética, podrán deducir el 60 por ciento de las cantidades satisfechas durante dicho período por tales obras. A estos efectos, tendrán la consideración de obras de rehabilitación energética del edificio aquellas en las que se obtenga una mejora </w:t>
      </w:r>
      <w:r w:rsidRPr="00C0709C">
        <w:rPr>
          <w:rFonts w:cs="Arial"/>
          <w:sz w:val="22"/>
          <w:szCs w:val="22"/>
          <w:lang w:val="es-ES_tradnl"/>
        </w:rPr>
        <w:lastRenderedPageBreak/>
        <w:t>de la eficiencia energética del edificio en el que se ubica la vivienda, debiendo acreditarse con el certificado de eficiencia energética del edificio expedido por el técnico competente después de la realización de aquellas una reducción del consumo de energía primaria no renovable, referida a la certificación energética, de un 30 por ciento como mínimo, o bien, la mejora de la calificación energética del edificio para obtener una clase energética «A» o «B», en la misma escala de calificación, respecto del expedido antes del inicio de las mismas.</w:t>
      </w:r>
    </w:p>
    <w:p w14:paraId="7E3485BC" w14:textId="77777777" w:rsidR="00123AF5" w:rsidRPr="00C0709C" w:rsidRDefault="007417A7"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Se asimilarán a viviendas las plazas de garaje y trasteros que se hubieran adquirido con estas.</w:t>
      </w:r>
    </w:p>
    <w:p w14:paraId="47679A1B" w14:textId="77777777" w:rsidR="00123AF5" w:rsidRPr="00C0709C" w:rsidRDefault="007417A7"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No darán derecho a practicar esta deducción las obras realizadas en la parte de la vivienda que se encuentre </w:t>
      </w:r>
      <w:proofErr w:type="gramStart"/>
      <w:r w:rsidRPr="00C0709C">
        <w:rPr>
          <w:rFonts w:cs="Arial"/>
          <w:sz w:val="22"/>
          <w:szCs w:val="22"/>
          <w:lang w:val="es-ES_tradnl"/>
        </w:rPr>
        <w:t>afecta</w:t>
      </w:r>
      <w:proofErr w:type="gramEnd"/>
      <w:r w:rsidRPr="00C0709C">
        <w:rPr>
          <w:rFonts w:cs="Arial"/>
          <w:sz w:val="22"/>
          <w:szCs w:val="22"/>
          <w:lang w:val="es-ES_tradnl"/>
        </w:rPr>
        <w:t xml:space="preserve"> a una actividad económica.</w:t>
      </w:r>
    </w:p>
    <w:p w14:paraId="10FC917B" w14:textId="2F6EC425" w:rsidR="003B1587" w:rsidRPr="00C0709C" w:rsidRDefault="007417A7"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La deducción se practicará en los períodos impositivos 2022, 2023, 2024 y 2025 en relación con las cantidades satisfechas en cada uno de ellos, siempre que se hubiera expedido, antes de la finalización del período impositivo en el que se vaya a practicar la deducción, el citado certificado de eficiencia energética. Cuando el certificado se expida en un período impositivo posterior a aquel en el que se abonaron cantidades por tales obras, la deducción se practicará en el periodo en que se expida el certificado. En todo caso, dicho certificado deberá ser expedido antes de 1 de enero de 2026. La base máxima de esta deducción será de 5.000 euros anuales. Las cantidades satisfechas no deducidas por exceder de la base máxima anual de deducción podrán deducirse, con el mismo límite, en los cuatro ejercicios siguientes, sin que en ningún caso la base acumulada de la deducción pueda exceder de 15.000 euros. </w:t>
      </w:r>
    </w:p>
    <w:p w14:paraId="3F76277F" w14:textId="77777777" w:rsidR="00123AF5" w:rsidRPr="00C0709C" w:rsidRDefault="007417A7"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4. No darán derecho a practicar las deducciones previstas en los apartados 1 y 2, cuando la obra se realice en las partes de las viviendas afectas a una actividad económica, plazas de garaje, trasteros, jardines, parques, piscinas e instalaciones deportivas y otros elementos análogos.</w:t>
      </w:r>
    </w:p>
    <w:p w14:paraId="4F89FEB5" w14:textId="77777777" w:rsidR="00123AF5" w:rsidRPr="00C0709C" w:rsidRDefault="007417A7"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En ningún caso, una misma obra realizada en una vivienda dará derecho a las deducciones previstas en los apartados 1 y 2. Tampoco tales deducciones resultarán de aplicación en aquellos casos en los que la mejora acreditada y las cuantías satisfechas correspondan a actuaciones realizadas en el conjunto del edificio y proceda la aplicación de la deducción recogida en el apartado 3 de esta disposición.</w:t>
      </w:r>
    </w:p>
    <w:p w14:paraId="6A3B71F2" w14:textId="77777777" w:rsidR="00123AF5" w:rsidRPr="00C0709C" w:rsidRDefault="007417A7"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La base de las deducciones previstas en los apartados 1, 2 y 3 se determinará conforme a lo establecido en el artículo 64.4, teniendo en cuenta únicamente las cantidades satisfechas mediante tarjeta de crédito o débito, transferencia bancaria, cheque nominativo o ingreso en cuentas en entidades de crédito, a las personas o entidades que realicen tales obras, así como a las personas o entidades que expidan los citados certificados. En ningún caso, darán derecho a practicar deducción las cantidades satisfechas mediante entregas de dinero de curso legal.</w:t>
      </w:r>
    </w:p>
    <w:p w14:paraId="15DF5180" w14:textId="77777777" w:rsidR="00123AF5" w:rsidRPr="00C0709C" w:rsidRDefault="007417A7"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A estos efectos, se considerarán como cantidades satisfechas por las obras realizadas aquellas necesarias para su ejecución, incluyendo los honorarios profesionales, costes de redacción de proyectos técnicos, dirección de obras, coste de ejecución de obras o instalaciones, inversión en equipos y materiales y otros gastos necesarios para su desarrollo, así como la emisión de los correspondientes certificados de eficiencia energética.</w:t>
      </w:r>
    </w:p>
    <w:p w14:paraId="7D159D9B" w14:textId="77777777" w:rsidR="00123AF5" w:rsidRPr="00C0709C" w:rsidRDefault="007417A7"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lastRenderedPageBreak/>
        <w:t>En todo caso, no se considerarán en dichas cantidades los costes relativos a la instalación o sustitución de equipos que utilicen combustibles de origen fósil.</w:t>
      </w:r>
    </w:p>
    <w:p w14:paraId="044A066A" w14:textId="34B41EFD" w:rsidR="003B1587" w:rsidRPr="00C0709C" w:rsidRDefault="007417A7"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Tratándose de obras llevadas a cabo por una comunidad de propietarios, la cuantía susceptible de formar la base de la deducción de cada contribuyente a que se refiere el apartado 3 vendrá determinada por el resultado de aplicar a las cantidades satisfechas por la comunidad de propietarios a las que se refiere el párrafo anterior, el coeficiente de participación que tuviese en la misma. </w:t>
      </w:r>
    </w:p>
    <w:p w14:paraId="4BC0E237" w14:textId="77777777" w:rsidR="00123AF5" w:rsidRPr="00C0709C" w:rsidRDefault="007417A7"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5. Los certificados de eficiencia energética previstos en los apartados anteriores deberán haber sido expedidos y registrados con arreglo a lo dispuesto en el Real Decreto 390/2021, de 1 de junio, por el que se aprueba el procedimiento básico para la certificación de la eficiencia energética de los edificios.</w:t>
      </w:r>
    </w:p>
    <w:p w14:paraId="539BC9C9" w14:textId="7CF12FBA" w:rsidR="003B1587" w:rsidRPr="00C0709C" w:rsidRDefault="007417A7"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A los efectos de acreditar el cumplimiento de los requisitos exigidos para la práctica de estas deducciones serán válidos los certificados expedidos antes del inicio de las obras siempre que no hubiera transcurrido un plazo de dos años entre la fecha de su expedición y la del inicio de estas. </w:t>
      </w:r>
    </w:p>
    <w:p w14:paraId="2DA03500" w14:textId="77777777" w:rsidR="00123AF5" w:rsidRPr="00C0709C" w:rsidRDefault="007417A7"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6. Los departamentos competentes en materia de energía y en materia de vivienda deberán suministrar información a la Hacienda Foral de Navarra respecto de los certificados de eficiencia energética registrados y de las resoluciones definitivas de ayuda que hayan sido concedidas por obras de mejora de la eficiencia energética de viviendas, junto con la relación de números de referencia catastrales a los que se refieran.</w:t>
      </w:r>
    </w:p>
    <w:p w14:paraId="1E26E63B" w14:textId="4538C311" w:rsidR="007417A7" w:rsidRPr="00C0709C" w:rsidRDefault="007417A7"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Mediante orden foral de la persona titular del departamento competente en materia tributaria se podrá determinar la información a suministrar y la forma y plazos para cumplir con dicha obligación de información”</w:t>
      </w:r>
      <w:r w:rsidR="003B1587" w:rsidRPr="00C0709C">
        <w:rPr>
          <w:rFonts w:cs="Arial"/>
          <w:sz w:val="22"/>
          <w:szCs w:val="22"/>
          <w:lang w:val="es-ES_tradnl"/>
        </w:rPr>
        <w:t>.</w:t>
      </w:r>
    </w:p>
    <w:p w14:paraId="7CFAF420" w14:textId="148A7B08" w:rsidR="008C3E6A" w:rsidRPr="00C0709C" w:rsidRDefault="006611A6" w:rsidP="00C0709C">
      <w:pPr>
        <w:pStyle w:val="DICTA-TEXTO"/>
        <w:spacing w:beforeLines="60" w:before="144" w:afterLines="60" w:after="144" w:line="280" w:lineRule="exact"/>
        <w:rPr>
          <w:rFonts w:cs="Arial"/>
          <w:sz w:val="22"/>
          <w:szCs w:val="22"/>
          <w:lang w:val="es-ES_tradnl"/>
        </w:rPr>
      </w:pPr>
      <w:r w:rsidRPr="00C0709C">
        <w:rPr>
          <w:rFonts w:cs="Arial"/>
          <w:b/>
          <w:bCs/>
          <w:sz w:val="22"/>
          <w:szCs w:val="22"/>
          <w:lang w:val="es-ES_tradnl"/>
        </w:rPr>
        <w:t xml:space="preserve">Disposición final </w:t>
      </w:r>
      <w:r w:rsidR="005704C6" w:rsidRPr="00C0709C">
        <w:rPr>
          <w:rFonts w:cs="Arial"/>
          <w:b/>
          <w:bCs/>
          <w:sz w:val="22"/>
          <w:szCs w:val="22"/>
          <w:lang w:val="es-ES_tradnl"/>
        </w:rPr>
        <w:t>quinta</w:t>
      </w:r>
      <w:r w:rsidRPr="00C0709C">
        <w:rPr>
          <w:rFonts w:cs="Arial"/>
          <w:sz w:val="22"/>
          <w:szCs w:val="22"/>
          <w:lang w:val="es-ES_tradnl"/>
        </w:rPr>
        <w:t>. Modificación de la Ley Foral 16/2019, de 26 de marzo, de reconocimiento y reparación de las victimas por actos de motivación política provocados por grupos de extrema derecha o funcionarios públicos.</w:t>
      </w:r>
    </w:p>
    <w:p w14:paraId="660759CF" w14:textId="0B30AA39" w:rsidR="006611A6" w:rsidRPr="00C0709C" w:rsidRDefault="006611A6"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 xml:space="preserve">Se añade un segundo párrafo al apartado 5 al artículo 16, con el siguiente </w:t>
      </w:r>
      <w:r w:rsidR="008C3E6A" w:rsidRPr="00C0709C">
        <w:rPr>
          <w:rFonts w:cs="Arial"/>
          <w:sz w:val="22"/>
          <w:szCs w:val="22"/>
          <w:lang w:val="es-ES_tradnl"/>
        </w:rPr>
        <w:t>contenido</w:t>
      </w:r>
      <w:r w:rsidRPr="00C0709C">
        <w:rPr>
          <w:rFonts w:cs="Arial"/>
          <w:sz w:val="22"/>
          <w:szCs w:val="22"/>
          <w:lang w:val="es-ES_tradnl"/>
        </w:rPr>
        <w:t xml:space="preserve">: “Además, las personas designadas por el Instituto Navarro de Medicina Legal percibirán la indemnización que a tales efectos se determine por Acuerdo de Gobierno, por su participación en la elaboración del informe técnico establecido en el apartado 6, del artículo 10 de la presente </w:t>
      </w:r>
      <w:r w:rsidR="00E610A7" w:rsidRPr="00C0709C">
        <w:rPr>
          <w:rFonts w:cs="Arial"/>
          <w:sz w:val="22"/>
          <w:szCs w:val="22"/>
          <w:lang w:val="es-ES_tradnl"/>
        </w:rPr>
        <w:t>ley foral</w:t>
      </w:r>
      <w:r w:rsidRPr="00C0709C">
        <w:rPr>
          <w:rFonts w:cs="Arial"/>
          <w:sz w:val="22"/>
          <w:szCs w:val="22"/>
          <w:lang w:val="es-ES_tradnl"/>
        </w:rPr>
        <w:t>”.</w:t>
      </w:r>
    </w:p>
    <w:p w14:paraId="1F545018" w14:textId="383FF306" w:rsidR="005704C6" w:rsidRPr="00C0709C" w:rsidRDefault="005704C6" w:rsidP="00C0709C">
      <w:pPr>
        <w:pStyle w:val="DICTA-TEXTO"/>
        <w:spacing w:beforeLines="60" w:before="144" w:afterLines="60" w:after="144" w:line="280" w:lineRule="exact"/>
        <w:rPr>
          <w:rFonts w:cs="Arial"/>
          <w:sz w:val="22"/>
          <w:szCs w:val="22"/>
          <w:lang w:val="es-ES_tradnl"/>
        </w:rPr>
      </w:pPr>
      <w:r w:rsidRPr="00C0709C">
        <w:rPr>
          <w:rFonts w:cs="Arial"/>
          <w:b/>
          <w:bCs/>
          <w:sz w:val="22"/>
          <w:szCs w:val="22"/>
          <w:lang w:val="es-ES_tradnl"/>
        </w:rPr>
        <w:t>Disposición final sexta</w:t>
      </w:r>
      <w:r w:rsidRPr="00C0709C">
        <w:rPr>
          <w:rFonts w:cs="Arial"/>
          <w:sz w:val="22"/>
          <w:szCs w:val="22"/>
          <w:lang w:val="es-ES_tradnl"/>
        </w:rPr>
        <w:t>. Modificación del Decreto Foral Legislativo 251/1993, de 30 de agosto, por el que se aprueba el texto refundido del Estatuto del personal al servicio de las Administraciones públicas de Navarra.</w:t>
      </w:r>
    </w:p>
    <w:p w14:paraId="04E12103" w14:textId="5ACAD995" w:rsidR="005704C6" w:rsidRPr="00C0709C" w:rsidRDefault="005704C6"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Se modifica el artículo 102, apartado b), que queda redactado como sigue:</w:t>
      </w:r>
    </w:p>
    <w:p w14:paraId="0CDB15C6" w14:textId="1D917270" w:rsidR="005704C6" w:rsidRPr="00C0709C" w:rsidRDefault="005704C6"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"b) Retribuciones complementarias reguladas por los artículos 103, 104, 105 y 105 bis del presente Estatuto".</w:t>
      </w:r>
    </w:p>
    <w:p w14:paraId="4BDEF53E" w14:textId="77777777" w:rsidR="005704C6" w:rsidRPr="00C0709C" w:rsidRDefault="005704C6"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2. Se añade un artículo 105 bis, con la siguiente redacción:</w:t>
      </w:r>
    </w:p>
    <w:p w14:paraId="31D504D3" w14:textId="1F45E247" w:rsidR="005704C6" w:rsidRPr="00C0709C" w:rsidRDefault="005704C6"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"Artículo 105 bis. Consolidación parcial del complemento de puesto directivo docente, por el desempeño del cargo de director o directora de centros educativos públicos.</w:t>
      </w:r>
    </w:p>
    <w:p w14:paraId="6FF0219F" w14:textId="1E9FF56C" w:rsidR="005704C6" w:rsidRPr="00C0709C" w:rsidRDefault="005704C6"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lastRenderedPageBreak/>
        <w:t>l. Consolidará parcialmente el complemento de puesto directivo docente por el desempeño del cargo de director o directora, el profesorado de los centros docentes públicos que cumpla los siguientes requisitos:</w:t>
      </w:r>
    </w:p>
    <w:p w14:paraId="6A46C439" w14:textId="2158997B" w:rsidR="005704C6" w:rsidRPr="00C0709C" w:rsidRDefault="005704C6"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a) Haber desempeñado el cargo de director o directora, tras ser nombrado mediante convocatoria.</w:t>
      </w:r>
    </w:p>
    <w:p w14:paraId="37E2BB77" w14:textId="2E4ECD50" w:rsidR="005704C6" w:rsidRPr="00C0709C" w:rsidRDefault="005704C6"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b) Cesar en el desempeño del cargo de director o directora el 30 de junio de 2024 o posteriormente y permanecer en situación de servicio activo o servicios especiales para la formación.</w:t>
      </w:r>
    </w:p>
    <w:p w14:paraId="103E8845" w14:textId="35F3E8D5" w:rsidR="005704C6" w:rsidRPr="00C0709C" w:rsidRDefault="005704C6"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c)</w:t>
      </w:r>
      <w:r w:rsidRPr="00C0709C">
        <w:rPr>
          <w:rFonts w:cs="Arial"/>
          <w:sz w:val="22"/>
          <w:szCs w:val="22"/>
          <w:lang w:val="es-ES_tradnl"/>
        </w:rPr>
        <w:tab/>
        <w:t>Haber obtenido evaluación positiva en el desempeño del cargo, de acuerdo con el procedimiento que, a tales efectos, se establezca por Orden Foral de la persona titular del Departamento de Educación.</w:t>
      </w:r>
    </w:p>
    <w:p w14:paraId="411594D3" w14:textId="494D80DD" w:rsidR="005704C6" w:rsidRPr="00C0709C" w:rsidRDefault="005704C6"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2. Porcentaje de consolidación del complemento.</w:t>
      </w:r>
    </w:p>
    <w:p w14:paraId="73FB36F2" w14:textId="64FF1563" w:rsidR="005704C6" w:rsidRPr="00C0709C" w:rsidRDefault="005704C6"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El porcentaje de consolidación del complemento del puesto directivo docente por ejercicio del cargo de director o directora será el siguiente:</w:t>
      </w:r>
    </w:p>
    <w:p w14:paraId="0777C905" w14:textId="328D2392" w:rsidR="005704C6" w:rsidRPr="00C0709C" w:rsidRDefault="005704C6"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a) Por el ejercicio del cargo por tiempo igual o superior a cuatro años e inferior a ocho: el 25 %.</w:t>
      </w:r>
    </w:p>
    <w:p w14:paraId="3D2FA290" w14:textId="5F9BD883" w:rsidR="005704C6" w:rsidRPr="00C0709C" w:rsidRDefault="005704C6"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b) Por el ejercicio del cargo por tiempo igual o superior a ocho años e inferior a doce:</w:t>
      </w:r>
    </w:p>
    <w:p w14:paraId="677C368B" w14:textId="28E45826" w:rsidR="005704C6" w:rsidRPr="00C0709C" w:rsidRDefault="005704C6"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c) Por el ejercicio del cargo por tiempo igual o superior a doce años: el 60</w:t>
      </w:r>
      <w:r w:rsidR="00E610A7" w:rsidRPr="00C0709C">
        <w:rPr>
          <w:rFonts w:cs="Arial"/>
          <w:sz w:val="22"/>
          <w:szCs w:val="22"/>
          <w:lang w:val="es-ES_tradnl"/>
        </w:rPr>
        <w:t xml:space="preserve"> </w:t>
      </w:r>
      <w:r w:rsidRPr="00C0709C">
        <w:rPr>
          <w:rFonts w:cs="Arial"/>
          <w:sz w:val="22"/>
          <w:szCs w:val="22"/>
          <w:lang w:val="es-ES_tradnl"/>
        </w:rPr>
        <w:t>%.</w:t>
      </w:r>
    </w:p>
    <w:p w14:paraId="488D33D3" w14:textId="48B345A1" w:rsidR="005704C6" w:rsidRPr="00C0709C" w:rsidRDefault="005704C6"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3. Los períodos a los que se refiere el apartado anterior podrán haberse ejercido de manera continuada o no.</w:t>
      </w:r>
    </w:p>
    <w:p w14:paraId="6C09FA18" w14:textId="6759287B" w:rsidR="005704C6" w:rsidRPr="00C0709C" w:rsidRDefault="005704C6"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4. A los efectos de lo establecido en el apartado 2, se tomará en consideración la cuantía del complemento específico de director que estuviese percibiendo en el momento del último cese como director o directora y que dé lugar a la consolidación del complemento.</w:t>
      </w:r>
    </w:p>
    <w:p w14:paraId="5162DA34" w14:textId="5B1673D5" w:rsidR="005704C6" w:rsidRPr="00C0709C" w:rsidRDefault="005704C6"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5. La percepción de la parte consolidada del complemento de director o directora será incompatible con la percepción de cualquier otro complemento previsto en el Decreto Foral 71/2012</w:t>
      </w:r>
      <w:r w:rsidR="00E610A7" w:rsidRPr="00C0709C">
        <w:rPr>
          <w:rFonts w:cs="Arial"/>
          <w:sz w:val="22"/>
          <w:szCs w:val="22"/>
          <w:lang w:val="es-ES_tradnl"/>
        </w:rPr>
        <w:t>,</w:t>
      </w:r>
      <w:r w:rsidRPr="00C0709C">
        <w:rPr>
          <w:rFonts w:cs="Arial"/>
          <w:sz w:val="22"/>
          <w:szCs w:val="22"/>
          <w:lang w:val="es-ES_tradnl"/>
        </w:rPr>
        <w:t xml:space="preserve"> de 25 de julio, por el que se regula la asignación del complemento de puesto directivo docente, con el puesto de inspector o inspectora de Educación, con el puesto de asesor o asesora, de dirección o jefatura en la Administración, con el puesto de personal eventual y aquellos otros puestos que se declaren incompatibles por el Gobierno de Navarra.</w:t>
      </w:r>
    </w:p>
    <w:p w14:paraId="5859D7C7" w14:textId="77777777" w:rsidR="005704C6" w:rsidRPr="00C0709C" w:rsidRDefault="005704C6"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Sin perjuicio de lo dispuesto en el párrafo anterior, cuando el complemento correspondiente por el desempeño de los puestos a que se refiere el mismo estuviese retribuido con una cantidad inferior al importe consolidado del complemento por el desempeño del cargo de director o directora, el funcionario o funcionaria percibirá un complemento compensatorio de carácter personal por la diferencia.</w:t>
      </w:r>
    </w:p>
    <w:p w14:paraId="2DFDE818" w14:textId="7096B51E" w:rsidR="005704C6" w:rsidRPr="00C0709C" w:rsidRDefault="005704C6"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6.</w:t>
      </w:r>
      <w:r w:rsidR="00F64237" w:rsidRPr="00C0709C">
        <w:rPr>
          <w:rFonts w:cs="Arial"/>
          <w:sz w:val="22"/>
          <w:szCs w:val="22"/>
          <w:lang w:val="es-ES_tradnl"/>
        </w:rPr>
        <w:t xml:space="preserve"> </w:t>
      </w:r>
      <w:r w:rsidRPr="00C0709C">
        <w:rPr>
          <w:rFonts w:cs="Arial"/>
          <w:sz w:val="22"/>
          <w:szCs w:val="22"/>
          <w:lang w:val="es-ES_tradnl"/>
        </w:rPr>
        <w:t>Para la aplicación de lo previsto en este artículo se computarán todos los periodos de ejercicio del cargo de director o directora, conforme al· apartado 1, siempre que en el momento del cese se ocupe el citado cargo por convocatoria.</w:t>
      </w:r>
    </w:p>
    <w:p w14:paraId="6FA5E97B" w14:textId="1221B8AB" w:rsidR="005704C6" w:rsidRPr="00C0709C" w:rsidRDefault="005704C6" w:rsidP="00C0709C">
      <w:pPr>
        <w:pStyle w:val="DICTA-TEXTO"/>
        <w:spacing w:beforeLines="60" w:before="144" w:afterLines="60" w:after="144" w:line="280" w:lineRule="exact"/>
        <w:rPr>
          <w:rFonts w:cs="Arial"/>
          <w:sz w:val="22"/>
          <w:szCs w:val="22"/>
          <w:lang w:val="es-ES_tradnl"/>
        </w:rPr>
      </w:pPr>
      <w:r w:rsidRPr="00C0709C">
        <w:rPr>
          <w:rFonts w:cs="Arial"/>
          <w:sz w:val="22"/>
          <w:szCs w:val="22"/>
          <w:lang w:val="es-ES_tradnl"/>
        </w:rPr>
        <w:t>7.</w:t>
      </w:r>
      <w:r w:rsidR="00F64237" w:rsidRPr="00C0709C">
        <w:rPr>
          <w:rFonts w:cs="Arial"/>
          <w:sz w:val="22"/>
          <w:szCs w:val="22"/>
          <w:lang w:val="es-ES_tradnl"/>
        </w:rPr>
        <w:t xml:space="preserve"> </w:t>
      </w:r>
      <w:r w:rsidRPr="00C0709C">
        <w:rPr>
          <w:rFonts w:cs="Arial"/>
          <w:sz w:val="22"/>
          <w:szCs w:val="22"/>
          <w:lang w:val="es-ES_tradnl"/>
        </w:rPr>
        <w:t>El abono del porcentaje consolidado del complemento de puesto directivo docente se realizará de oficio por la Administración teniendo en cuenta como fecha de efectos la del cese en el cargo de director o directora"</w:t>
      </w:r>
      <w:r w:rsidR="00F64237" w:rsidRPr="00C0709C">
        <w:rPr>
          <w:rFonts w:cs="Arial"/>
          <w:sz w:val="22"/>
          <w:szCs w:val="22"/>
          <w:lang w:val="es-ES_tradnl"/>
        </w:rPr>
        <w:t>.</w:t>
      </w:r>
    </w:p>
    <w:p w14:paraId="65A3FA91" w14:textId="0964482C" w:rsidR="00EE00CD" w:rsidRPr="00C0709C" w:rsidRDefault="00EE00CD" w:rsidP="00C0709C">
      <w:pPr>
        <w:pStyle w:val="DICTA-TEXTO"/>
        <w:spacing w:beforeLines="60" w:before="144" w:afterLines="60" w:after="144" w:line="280" w:lineRule="exact"/>
        <w:rPr>
          <w:rFonts w:cs="Arial"/>
          <w:bCs/>
          <w:sz w:val="22"/>
          <w:szCs w:val="22"/>
          <w:lang w:val="es-ES_tradnl"/>
        </w:rPr>
      </w:pPr>
      <w:r w:rsidRPr="00C0709C">
        <w:rPr>
          <w:rFonts w:cs="Arial"/>
          <w:b/>
          <w:sz w:val="22"/>
          <w:szCs w:val="22"/>
          <w:lang w:val="es-ES_tradnl"/>
        </w:rPr>
        <w:lastRenderedPageBreak/>
        <w:t xml:space="preserve">Disposición final </w:t>
      </w:r>
      <w:r w:rsidR="00F64237" w:rsidRPr="00C0709C">
        <w:rPr>
          <w:rFonts w:cs="Arial"/>
          <w:b/>
          <w:sz w:val="22"/>
          <w:szCs w:val="22"/>
          <w:lang w:val="es-ES_tradnl"/>
        </w:rPr>
        <w:t>séptima</w:t>
      </w:r>
      <w:r w:rsidRPr="00C0709C">
        <w:rPr>
          <w:rFonts w:cs="Arial"/>
          <w:b/>
          <w:sz w:val="22"/>
          <w:szCs w:val="22"/>
          <w:lang w:val="es-ES_tradnl"/>
        </w:rPr>
        <w:t>.</w:t>
      </w:r>
      <w:r w:rsidRPr="00C0709C">
        <w:rPr>
          <w:rFonts w:cs="Arial"/>
          <w:bCs/>
          <w:sz w:val="22"/>
          <w:szCs w:val="22"/>
          <w:lang w:val="es-ES_tradnl"/>
        </w:rPr>
        <w:t xml:space="preserve"> Entrada en vigor.</w:t>
      </w:r>
    </w:p>
    <w:p w14:paraId="5753634F" w14:textId="56A4FEB6" w:rsidR="00BD4F48" w:rsidRPr="00D44048" w:rsidRDefault="00EE00CD" w:rsidP="00C0709C">
      <w:pPr>
        <w:pStyle w:val="DICTA-TEXTO"/>
        <w:spacing w:beforeLines="60" w:before="144" w:afterLines="60" w:after="144" w:line="280" w:lineRule="exact"/>
        <w:rPr>
          <w:lang w:val="es-ES_tradnl"/>
        </w:rPr>
        <w:sectPr w:rsidR="00BD4F48" w:rsidRPr="00D44048" w:rsidSect="00C0709C">
          <w:headerReference w:type="default" r:id="rId9"/>
          <w:type w:val="continuous"/>
          <w:pgSz w:w="11907" w:h="16840" w:code="9"/>
          <w:pgMar w:top="1985" w:right="1418" w:bottom="1418" w:left="1560" w:header="1134" w:footer="1134" w:gutter="0"/>
          <w:paperSrc w:first="1" w:other="1"/>
          <w:cols w:space="720"/>
          <w:titlePg/>
          <w:docGrid w:linePitch="354"/>
        </w:sectPr>
      </w:pPr>
      <w:r w:rsidRPr="00C0709C">
        <w:rPr>
          <w:rFonts w:cs="Arial"/>
          <w:sz w:val="22"/>
          <w:szCs w:val="22"/>
          <w:lang w:val="es-ES_tradnl"/>
        </w:rPr>
        <w:t>Esta ley foral entrará en vigor el día siguiente al de su publicación en el Boletín Oficial de Navarra.</w:t>
      </w:r>
    </w:p>
    <w:p w14:paraId="21045F19" w14:textId="77777777" w:rsidR="005D09BE" w:rsidRPr="00D44048" w:rsidRDefault="005D09BE" w:rsidP="005D09BE">
      <w:pPr>
        <w:pStyle w:val="DICTA-TEXTO"/>
        <w:spacing w:after="0" w:line="240" w:lineRule="auto"/>
        <w:ind w:firstLine="0"/>
        <w:jc w:val="center"/>
        <w:rPr>
          <w:rFonts w:cs="Arial"/>
          <w:b/>
          <w:szCs w:val="24"/>
          <w:lang w:val="es-ES_tradnl"/>
        </w:rPr>
      </w:pPr>
      <w:r w:rsidRPr="00D44048">
        <w:rPr>
          <w:rFonts w:cs="Arial"/>
          <w:b/>
          <w:szCs w:val="24"/>
          <w:lang w:val="es-ES_tradnl"/>
        </w:rPr>
        <w:lastRenderedPageBreak/>
        <w:t xml:space="preserve">ANEXO I. </w:t>
      </w:r>
      <w:r w:rsidRPr="00D44048">
        <w:rPr>
          <w:rFonts w:cs="Arial"/>
          <w:szCs w:val="24"/>
          <w:lang w:val="es-ES_tradnl"/>
        </w:rPr>
        <w:t>Módulos anuales y ratios de los diferentes niveles educativos 2024</w:t>
      </w:r>
    </w:p>
    <w:p w14:paraId="3FC0FB7A" w14:textId="77777777" w:rsidR="005D09BE" w:rsidRPr="00D44048" w:rsidRDefault="005D09BE" w:rsidP="005D09BE">
      <w:pPr>
        <w:pStyle w:val="DICTA-TEXTO"/>
        <w:tabs>
          <w:tab w:val="clear" w:pos="992"/>
        </w:tabs>
        <w:spacing w:after="0" w:line="240" w:lineRule="auto"/>
        <w:ind w:firstLine="0"/>
        <w:rPr>
          <w:rFonts w:cs="Arial"/>
          <w:sz w:val="20"/>
          <w:lang w:val="es-ES_tradnl"/>
        </w:rPr>
      </w:pPr>
    </w:p>
    <w:p w14:paraId="697C5667" w14:textId="77777777" w:rsidR="005D09BE" w:rsidRPr="00D44048" w:rsidRDefault="005D09BE" w:rsidP="005D09BE">
      <w:pPr>
        <w:pStyle w:val="DICTA-TEXTO"/>
        <w:tabs>
          <w:tab w:val="clear" w:pos="992"/>
        </w:tabs>
        <w:spacing w:after="0" w:line="240" w:lineRule="auto"/>
        <w:ind w:firstLine="0"/>
        <w:rPr>
          <w:rFonts w:cs="Arial"/>
          <w:sz w:val="20"/>
          <w:lang w:val="es-ES_tradnl"/>
        </w:rPr>
      </w:pPr>
    </w:p>
    <w:tbl>
      <w:tblPr>
        <w:tblW w:w="14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90"/>
        <w:gridCol w:w="1173"/>
        <w:gridCol w:w="1101"/>
        <w:gridCol w:w="1241"/>
        <w:gridCol w:w="1241"/>
        <w:gridCol w:w="1241"/>
        <w:gridCol w:w="1241"/>
        <w:gridCol w:w="1241"/>
        <w:gridCol w:w="1241"/>
        <w:gridCol w:w="1241"/>
      </w:tblGrid>
      <w:tr w:rsidR="005D09BE" w:rsidRPr="00D44048" w14:paraId="4F365664" w14:textId="77777777" w:rsidTr="00F4450D">
        <w:trPr>
          <w:trHeight w:val="310"/>
        </w:trPr>
        <w:tc>
          <w:tcPr>
            <w:tcW w:w="3290" w:type="dxa"/>
            <w:vMerge w:val="restart"/>
            <w:shd w:val="clear" w:color="auto" w:fill="auto"/>
            <w:vAlign w:val="center"/>
            <w:hideMark/>
          </w:tcPr>
          <w:p w14:paraId="620B9A83" w14:textId="77777777" w:rsidR="005D09BE" w:rsidRPr="00D44048" w:rsidRDefault="005D09BE" w:rsidP="00F4450D">
            <w:pPr>
              <w:jc w:val="both"/>
              <w:rPr>
                <w:rFonts w:ascii="Arial" w:hAnsi="Arial" w:cs="Arial"/>
                <w:sz w:val="16"/>
                <w:szCs w:val="16"/>
              </w:rPr>
            </w:pPr>
            <w:r w:rsidRPr="00D44048">
              <w:rPr>
                <w:rFonts w:ascii="Arial" w:hAnsi="Arial" w:cs="Arial"/>
                <w:sz w:val="16"/>
                <w:szCs w:val="16"/>
              </w:rPr>
              <w:t> </w:t>
            </w:r>
          </w:p>
        </w:tc>
        <w:tc>
          <w:tcPr>
            <w:tcW w:w="2274" w:type="dxa"/>
            <w:gridSpan w:val="2"/>
            <w:shd w:val="clear" w:color="auto" w:fill="auto"/>
            <w:vAlign w:val="center"/>
            <w:hideMark/>
          </w:tcPr>
          <w:p w14:paraId="72337F6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RATIO PROFESOR</w:t>
            </w:r>
          </w:p>
        </w:tc>
        <w:tc>
          <w:tcPr>
            <w:tcW w:w="1241" w:type="dxa"/>
            <w:vMerge w:val="restart"/>
            <w:shd w:val="clear" w:color="auto" w:fill="auto"/>
            <w:vAlign w:val="center"/>
            <w:hideMark/>
          </w:tcPr>
          <w:p w14:paraId="3CABC79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SALARIOS PERSONAL</w:t>
            </w:r>
          </w:p>
        </w:tc>
        <w:tc>
          <w:tcPr>
            <w:tcW w:w="1241" w:type="dxa"/>
            <w:vMerge w:val="restart"/>
            <w:shd w:val="clear" w:color="auto" w:fill="auto"/>
            <w:vAlign w:val="center"/>
            <w:hideMark/>
          </w:tcPr>
          <w:p w14:paraId="2514F42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 MÓDULO</w:t>
            </w:r>
          </w:p>
        </w:tc>
        <w:tc>
          <w:tcPr>
            <w:tcW w:w="1241" w:type="dxa"/>
            <w:vMerge w:val="restart"/>
            <w:shd w:val="clear" w:color="auto" w:fill="auto"/>
            <w:vAlign w:val="center"/>
            <w:hideMark/>
          </w:tcPr>
          <w:p w14:paraId="2FE73F2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GASTOS VARIABLES</w:t>
            </w:r>
          </w:p>
        </w:tc>
        <w:tc>
          <w:tcPr>
            <w:tcW w:w="1241" w:type="dxa"/>
            <w:vMerge w:val="restart"/>
            <w:shd w:val="clear" w:color="auto" w:fill="auto"/>
            <w:vAlign w:val="center"/>
            <w:hideMark/>
          </w:tcPr>
          <w:p w14:paraId="556EA3D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 MÓDULO</w:t>
            </w:r>
          </w:p>
        </w:tc>
        <w:tc>
          <w:tcPr>
            <w:tcW w:w="1241" w:type="dxa"/>
            <w:vMerge w:val="restart"/>
            <w:shd w:val="clear" w:color="auto" w:fill="auto"/>
            <w:vAlign w:val="center"/>
            <w:hideMark/>
          </w:tcPr>
          <w:p w14:paraId="109065CC"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OTROS GASTOS</w:t>
            </w:r>
          </w:p>
        </w:tc>
        <w:tc>
          <w:tcPr>
            <w:tcW w:w="1241" w:type="dxa"/>
            <w:vMerge w:val="restart"/>
            <w:shd w:val="clear" w:color="auto" w:fill="auto"/>
            <w:vAlign w:val="center"/>
            <w:hideMark/>
          </w:tcPr>
          <w:p w14:paraId="0E9DEBCC"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 MÓDULO</w:t>
            </w:r>
          </w:p>
        </w:tc>
        <w:tc>
          <w:tcPr>
            <w:tcW w:w="1241" w:type="dxa"/>
            <w:vMerge w:val="restart"/>
            <w:shd w:val="clear" w:color="auto" w:fill="auto"/>
            <w:vAlign w:val="center"/>
            <w:hideMark/>
          </w:tcPr>
          <w:p w14:paraId="5B6BBCC9" w14:textId="77777777" w:rsidR="005D09BE" w:rsidRPr="00D44048" w:rsidRDefault="005D09BE" w:rsidP="00F4450D">
            <w:pPr>
              <w:jc w:val="center"/>
              <w:rPr>
                <w:rFonts w:ascii="Arial" w:hAnsi="Arial" w:cs="Arial"/>
                <w:sz w:val="16"/>
                <w:szCs w:val="16"/>
              </w:rPr>
            </w:pPr>
            <w:proofErr w:type="gramStart"/>
            <w:r w:rsidRPr="00D44048">
              <w:rPr>
                <w:rFonts w:ascii="Arial" w:hAnsi="Arial" w:cs="Arial"/>
                <w:sz w:val="16"/>
                <w:szCs w:val="16"/>
              </w:rPr>
              <w:t>TOTAL</w:t>
            </w:r>
            <w:proofErr w:type="gramEnd"/>
            <w:r w:rsidRPr="00D44048">
              <w:rPr>
                <w:rFonts w:ascii="Arial" w:hAnsi="Arial" w:cs="Arial"/>
                <w:sz w:val="16"/>
                <w:szCs w:val="16"/>
              </w:rPr>
              <w:t xml:space="preserve"> MÓDULO</w:t>
            </w:r>
          </w:p>
        </w:tc>
      </w:tr>
      <w:tr w:rsidR="005D09BE" w:rsidRPr="00D44048" w14:paraId="18FD1530" w14:textId="77777777" w:rsidTr="00F4450D">
        <w:trPr>
          <w:trHeight w:val="310"/>
        </w:trPr>
        <w:tc>
          <w:tcPr>
            <w:tcW w:w="3290" w:type="dxa"/>
            <w:vMerge/>
            <w:vAlign w:val="center"/>
            <w:hideMark/>
          </w:tcPr>
          <w:p w14:paraId="729D1F54" w14:textId="77777777" w:rsidR="005D09BE" w:rsidRPr="00D44048" w:rsidRDefault="005D09BE" w:rsidP="00F4450D">
            <w:pPr>
              <w:jc w:val="both"/>
              <w:rPr>
                <w:rFonts w:ascii="Arial" w:hAnsi="Arial" w:cs="Arial"/>
                <w:sz w:val="16"/>
                <w:szCs w:val="16"/>
              </w:rPr>
            </w:pPr>
          </w:p>
        </w:tc>
        <w:tc>
          <w:tcPr>
            <w:tcW w:w="1173" w:type="dxa"/>
            <w:shd w:val="clear" w:color="auto" w:fill="auto"/>
            <w:noWrap/>
            <w:vAlign w:val="center"/>
            <w:hideMark/>
          </w:tcPr>
          <w:p w14:paraId="10C7D40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TITULAR</w:t>
            </w:r>
          </w:p>
        </w:tc>
        <w:tc>
          <w:tcPr>
            <w:tcW w:w="1101" w:type="dxa"/>
            <w:shd w:val="clear" w:color="auto" w:fill="auto"/>
            <w:noWrap/>
            <w:vAlign w:val="center"/>
            <w:hideMark/>
          </w:tcPr>
          <w:p w14:paraId="5D1DC36B"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AGREGADO</w:t>
            </w:r>
          </w:p>
        </w:tc>
        <w:tc>
          <w:tcPr>
            <w:tcW w:w="1241" w:type="dxa"/>
            <w:vMerge/>
            <w:vAlign w:val="center"/>
            <w:hideMark/>
          </w:tcPr>
          <w:p w14:paraId="59DEC686" w14:textId="77777777" w:rsidR="005D09BE" w:rsidRPr="00D44048" w:rsidRDefault="005D09BE" w:rsidP="00F4450D">
            <w:pPr>
              <w:jc w:val="center"/>
              <w:rPr>
                <w:rFonts w:ascii="Arial" w:hAnsi="Arial" w:cs="Arial"/>
                <w:sz w:val="16"/>
                <w:szCs w:val="16"/>
              </w:rPr>
            </w:pPr>
          </w:p>
        </w:tc>
        <w:tc>
          <w:tcPr>
            <w:tcW w:w="1241" w:type="dxa"/>
            <w:vMerge/>
            <w:vAlign w:val="center"/>
            <w:hideMark/>
          </w:tcPr>
          <w:p w14:paraId="5272D6AC" w14:textId="77777777" w:rsidR="005D09BE" w:rsidRPr="00D44048" w:rsidRDefault="005D09BE" w:rsidP="00F4450D">
            <w:pPr>
              <w:jc w:val="center"/>
              <w:rPr>
                <w:rFonts w:ascii="Arial" w:hAnsi="Arial" w:cs="Arial"/>
                <w:sz w:val="16"/>
                <w:szCs w:val="16"/>
              </w:rPr>
            </w:pPr>
          </w:p>
        </w:tc>
        <w:tc>
          <w:tcPr>
            <w:tcW w:w="1241" w:type="dxa"/>
            <w:vMerge/>
            <w:vAlign w:val="center"/>
            <w:hideMark/>
          </w:tcPr>
          <w:p w14:paraId="1AA27614" w14:textId="77777777" w:rsidR="005D09BE" w:rsidRPr="00D44048" w:rsidRDefault="005D09BE" w:rsidP="00F4450D">
            <w:pPr>
              <w:jc w:val="center"/>
              <w:rPr>
                <w:rFonts w:ascii="Arial" w:hAnsi="Arial" w:cs="Arial"/>
                <w:sz w:val="16"/>
                <w:szCs w:val="16"/>
              </w:rPr>
            </w:pPr>
          </w:p>
        </w:tc>
        <w:tc>
          <w:tcPr>
            <w:tcW w:w="1241" w:type="dxa"/>
            <w:vMerge/>
            <w:vAlign w:val="center"/>
            <w:hideMark/>
          </w:tcPr>
          <w:p w14:paraId="65989ED3" w14:textId="77777777" w:rsidR="005D09BE" w:rsidRPr="00D44048" w:rsidRDefault="005D09BE" w:rsidP="00F4450D">
            <w:pPr>
              <w:jc w:val="center"/>
              <w:rPr>
                <w:rFonts w:ascii="Arial" w:hAnsi="Arial" w:cs="Arial"/>
                <w:sz w:val="16"/>
                <w:szCs w:val="16"/>
              </w:rPr>
            </w:pPr>
          </w:p>
        </w:tc>
        <w:tc>
          <w:tcPr>
            <w:tcW w:w="1241" w:type="dxa"/>
            <w:vMerge/>
            <w:vAlign w:val="center"/>
            <w:hideMark/>
          </w:tcPr>
          <w:p w14:paraId="2B120262" w14:textId="77777777" w:rsidR="005D09BE" w:rsidRPr="00D44048" w:rsidRDefault="005D09BE" w:rsidP="00F4450D">
            <w:pPr>
              <w:jc w:val="center"/>
              <w:rPr>
                <w:rFonts w:ascii="Arial" w:hAnsi="Arial" w:cs="Arial"/>
                <w:sz w:val="16"/>
                <w:szCs w:val="16"/>
              </w:rPr>
            </w:pPr>
          </w:p>
        </w:tc>
        <w:tc>
          <w:tcPr>
            <w:tcW w:w="1241" w:type="dxa"/>
            <w:vMerge/>
            <w:vAlign w:val="center"/>
            <w:hideMark/>
          </w:tcPr>
          <w:p w14:paraId="6CF23B7F" w14:textId="77777777" w:rsidR="005D09BE" w:rsidRPr="00D44048" w:rsidRDefault="005D09BE" w:rsidP="00F4450D">
            <w:pPr>
              <w:jc w:val="center"/>
              <w:rPr>
                <w:rFonts w:ascii="Arial" w:hAnsi="Arial" w:cs="Arial"/>
                <w:sz w:val="16"/>
                <w:szCs w:val="16"/>
              </w:rPr>
            </w:pPr>
          </w:p>
        </w:tc>
        <w:tc>
          <w:tcPr>
            <w:tcW w:w="1241" w:type="dxa"/>
            <w:vMerge/>
            <w:vAlign w:val="center"/>
            <w:hideMark/>
          </w:tcPr>
          <w:p w14:paraId="23E1656F" w14:textId="77777777" w:rsidR="005D09BE" w:rsidRPr="00D44048" w:rsidRDefault="005D09BE" w:rsidP="00F4450D">
            <w:pPr>
              <w:jc w:val="center"/>
              <w:rPr>
                <w:rFonts w:ascii="Arial" w:hAnsi="Arial" w:cs="Arial"/>
                <w:sz w:val="16"/>
                <w:szCs w:val="16"/>
              </w:rPr>
            </w:pPr>
          </w:p>
        </w:tc>
      </w:tr>
      <w:tr w:rsidR="005D09BE" w:rsidRPr="00D44048" w14:paraId="254AAB32" w14:textId="77777777" w:rsidTr="00F4450D">
        <w:trPr>
          <w:trHeight w:val="310"/>
        </w:trPr>
        <w:tc>
          <w:tcPr>
            <w:tcW w:w="3290" w:type="dxa"/>
            <w:shd w:val="clear" w:color="auto" w:fill="auto"/>
            <w:vAlign w:val="center"/>
            <w:hideMark/>
          </w:tcPr>
          <w:p w14:paraId="40229F50" w14:textId="77777777" w:rsidR="005D09BE" w:rsidRPr="00D44048" w:rsidRDefault="005D09BE" w:rsidP="00F4450D">
            <w:pPr>
              <w:jc w:val="both"/>
              <w:rPr>
                <w:rFonts w:ascii="Arial" w:hAnsi="Arial" w:cs="Arial"/>
                <w:sz w:val="16"/>
                <w:szCs w:val="16"/>
              </w:rPr>
            </w:pPr>
            <w:r w:rsidRPr="00D44048">
              <w:rPr>
                <w:rFonts w:ascii="Arial" w:hAnsi="Arial" w:cs="Arial"/>
                <w:sz w:val="16"/>
                <w:szCs w:val="16"/>
              </w:rPr>
              <w:t>2º CICLO DE INFANTIL</w:t>
            </w:r>
          </w:p>
        </w:tc>
        <w:tc>
          <w:tcPr>
            <w:tcW w:w="1173" w:type="dxa"/>
            <w:shd w:val="clear" w:color="auto" w:fill="auto"/>
            <w:noWrap/>
            <w:vAlign w:val="center"/>
            <w:hideMark/>
          </w:tcPr>
          <w:p w14:paraId="0B46A7D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1,217</w:t>
            </w:r>
          </w:p>
        </w:tc>
        <w:tc>
          <w:tcPr>
            <w:tcW w:w="1101" w:type="dxa"/>
            <w:shd w:val="clear" w:color="auto" w:fill="auto"/>
            <w:noWrap/>
            <w:vAlign w:val="center"/>
            <w:hideMark/>
          </w:tcPr>
          <w:p w14:paraId="30A1AC89" w14:textId="77777777" w:rsidR="005D09BE" w:rsidRPr="00D44048" w:rsidRDefault="005D09BE" w:rsidP="00F4450D">
            <w:pPr>
              <w:jc w:val="center"/>
              <w:rPr>
                <w:rFonts w:ascii="Arial" w:hAnsi="Arial" w:cs="Arial"/>
                <w:sz w:val="16"/>
                <w:szCs w:val="16"/>
              </w:rPr>
            </w:pPr>
            <w:r w:rsidRPr="00D44048">
              <w:rPr>
                <w:rFonts w:ascii="Arial" w:hAnsi="Arial" w:cs="Arial"/>
                <w:w w:val="99"/>
                <w:sz w:val="16"/>
                <w:szCs w:val="16"/>
              </w:rPr>
              <w:t>0</w:t>
            </w:r>
          </w:p>
        </w:tc>
        <w:tc>
          <w:tcPr>
            <w:tcW w:w="1241" w:type="dxa"/>
            <w:shd w:val="clear" w:color="auto" w:fill="auto"/>
            <w:noWrap/>
            <w:vAlign w:val="center"/>
            <w:hideMark/>
          </w:tcPr>
          <w:p w14:paraId="4564DDE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52.432,37</w:t>
            </w:r>
          </w:p>
        </w:tc>
        <w:tc>
          <w:tcPr>
            <w:tcW w:w="1241" w:type="dxa"/>
            <w:shd w:val="clear" w:color="auto" w:fill="auto"/>
            <w:noWrap/>
            <w:vAlign w:val="center"/>
            <w:hideMark/>
          </w:tcPr>
          <w:p w14:paraId="49A1FAD3"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71,39</w:t>
            </w:r>
          </w:p>
        </w:tc>
        <w:tc>
          <w:tcPr>
            <w:tcW w:w="1241" w:type="dxa"/>
            <w:shd w:val="clear" w:color="auto" w:fill="auto"/>
            <w:noWrap/>
            <w:vAlign w:val="center"/>
            <w:hideMark/>
          </w:tcPr>
          <w:p w14:paraId="66205FEB"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9.320,70</w:t>
            </w:r>
          </w:p>
        </w:tc>
        <w:tc>
          <w:tcPr>
            <w:tcW w:w="1241" w:type="dxa"/>
            <w:shd w:val="clear" w:color="auto" w:fill="auto"/>
            <w:noWrap/>
            <w:vAlign w:val="center"/>
            <w:hideMark/>
          </w:tcPr>
          <w:p w14:paraId="030CB076"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12,69</w:t>
            </w:r>
          </w:p>
        </w:tc>
        <w:tc>
          <w:tcPr>
            <w:tcW w:w="1241" w:type="dxa"/>
            <w:shd w:val="clear" w:color="auto" w:fill="auto"/>
            <w:noWrap/>
            <w:vAlign w:val="center"/>
            <w:hideMark/>
          </w:tcPr>
          <w:p w14:paraId="18DA5C8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11.690,27</w:t>
            </w:r>
          </w:p>
        </w:tc>
        <w:tc>
          <w:tcPr>
            <w:tcW w:w="1241" w:type="dxa"/>
            <w:shd w:val="clear" w:color="auto" w:fill="auto"/>
            <w:noWrap/>
            <w:vAlign w:val="center"/>
            <w:hideMark/>
          </w:tcPr>
          <w:p w14:paraId="0C1CBA0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15,92</w:t>
            </w:r>
          </w:p>
        </w:tc>
        <w:tc>
          <w:tcPr>
            <w:tcW w:w="1241" w:type="dxa"/>
            <w:shd w:val="clear" w:color="auto" w:fill="auto"/>
            <w:noWrap/>
            <w:vAlign w:val="center"/>
            <w:hideMark/>
          </w:tcPr>
          <w:p w14:paraId="451A841A"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73.443,34</w:t>
            </w:r>
          </w:p>
        </w:tc>
      </w:tr>
      <w:tr w:rsidR="005D09BE" w:rsidRPr="00D44048" w14:paraId="54A949A3" w14:textId="77777777" w:rsidTr="00F4450D">
        <w:trPr>
          <w:trHeight w:val="310"/>
        </w:trPr>
        <w:tc>
          <w:tcPr>
            <w:tcW w:w="3290" w:type="dxa"/>
            <w:shd w:val="clear" w:color="auto" w:fill="auto"/>
            <w:vAlign w:val="center"/>
            <w:hideMark/>
          </w:tcPr>
          <w:p w14:paraId="3C965729" w14:textId="77777777" w:rsidR="005D09BE" w:rsidRPr="00D44048" w:rsidRDefault="005D09BE" w:rsidP="00F4450D">
            <w:pPr>
              <w:jc w:val="both"/>
              <w:rPr>
                <w:rFonts w:ascii="Arial" w:hAnsi="Arial" w:cs="Arial"/>
                <w:sz w:val="16"/>
                <w:szCs w:val="16"/>
              </w:rPr>
            </w:pPr>
            <w:r w:rsidRPr="00D44048">
              <w:rPr>
                <w:rFonts w:ascii="Arial" w:hAnsi="Arial" w:cs="Arial"/>
                <w:sz w:val="16"/>
                <w:szCs w:val="16"/>
              </w:rPr>
              <w:t>EDUCACIÓN PRIMARIA</w:t>
            </w:r>
          </w:p>
        </w:tc>
        <w:tc>
          <w:tcPr>
            <w:tcW w:w="1173" w:type="dxa"/>
            <w:shd w:val="clear" w:color="auto" w:fill="auto"/>
            <w:noWrap/>
            <w:vAlign w:val="center"/>
            <w:hideMark/>
          </w:tcPr>
          <w:p w14:paraId="6E9A89F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1,391</w:t>
            </w:r>
          </w:p>
        </w:tc>
        <w:tc>
          <w:tcPr>
            <w:tcW w:w="1101" w:type="dxa"/>
            <w:shd w:val="clear" w:color="auto" w:fill="auto"/>
            <w:noWrap/>
            <w:vAlign w:val="center"/>
            <w:hideMark/>
          </w:tcPr>
          <w:p w14:paraId="39ACEE21" w14:textId="77777777" w:rsidR="005D09BE" w:rsidRPr="00D44048" w:rsidRDefault="005D09BE" w:rsidP="00F4450D">
            <w:pPr>
              <w:jc w:val="center"/>
              <w:rPr>
                <w:rFonts w:ascii="Arial" w:hAnsi="Arial" w:cs="Arial"/>
                <w:sz w:val="16"/>
                <w:szCs w:val="16"/>
              </w:rPr>
            </w:pPr>
            <w:r w:rsidRPr="00D44048">
              <w:rPr>
                <w:rFonts w:ascii="Arial" w:hAnsi="Arial" w:cs="Arial"/>
                <w:w w:val="99"/>
                <w:sz w:val="16"/>
                <w:szCs w:val="16"/>
              </w:rPr>
              <w:t>0</w:t>
            </w:r>
          </w:p>
        </w:tc>
        <w:tc>
          <w:tcPr>
            <w:tcW w:w="1241" w:type="dxa"/>
            <w:shd w:val="clear" w:color="auto" w:fill="auto"/>
            <w:noWrap/>
            <w:vAlign w:val="center"/>
            <w:hideMark/>
          </w:tcPr>
          <w:p w14:paraId="3A38307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59.928,86</w:t>
            </w:r>
          </w:p>
        </w:tc>
        <w:tc>
          <w:tcPr>
            <w:tcW w:w="1241" w:type="dxa"/>
            <w:shd w:val="clear" w:color="auto" w:fill="auto"/>
            <w:noWrap/>
            <w:vAlign w:val="center"/>
            <w:hideMark/>
          </w:tcPr>
          <w:p w14:paraId="18A751B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70,50</w:t>
            </w:r>
          </w:p>
        </w:tc>
        <w:tc>
          <w:tcPr>
            <w:tcW w:w="1241" w:type="dxa"/>
            <w:shd w:val="clear" w:color="auto" w:fill="auto"/>
            <w:noWrap/>
            <w:vAlign w:val="center"/>
            <w:hideMark/>
          </w:tcPr>
          <w:p w14:paraId="65F5C9B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12.688,78</w:t>
            </w:r>
          </w:p>
        </w:tc>
        <w:tc>
          <w:tcPr>
            <w:tcW w:w="1241" w:type="dxa"/>
            <w:shd w:val="clear" w:color="auto" w:fill="auto"/>
            <w:noWrap/>
            <w:vAlign w:val="center"/>
            <w:hideMark/>
          </w:tcPr>
          <w:p w14:paraId="214775B3"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14,93</w:t>
            </w:r>
          </w:p>
        </w:tc>
        <w:tc>
          <w:tcPr>
            <w:tcW w:w="1241" w:type="dxa"/>
            <w:shd w:val="clear" w:color="auto" w:fill="auto"/>
            <w:noWrap/>
            <w:vAlign w:val="center"/>
            <w:hideMark/>
          </w:tcPr>
          <w:p w14:paraId="4D7B2B2B"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12.391,79</w:t>
            </w:r>
          </w:p>
        </w:tc>
        <w:tc>
          <w:tcPr>
            <w:tcW w:w="1241" w:type="dxa"/>
            <w:shd w:val="clear" w:color="auto" w:fill="auto"/>
            <w:noWrap/>
            <w:vAlign w:val="center"/>
            <w:hideMark/>
          </w:tcPr>
          <w:p w14:paraId="0933F3FB"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14,57</w:t>
            </w:r>
          </w:p>
        </w:tc>
        <w:tc>
          <w:tcPr>
            <w:tcW w:w="1241" w:type="dxa"/>
            <w:shd w:val="clear" w:color="auto" w:fill="auto"/>
            <w:noWrap/>
            <w:vAlign w:val="center"/>
            <w:hideMark/>
          </w:tcPr>
          <w:p w14:paraId="2923921E"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85.009,43</w:t>
            </w:r>
          </w:p>
        </w:tc>
      </w:tr>
      <w:tr w:rsidR="005D09BE" w:rsidRPr="00D44048" w14:paraId="5BA301EC" w14:textId="77777777" w:rsidTr="00F4450D">
        <w:trPr>
          <w:trHeight w:val="458"/>
        </w:trPr>
        <w:tc>
          <w:tcPr>
            <w:tcW w:w="3290" w:type="dxa"/>
            <w:shd w:val="clear" w:color="auto" w:fill="auto"/>
            <w:vAlign w:val="center"/>
            <w:hideMark/>
          </w:tcPr>
          <w:p w14:paraId="7D7AC9A7" w14:textId="77777777" w:rsidR="005D09BE" w:rsidRPr="00D44048" w:rsidRDefault="005D09BE" w:rsidP="00F4450D">
            <w:pPr>
              <w:jc w:val="both"/>
              <w:rPr>
                <w:rFonts w:ascii="Arial" w:hAnsi="Arial" w:cs="Arial"/>
                <w:sz w:val="16"/>
                <w:szCs w:val="16"/>
              </w:rPr>
            </w:pPr>
            <w:r w:rsidRPr="00D44048">
              <w:rPr>
                <w:rFonts w:ascii="Arial" w:hAnsi="Arial" w:cs="Arial"/>
                <w:sz w:val="16"/>
                <w:szCs w:val="16"/>
              </w:rPr>
              <w:t>E.S.O. PRIMER Y SEGUNDO CURSO</w:t>
            </w:r>
          </w:p>
        </w:tc>
        <w:tc>
          <w:tcPr>
            <w:tcW w:w="1173" w:type="dxa"/>
            <w:shd w:val="clear" w:color="auto" w:fill="auto"/>
            <w:noWrap/>
            <w:vAlign w:val="center"/>
            <w:hideMark/>
          </w:tcPr>
          <w:p w14:paraId="6A970AE5"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1,652</w:t>
            </w:r>
          </w:p>
        </w:tc>
        <w:tc>
          <w:tcPr>
            <w:tcW w:w="1101" w:type="dxa"/>
            <w:shd w:val="clear" w:color="auto" w:fill="auto"/>
            <w:noWrap/>
            <w:vAlign w:val="center"/>
            <w:hideMark/>
          </w:tcPr>
          <w:p w14:paraId="3F89DD84" w14:textId="77777777" w:rsidR="005D09BE" w:rsidRPr="00D44048" w:rsidRDefault="005D09BE" w:rsidP="00F4450D">
            <w:pPr>
              <w:jc w:val="center"/>
              <w:rPr>
                <w:rFonts w:ascii="Arial" w:hAnsi="Arial" w:cs="Arial"/>
                <w:sz w:val="16"/>
                <w:szCs w:val="16"/>
              </w:rPr>
            </w:pPr>
            <w:r w:rsidRPr="00D44048">
              <w:rPr>
                <w:rFonts w:ascii="Arial" w:hAnsi="Arial" w:cs="Arial"/>
                <w:w w:val="99"/>
                <w:sz w:val="16"/>
                <w:szCs w:val="16"/>
              </w:rPr>
              <w:t>0</w:t>
            </w:r>
          </w:p>
        </w:tc>
        <w:tc>
          <w:tcPr>
            <w:tcW w:w="1241" w:type="dxa"/>
            <w:shd w:val="clear" w:color="auto" w:fill="auto"/>
            <w:noWrap/>
            <w:vAlign w:val="center"/>
            <w:hideMark/>
          </w:tcPr>
          <w:p w14:paraId="2703E12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75.276,90</w:t>
            </w:r>
          </w:p>
        </w:tc>
        <w:tc>
          <w:tcPr>
            <w:tcW w:w="1241" w:type="dxa"/>
            <w:shd w:val="clear" w:color="auto" w:fill="auto"/>
            <w:noWrap/>
            <w:vAlign w:val="center"/>
            <w:hideMark/>
          </w:tcPr>
          <w:p w14:paraId="5AE0701A"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72,83</w:t>
            </w:r>
          </w:p>
        </w:tc>
        <w:tc>
          <w:tcPr>
            <w:tcW w:w="1241" w:type="dxa"/>
            <w:shd w:val="clear" w:color="auto" w:fill="auto"/>
            <w:noWrap/>
            <w:vAlign w:val="center"/>
            <w:hideMark/>
          </w:tcPr>
          <w:p w14:paraId="6F39695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13.395,16</w:t>
            </w:r>
          </w:p>
        </w:tc>
        <w:tc>
          <w:tcPr>
            <w:tcW w:w="1241" w:type="dxa"/>
            <w:shd w:val="clear" w:color="auto" w:fill="auto"/>
            <w:noWrap/>
            <w:vAlign w:val="center"/>
            <w:hideMark/>
          </w:tcPr>
          <w:p w14:paraId="088BFF6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12,96</w:t>
            </w:r>
          </w:p>
        </w:tc>
        <w:tc>
          <w:tcPr>
            <w:tcW w:w="1241" w:type="dxa"/>
            <w:shd w:val="clear" w:color="auto" w:fill="auto"/>
            <w:noWrap/>
            <w:vAlign w:val="center"/>
            <w:hideMark/>
          </w:tcPr>
          <w:p w14:paraId="7DD224E6"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14.687,51</w:t>
            </w:r>
          </w:p>
        </w:tc>
        <w:tc>
          <w:tcPr>
            <w:tcW w:w="1241" w:type="dxa"/>
            <w:shd w:val="clear" w:color="auto" w:fill="auto"/>
            <w:noWrap/>
            <w:vAlign w:val="center"/>
            <w:hideMark/>
          </w:tcPr>
          <w:p w14:paraId="01DE8FE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14,21</w:t>
            </w:r>
          </w:p>
        </w:tc>
        <w:tc>
          <w:tcPr>
            <w:tcW w:w="1241" w:type="dxa"/>
            <w:shd w:val="clear" w:color="auto" w:fill="auto"/>
            <w:noWrap/>
            <w:vAlign w:val="center"/>
            <w:hideMark/>
          </w:tcPr>
          <w:p w14:paraId="52427C2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103.359,57</w:t>
            </w:r>
          </w:p>
        </w:tc>
      </w:tr>
      <w:tr w:rsidR="005D09BE" w:rsidRPr="00D44048" w14:paraId="4099FB14" w14:textId="77777777" w:rsidTr="00F4450D">
        <w:trPr>
          <w:trHeight w:val="458"/>
        </w:trPr>
        <w:tc>
          <w:tcPr>
            <w:tcW w:w="3290" w:type="dxa"/>
            <w:shd w:val="clear" w:color="auto" w:fill="auto"/>
            <w:vAlign w:val="center"/>
            <w:hideMark/>
          </w:tcPr>
          <w:p w14:paraId="178DAC54" w14:textId="77777777" w:rsidR="005D09BE" w:rsidRPr="00D44048" w:rsidRDefault="005D09BE" w:rsidP="00F4450D">
            <w:pPr>
              <w:jc w:val="both"/>
              <w:rPr>
                <w:rFonts w:ascii="Arial" w:hAnsi="Arial" w:cs="Arial"/>
                <w:sz w:val="16"/>
                <w:szCs w:val="16"/>
              </w:rPr>
            </w:pPr>
            <w:r w:rsidRPr="00D44048">
              <w:rPr>
                <w:rFonts w:ascii="Arial" w:hAnsi="Arial" w:cs="Arial"/>
                <w:sz w:val="16"/>
                <w:szCs w:val="16"/>
              </w:rPr>
              <w:t>E.S.O. TERCER Y CUARTO CURSO</w:t>
            </w:r>
          </w:p>
        </w:tc>
        <w:tc>
          <w:tcPr>
            <w:tcW w:w="1173" w:type="dxa"/>
            <w:shd w:val="clear" w:color="auto" w:fill="auto"/>
            <w:noWrap/>
            <w:vAlign w:val="center"/>
            <w:hideMark/>
          </w:tcPr>
          <w:p w14:paraId="3118D414"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1,728</w:t>
            </w:r>
          </w:p>
        </w:tc>
        <w:tc>
          <w:tcPr>
            <w:tcW w:w="1101" w:type="dxa"/>
            <w:shd w:val="clear" w:color="auto" w:fill="auto"/>
            <w:noWrap/>
            <w:vAlign w:val="center"/>
            <w:hideMark/>
          </w:tcPr>
          <w:p w14:paraId="208CDAA2" w14:textId="77777777" w:rsidR="005D09BE" w:rsidRPr="00D44048" w:rsidRDefault="005D09BE" w:rsidP="00F4450D">
            <w:pPr>
              <w:jc w:val="center"/>
              <w:rPr>
                <w:rFonts w:ascii="Arial" w:hAnsi="Arial" w:cs="Arial"/>
                <w:sz w:val="16"/>
                <w:szCs w:val="16"/>
              </w:rPr>
            </w:pPr>
            <w:r w:rsidRPr="00D44048">
              <w:rPr>
                <w:rFonts w:ascii="Arial" w:hAnsi="Arial" w:cs="Arial"/>
                <w:w w:val="99"/>
                <w:sz w:val="16"/>
                <w:szCs w:val="16"/>
              </w:rPr>
              <w:t>0</w:t>
            </w:r>
          </w:p>
        </w:tc>
        <w:tc>
          <w:tcPr>
            <w:tcW w:w="1241" w:type="dxa"/>
            <w:shd w:val="clear" w:color="auto" w:fill="auto"/>
            <w:noWrap/>
            <w:vAlign w:val="center"/>
            <w:hideMark/>
          </w:tcPr>
          <w:p w14:paraId="56AC4AB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85.552,46</w:t>
            </w:r>
          </w:p>
        </w:tc>
        <w:tc>
          <w:tcPr>
            <w:tcW w:w="1241" w:type="dxa"/>
            <w:shd w:val="clear" w:color="auto" w:fill="auto"/>
            <w:noWrap/>
            <w:vAlign w:val="center"/>
            <w:hideMark/>
          </w:tcPr>
          <w:p w14:paraId="2ABC6FA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72,69</w:t>
            </w:r>
          </w:p>
        </w:tc>
        <w:tc>
          <w:tcPr>
            <w:tcW w:w="1241" w:type="dxa"/>
            <w:shd w:val="clear" w:color="auto" w:fill="auto"/>
            <w:noWrap/>
            <w:vAlign w:val="center"/>
            <w:hideMark/>
          </w:tcPr>
          <w:p w14:paraId="1A154E7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15.649,17</w:t>
            </w:r>
          </w:p>
        </w:tc>
        <w:tc>
          <w:tcPr>
            <w:tcW w:w="1241" w:type="dxa"/>
            <w:shd w:val="clear" w:color="auto" w:fill="auto"/>
            <w:noWrap/>
            <w:vAlign w:val="center"/>
            <w:hideMark/>
          </w:tcPr>
          <w:p w14:paraId="3E6EEB9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13,30</w:t>
            </w:r>
          </w:p>
        </w:tc>
        <w:tc>
          <w:tcPr>
            <w:tcW w:w="1241" w:type="dxa"/>
            <w:shd w:val="clear" w:color="auto" w:fill="auto"/>
            <w:noWrap/>
            <w:vAlign w:val="center"/>
            <w:hideMark/>
          </w:tcPr>
          <w:p w14:paraId="404FDB1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16.486,26</w:t>
            </w:r>
          </w:p>
        </w:tc>
        <w:tc>
          <w:tcPr>
            <w:tcW w:w="1241" w:type="dxa"/>
            <w:shd w:val="clear" w:color="auto" w:fill="auto"/>
            <w:noWrap/>
            <w:vAlign w:val="center"/>
            <w:hideMark/>
          </w:tcPr>
          <w:p w14:paraId="5294CAC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14,01</w:t>
            </w:r>
          </w:p>
        </w:tc>
        <w:tc>
          <w:tcPr>
            <w:tcW w:w="1241" w:type="dxa"/>
            <w:shd w:val="clear" w:color="auto" w:fill="auto"/>
            <w:noWrap/>
            <w:vAlign w:val="center"/>
            <w:hideMark/>
          </w:tcPr>
          <w:p w14:paraId="31345B2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117.687,89</w:t>
            </w:r>
          </w:p>
        </w:tc>
      </w:tr>
      <w:tr w:rsidR="005D09BE" w:rsidRPr="00D44048" w14:paraId="16CE2FD1" w14:textId="77777777" w:rsidTr="00F4450D">
        <w:trPr>
          <w:trHeight w:val="458"/>
        </w:trPr>
        <w:tc>
          <w:tcPr>
            <w:tcW w:w="3290" w:type="dxa"/>
            <w:shd w:val="clear" w:color="auto" w:fill="auto"/>
            <w:vAlign w:val="center"/>
            <w:hideMark/>
          </w:tcPr>
          <w:p w14:paraId="6E41F72B" w14:textId="77777777" w:rsidR="005D09BE" w:rsidRPr="00D44048" w:rsidRDefault="005D09BE" w:rsidP="00F4450D">
            <w:pPr>
              <w:jc w:val="both"/>
              <w:rPr>
                <w:rFonts w:ascii="Arial" w:hAnsi="Arial" w:cs="Arial"/>
                <w:sz w:val="16"/>
                <w:szCs w:val="16"/>
              </w:rPr>
            </w:pPr>
            <w:r w:rsidRPr="00D44048">
              <w:rPr>
                <w:rFonts w:ascii="Arial" w:hAnsi="Arial" w:cs="Arial"/>
                <w:sz w:val="16"/>
                <w:szCs w:val="16"/>
              </w:rPr>
              <w:t>E.S.O. PMAR. Y DIVERSIFICACIÓN CURRICULAR</w:t>
            </w:r>
          </w:p>
        </w:tc>
        <w:tc>
          <w:tcPr>
            <w:tcW w:w="1173" w:type="dxa"/>
            <w:shd w:val="clear" w:color="auto" w:fill="auto"/>
            <w:noWrap/>
            <w:vAlign w:val="center"/>
            <w:hideMark/>
          </w:tcPr>
          <w:p w14:paraId="73B422B5"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1,391</w:t>
            </w:r>
          </w:p>
        </w:tc>
        <w:tc>
          <w:tcPr>
            <w:tcW w:w="1101" w:type="dxa"/>
            <w:shd w:val="clear" w:color="auto" w:fill="auto"/>
            <w:noWrap/>
            <w:vAlign w:val="center"/>
            <w:hideMark/>
          </w:tcPr>
          <w:p w14:paraId="60A45DC8" w14:textId="77777777" w:rsidR="005D09BE" w:rsidRPr="00D44048" w:rsidRDefault="005D09BE" w:rsidP="00F4450D">
            <w:pPr>
              <w:jc w:val="center"/>
              <w:rPr>
                <w:rFonts w:ascii="Arial" w:hAnsi="Arial" w:cs="Arial"/>
                <w:sz w:val="16"/>
                <w:szCs w:val="16"/>
              </w:rPr>
            </w:pPr>
            <w:r w:rsidRPr="00D44048">
              <w:rPr>
                <w:rFonts w:ascii="Arial" w:hAnsi="Arial" w:cs="Arial"/>
                <w:w w:val="99"/>
                <w:sz w:val="16"/>
                <w:szCs w:val="16"/>
              </w:rPr>
              <w:t>0</w:t>
            </w:r>
          </w:p>
        </w:tc>
        <w:tc>
          <w:tcPr>
            <w:tcW w:w="1241" w:type="dxa"/>
            <w:shd w:val="clear" w:color="auto" w:fill="auto"/>
            <w:noWrap/>
            <w:vAlign w:val="center"/>
            <w:hideMark/>
          </w:tcPr>
          <w:p w14:paraId="1CAEAE6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68.867,75</w:t>
            </w:r>
          </w:p>
        </w:tc>
        <w:tc>
          <w:tcPr>
            <w:tcW w:w="1241" w:type="dxa"/>
            <w:shd w:val="clear" w:color="auto" w:fill="auto"/>
            <w:noWrap/>
            <w:vAlign w:val="center"/>
            <w:hideMark/>
          </w:tcPr>
          <w:p w14:paraId="7464883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70,19</w:t>
            </w:r>
          </w:p>
        </w:tc>
        <w:tc>
          <w:tcPr>
            <w:tcW w:w="1241" w:type="dxa"/>
            <w:shd w:val="clear" w:color="auto" w:fill="auto"/>
            <w:noWrap/>
            <w:vAlign w:val="center"/>
            <w:hideMark/>
          </w:tcPr>
          <w:p w14:paraId="4FCAA30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12.761,48</w:t>
            </w:r>
          </w:p>
        </w:tc>
        <w:tc>
          <w:tcPr>
            <w:tcW w:w="1241" w:type="dxa"/>
            <w:shd w:val="clear" w:color="auto" w:fill="auto"/>
            <w:noWrap/>
            <w:vAlign w:val="center"/>
            <w:hideMark/>
          </w:tcPr>
          <w:p w14:paraId="2BDD704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13,01</w:t>
            </w:r>
          </w:p>
        </w:tc>
        <w:tc>
          <w:tcPr>
            <w:tcW w:w="1241" w:type="dxa"/>
            <w:shd w:val="clear" w:color="auto" w:fill="auto"/>
            <w:noWrap/>
            <w:vAlign w:val="center"/>
            <w:hideMark/>
          </w:tcPr>
          <w:p w14:paraId="69283B3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16.486,26</w:t>
            </w:r>
          </w:p>
        </w:tc>
        <w:tc>
          <w:tcPr>
            <w:tcW w:w="1241" w:type="dxa"/>
            <w:shd w:val="clear" w:color="auto" w:fill="auto"/>
            <w:noWrap/>
            <w:vAlign w:val="center"/>
            <w:hideMark/>
          </w:tcPr>
          <w:p w14:paraId="477573E4"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16,80</w:t>
            </w:r>
          </w:p>
        </w:tc>
        <w:tc>
          <w:tcPr>
            <w:tcW w:w="1241" w:type="dxa"/>
            <w:shd w:val="clear" w:color="auto" w:fill="auto"/>
            <w:noWrap/>
            <w:vAlign w:val="center"/>
            <w:hideMark/>
          </w:tcPr>
          <w:p w14:paraId="7FEBDEC5"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98.115,49</w:t>
            </w:r>
          </w:p>
        </w:tc>
      </w:tr>
      <w:tr w:rsidR="005D09BE" w:rsidRPr="00D44048" w14:paraId="2FBB903D" w14:textId="77777777" w:rsidTr="00F4450D">
        <w:trPr>
          <w:trHeight w:val="458"/>
        </w:trPr>
        <w:tc>
          <w:tcPr>
            <w:tcW w:w="3290" w:type="dxa"/>
            <w:shd w:val="clear" w:color="auto" w:fill="auto"/>
            <w:vAlign w:val="center"/>
            <w:hideMark/>
          </w:tcPr>
          <w:p w14:paraId="7F0D2F53" w14:textId="553BA88C" w:rsidR="005D09BE" w:rsidRPr="00D44048" w:rsidRDefault="005D09BE" w:rsidP="00F4450D">
            <w:pPr>
              <w:jc w:val="both"/>
              <w:rPr>
                <w:rFonts w:ascii="Arial" w:hAnsi="Arial" w:cs="Arial"/>
                <w:sz w:val="16"/>
                <w:szCs w:val="16"/>
              </w:rPr>
            </w:pPr>
            <w:r w:rsidRPr="00D44048">
              <w:rPr>
                <w:rFonts w:ascii="Arial" w:hAnsi="Arial" w:cs="Arial"/>
                <w:sz w:val="16"/>
                <w:szCs w:val="16"/>
              </w:rPr>
              <w:t>E.S.O. PROGRAMA CURR</w:t>
            </w:r>
            <w:r w:rsidR="00E610A7">
              <w:rPr>
                <w:rFonts w:ascii="Arial" w:hAnsi="Arial" w:cs="Arial"/>
                <w:sz w:val="16"/>
                <w:szCs w:val="16"/>
              </w:rPr>
              <w:t>Í</w:t>
            </w:r>
            <w:r w:rsidRPr="00D44048">
              <w:rPr>
                <w:rFonts w:ascii="Arial" w:hAnsi="Arial" w:cs="Arial"/>
                <w:sz w:val="16"/>
                <w:szCs w:val="16"/>
              </w:rPr>
              <w:t>CULO ADAPTADO</w:t>
            </w:r>
          </w:p>
        </w:tc>
        <w:tc>
          <w:tcPr>
            <w:tcW w:w="1173" w:type="dxa"/>
            <w:shd w:val="clear" w:color="auto" w:fill="auto"/>
            <w:noWrap/>
            <w:vAlign w:val="center"/>
            <w:hideMark/>
          </w:tcPr>
          <w:p w14:paraId="37DD9184"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0,957</w:t>
            </w:r>
          </w:p>
        </w:tc>
        <w:tc>
          <w:tcPr>
            <w:tcW w:w="1101" w:type="dxa"/>
            <w:shd w:val="clear" w:color="auto" w:fill="auto"/>
            <w:noWrap/>
            <w:vAlign w:val="center"/>
            <w:hideMark/>
          </w:tcPr>
          <w:p w14:paraId="4A24534A"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0,652</w:t>
            </w:r>
          </w:p>
        </w:tc>
        <w:tc>
          <w:tcPr>
            <w:tcW w:w="1241" w:type="dxa"/>
            <w:shd w:val="clear" w:color="auto" w:fill="auto"/>
            <w:noWrap/>
            <w:vAlign w:val="center"/>
            <w:hideMark/>
          </w:tcPr>
          <w:p w14:paraId="6E9C0BA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76.915,41</w:t>
            </w:r>
          </w:p>
        </w:tc>
        <w:tc>
          <w:tcPr>
            <w:tcW w:w="1241" w:type="dxa"/>
            <w:shd w:val="clear" w:color="auto" w:fill="auto"/>
            <w:noWrap/>
            <w:vAlign w:val="center"/>
            <w:hideMark/>
          </w:tcPr>
          <w:p w14:paraId="73781AB3"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70,91</w:t>
            </w:r>
          </w:p>
        </w:tc>
        <w:tc>
          <w:tcPr>
            <w:tcW w:w="1241" w:type="dxa"/>
            <w:shd w:val="clear" w:color="auto" w:fill="auto"/>
            <w:noWrap/>
            <w:vAlign w:val="center"/>
            <w:hideMark/>
          </w:tcPr>
          <w:p w14:paraId="61A529CE"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15.065,63</w:t>
            </w:r>
          </w:p>
        </w:tc>
        <w:tc>
          <w:tcPr>
            <w:tcW w:w="1241" w:type="dxa"/>
            <w:shd w:val="clear" w:color="auto" w:fill="auto"/>
            <w:noWrap/>
            <w:vAlign w:val="center"/>
            <w:hideMark/>
          </w:tcPr>
          <w:p w14:paraId="1841A984"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13,89</w:t>
            </w:r>
          </w:p>
        </w:tc>
        <w:tc>
          <w:tcPr>
            <w:tcW w:w="1241" w:type="dxa"/>
            <w:shd w:val="clear" w:color="auto" w:fill="auto"/>
            <w:noWrap/>
            <w:vAlign w:val="center"/>
            <w:hideMark/>
          </w:tcPr>
          <w:p w14:paraId="2A10F316"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16.486,26</w:t>
            </w:r>
          </w:p>
        </w:tc>
        <w:tc>
          <w:tcPr>
            <w:tcW w:w="1241" w:type="dxa"/>
            <w:shd w:val="clear" w:color="auto" w:fill="auto"/>
            <w:noWrap/>
            <w:vAlign w:val="center"/>
            <w:hideMark/>
          </w:tcPr>
          <w:p w14:paraId="674A6D6E"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15,20</w:t>
            </w:r>
          </w:p>
        </w:tc>
        <w:tc>
          <w:tcPr>
            <w:tcW w:w="1241" w:type="dxa"/>
            <w:shd w:val="clear" w:color="auto" w:fill="auto"/>
            <w:noWrap/>
            <w:vAlign w:val="center"/>
            <w:hideMark/>
          </w:tcPr>
          <w:p w14:paraId="2D54F805"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108.467,30</w:t>
            </w:r>
          </w:p>
        </w:tc>
      </w:tr>
      <w:tr w:rsidR="005D09BE" w:rsidRPr="00D44048" w14:paraId="4094ED28" w14:textId="77777777" w:rsidTr="00F4450D">
        <w:trPr>
          <w:trHeight w:val="310"/>
        </w:trPr>
        <w:tc>
          <w:tcPr>
            <w:tcW w:w="3290" w:type="dxa"/>
            <w:shd w:val="clear" w:color="auto" w:fill="auto"/>
            <w:vAlign w:val="center"/>
            <w:hideMark/>
          </w:tcPr>
          <w:p w14:paraId="49994562" w14:textId="77777777" w:rsidR="005D09BE" w:rsidRPr="00D44048" w:rsidRDefault="005D09BE" w:rsidP="00F4450D">
            <w:pPr>
              <w:jc w:val="both"/>
              <w:rPr>
                <w:rFonts w:ascii="Arial" w:hAnsi="Arial" w:cs="Arial"/>
                <w:sz w:val="16"/>
                <w:szCs w:val="16"/>
              </w:rPr>
            </w:pPr>
            <w:r w:rsidRPr="00D44048">
              <w:rPr>
                <w:rFonts w:ascii="Arial" w:hAnsi="Arial" w:cs="Arial"/>
                <w:sz w:val="16"/>
                <w:szCs w:val="16"/>
              </w:rPr>
              <w:t>BACHILLERATO</w:t>
            </w:r>
          </w:p>
        </w:tc>
        <w:tc>
          <w:tcPr>
            <w:tcW w:w="1173" w:type="dxa"/>
            <w:shd w:val="clear" w:color="auto" w:fill="auto"/>
            <w:noWrap/>
            <w:vAlign w:val="center"/>
            <w:hideMark/>
          </w:tcPr>
          <w:p w14:paraId="1807968C"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1,652</w:t>
            </w:r>
          </w:p>
        </w:tc>
        <w:tc>
          <w:tcPr>
            <w:tcW w:w="1101" w:type="dxa"/>
            <w:shd w:val="clear" w:color="auto" w:fill="auto"/>
            <w:noWrap/>
            <w:vAlign w:val="center"/>
            <w:hideMark/>
          </w:tcPr>
          <w:p w14:paraId="76273972" w14:textId="77777777" w:rsidR="005D09BE" w:rsidRPr="00D44048" w:rsidRDefault="005D09BE" w:rsidP="00F4450D">
            <w:pPr>
              <w:jc w:val="center"/>
              <w:rPr>
                <w:rFonts w:ascii="Arial" w:hAnsi="Arial" w:cs="Arial"/>
                <w:sz w:val="16"/>
                <w:szCs w:val="16"/>
              </w:rPr>
            </w:pPr>
            <w:r w:rsidRPr="00D44048">
              <w:rPr>
                <w:rFonts w:ascii="Arial" w:hAnsi="Arial" w:cs="Arial"/>
                <w:w w:val="99"/>
                <w:sz w:val="16"/>
                <w:szCs w:val="16"/>
              </w:rPr>
              <w:t>0</w:t>
            </w:r>
          </w:p>
        </w:tc>
        <w:tc>
          <w:tcPr>
            <w:tcW w:w="1241" w:type="dxa"/>
            <w:shd w:val="clear" w:color="auto" w:fill="auto"/>
            <w:noWrap/>
            <w:vAlign w:val="center"/>
            <w:hideMark/>
          </w:tcPr>
          <w:p w14:paraId="59D3BA4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81.789,73</w:t>
            </w:r>
          </w:p>
        </w:tc>
        <w:tc>
          <w:tcPr>
            <w:tcW w:w="1241" w:type="dxa"/>
            <w:shd w:val="clear" w:color="auto" w:fill="auto"/>
            <w:noWrap/>
            <w:vAlign w:val="center"/>
            <w:hideMark/>
          </w:tcPr>
          <w:p w14:paraId="2A9E3D5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70,97</w:t>
            </w:r>
          </w:p>
        </w:tc>
        <w:tc>
          <w:tcPr>
            <w:tcW w:w="1241" w:type="dxa"/>
            <w:shd w:val="clear" w:color="auto" w:fill="auto"/>
            <w:noWrap/>
            <w:vAlign w:val="center"/>
            <w:hideMark/>
          </w:tcPr>
          <w:p w14:paraId="13A3FCA3"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16.970,27</w:t>
            </w:r>
          </w:p>
        </w:tc>
        <w:tc>
          <w:tcPr>
            <w:tcW w:w="1241" w:type="dxa"/>
            <w:shd w:val="clear" w:color="auto" w:fill="auto"/>
            <w:noWrap/>
            <w:vAlign w:val="center"/>
            <w:hideMark/>
          </w:tcPr>
          <w:p w14:paraId="151FBE6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14,73</w:t>
            </w:r>
          </w:p>
        </w:tc>
        <w:tc>
          <w:tcPr>
            <w:tcW w:w="1241" w:type="dxa"/>
            <w:shd w:val="clear" w:color="auto" w:fill="auto"/>
            <w:noWrap/>
            <w:vAlign w:val="center"/>
            <w:hideMark/>
          </w:tcPr>
          <w:p w14:paraId="7DD73573"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16.486,26</w:t>
            </w:r>
          </w:p>
        </w:tc>
        <w:tc>
          <w:tcPr>
            <w:tcW w:w="1241" w:type="dxa"/>
            <w:shd w:val="clear" w:color="auto" w:fill="auto"/>
            <w:noWrap/>
            <w:vAlign w:val="center"/>
            <w:hideMark/>
          </w:tcPr>
          <w:p w14:paraId="442A6F0B"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14,30</w:t>
            </w:r>
          </w:p>
        </w:tc>
        <w:tc>
          <w:tcPr>
            <w:tcW w:w="1241" w:type="dxa"/>
            <w:shd w:val="clear" w:color="auto" w:fill="auto"/>
            <w:noWrap/>
            <w:vAlign w:val="center"/>
            <w:hideMark/>
          </w:tcPr>
          <w:p w14:paraId="2AF2D2F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115.246,26</w:t>
            </w:r>
          </w:p>
        </w:tc>
      </w:tr>
    </w:tbl>
    <w:p w14:paraId="2C5AE8AE" w14:textId="77777777" w:rsidR="005D09BE" w:rsidRPr="00D44048" w:rsidRDefault="005D09BE" w:rsidP="005D09BE">
      <w:pPr>
        <w:pStyle w:val="DICTA-TEXTO"/>
        <w:tabs>
          <w:tab w:val="clear" w:pos="992"/>
        </w:tabs>
        <w:spacing w:after="0" w:line="240" w:lineRule="auto"/>
        <w:ind w:firstLine="0"/>
        <w:rPr>
          <w:rFonts w:cs="Arial"/>
          <w:sz w:val="20"/>
          <w:lang w:val="es-ES_tradnl"/>
        </w:rPr>
      </w:pPr>
    </w:p>
    <w:p w14:paraId="369D2A30" w14:textId="77777777" w:rsidR="005D09BE" w:rsidRPr="00D44048" w:rsidRDefault="005D09BE" w:rsidP="005D09BE">
      <w:pPr>
        <w:pStyle w:val="DICTA-TEXTO"/>
        <w:tabs>
          <w:tab w:val="clear" w:pos="992"/>
        </w:tabs>
        <w:spacing w:after="0" w:line="240" w:lineRule="auto"/>
        <w:ind w:firstLine="0"/>
        <w:rPr>
          <w:rFonts w:cs="Arial"/>
          <w:sz w:val="20"/>
          <w:lang w:val="es-ES_tradnl"/>
        </w:rPr>
      </w:pPr>
    </w:p>
    <w:p w14:paraId="46683826" w14:textId="77777777" w:rsidR="005D09BE" w:rsidRPr="00D44048" w:rsidRDefault="005D09BE" w:rsidP="005D09BE">
      <w:pPr>
        <w:pStyle w:val="DICTA-TEXTO"/>
        <w:tabs>
          <w:tab w:val="clear" w:pos="992"/>
        </w:tabs>
        <w:spacing w:after="0" w:line="240" w:lineRule="auto"/>
        <w:ind w:firstLine="0"/>
        <w:rPr>
          <w:rFonts w:cs="Arial"/>
          <w:sz w:val="20"/>
          <w:lang w:val="es-ES_tradnl"/>
        </w:rPr>
      </w:pPr>
    </w:p>
    <w:tbl>
      <w:tblPr>
        <w:tblW w:w="16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67"/>
        <w:gridCol w:w="1134"/>
        <w:gridCol w:w="1207"/>
        <w:gridCol w:w="1175"/>
        <w:gridCol w:w="1134"/>
        <w:gridCol w:w="1276"/>
        <w:gridCol w:w="1134"/>
        <w:gridCol w:w="1276"/>
        <w:gridCol w:w="1134"/>
        <w:gridCol w:w="1275"/>
        <w:gridCol w:w="1008"/>
        <w:gridCol w:w="1200"/>
      </w:tblGrid>
      <w:tr w:rsidR="005D09BE" w:rsidRPr="00D44048" w14:paraId="58FC3939" w14:textId="77777777" w:rsidTr="00F4450D">
        <w:trPr>
          <w:trHeight w:val="315"/>
        </w:trPr>
        <w:tc>
          <w:tcPr>
            <w:tcW w:w="3067" w:type="dxa"/>
            <w:vMerge w:val="restart"/>
            <w:shd w:val="clear" w:color="auto" w:fill="auto"/>
            <w:vAlign w:val="center"/>
            <w:hideMark/>
          </w:tcPr>
          <w:p w14:paraId="273ED2F0" w14:textId="77777777" w:rsidR="005D09BE" w:rsidRPr="00D44048" w:rsidRDefault="005D09BE" w:rsidP="00F4450D">
            <w:pPr>
              <w:jc w:val="both"/>
              <w:rPr>
                <w:rFonts w:ascii="Arial" w:hAnsi="Arial" w:cs="Arial"/>
                <w:sz w:val="16"/>
                <w:szCs w:val="16"/>
              </w:rPr>
            </w:pPr>
            <w:r w:rsidRPr="00D44048">
              <w:rPr>
                <w:rFonts w:ascii="Arial" w:hAnsi="Arial" w:cs="Arial"/>
                <w:sz w:val="16"/>
                <w:szCs w:val="16"/>
              </w:rPr>
              <w:t> </w:t>
            </w:r>
          </w:p>
        </w:tc>
        <w:tc>
          <w:tcPr>
            <w:tcW w:w="2341" w:type="dxa"/>
            <w:gridSpan w:val="2"/>
            <w:shd w:val="clear" w:color="auto" w:fill="auto"/>
            <w:vAlign w:val="center"/>
            <w:hideMark/>
          </w:tcPr>
          <w:p w14:paraId="302EFF74"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RATIO PROFESOR</w:t>
            </w:r>
          </w:p>
        </w:tc>
        <w:tc>
          <w:tcPr>
            <w:tcW w:w="1175" w:type="dxa"/>
            <w:vMerge w:val="restart"/>
            <w:shd w:val="clear" w:color="auto" w:fill="auto"/>
            <w:vAlign w:val="center"/>
            <w:hideMark/>
          </w:tcPr>
          <w:p w14:paraId="160ADCC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SALARIOS PERSONAL</w:t>
            </w:r>
          </w:p>
        </w:tc>
        <w:tc>
          <w:tcPr>
            <w:tcW w:w="1134" w:type="dxa"/>
            <w:vMerge w:val="restart"/>
            <w:shd w:val="clear" w:color="auto" w:fill="auto"/>
            <w:vAlign w:val="center"/>
            <w:hideMark/>
          </w:tcPr>
          <w:p w14:paraId="39C5B89B"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 MÓDULO</w:t>
            </w:r>
          </w:p>
        </w:tc>
        <w:tc>
          <w:tcPr>
            <w:tcW w:w="1276" w:type="dxa"/>
            <w:vMerge w:val="restart"/>
            <w:shd w:val="clear" w:color="auto" w:fill="auto"/>
            <w:vAlign w:val="center"/>
            <w:hideMark/>
          </w:tcPr>
          <w:p w14:paraId="7147F01E"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GASTOS VARIABLES</w:t>
            </w:r>
          </w:p>
        </w:tc>
        <w:tc>
          <w:tcPr>
            <w:tcW w:w="1134" w:type="dxa"/>
            <w:vMerge w:val="restart"/>
            <w:shd w:val="clear" w:color="auto" w:fill="auto"/>
            <w:vAlign w:val="center"/>
            <w:hideMark/>
          </w:tcPr>
          <w:p w14:paraId="6FD3989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 MÓDULO</w:t>
            </w:r>
          </w:p>
        </w:tc>
        <w:tc>
          <w:tcPr>
            <w:tcW w:w="1276" w:type="dxa"/>
            <w:vMerge w:val="restart"/>
            <w:shd w:val="clear" w:color="auto" w:fill="auto"/>
            <w:vAlign w:val="center"/>
            <w:hideMark/>
          </w:tcPr>
          <w:p w14:paraId="2392F0FE"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OTROS GASTOS</w:t>
            </w:r>
          </w:p>
        </w:tc>
        <w:tc>
          <w:tcPr>
            <w:tcW w:w="1134" w:type="dxa"/>
            <w:vMerge w:val="restart"/>
            <w:shd w:val="clear" w:color="auto" w:fill="auto"/>
            <w:vAlign w:val="center"/>
            <w:hideMark/>
          </w:tcPr>
          <w:p w14:paraId="5734030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 MÓDULO</w:t>
            </w:r>
          </w:p>
        </w:tc>
        <w:tc>
          <w:tcPr>
            <w:tcW w:w="1275" w:type="dxa"/>
            <w:vMerge w:val="restart"/>
            <w:shd w:val="clear" w:color="auto" w:fill="auto"/>
            <w:vAlign w:val="center"/>
            <w:hideMark/>
          </w:tcPr>
          <w:p w14:paraId="0165440B"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PERSONAL Y GASTOS ESPECÍFICOS</w:t>
            </w:r>
          </w:p>
        </w:tc>
        <w:tc>
          <w:tcPr>
            <w:tcW w:w="1008" w:type="dxa"/>
            <w:vMerge w:val="restart"/>
            <w:shd w:val="clear" w:color="auto" w:fill="auto"/>
            <w:vAlign w:val="center"/>
            <w:hideMark/>
          </w:tcPr>
          <w:p w14:paraId="24F0105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 MÓDULO</w:t>
            </w:r>
          </w:p>
        </w:tc>
        <w:tc>
          <w:tcPr>
            <w:tcW w:w="1200" w:type="dxa"/>
            <w:vMerge w:val="restart"/>
            <w:shd w:val="clear" w:color="auto" w:fill="auto"/>
            <w:vAlign w:val="center"/>
            <w:hideMark/>
          </w:tcPr>
          <w:p w14:paraId="28AEE7B8" w14:textId="77777777" w:rsidR="005D09BE" w:rsidRPr="00D44048" w:rsidRDefault="005D09BE" w:rsidP="00F4450D">
            <w:pPr>
              <w:jc w:val="center"/>
              <w:rPr>
                <w:rFonts w:ascii="Arial" w:hAnsi="Arial" w:cs="Arial"/>
                <w:sz w:val="16"/>
                <w:szCs w:val="16"/>
              </w:rPr>
            </w:pPr>
            <w:proofErr w:type="gramStart"/>
            <w:r w:rsidRPr="00D44048">
              <w:rPr>
                <w:rFonts w:ascii="Arial" w:hAnsi="Arial" w:cs="Arial"/>
                <w:sz w:val="16"/>
                <w:szCs w:val="16"/>
              </w:rPr>
              <w:t>TOTAL</w:t>
            </w:r>
            <w:proofErr w:type="gramEnd"/>
            <w:r w:rsidRPr="00D44048">
              <w:rPr>
                <w:rFonts w:ascii="Arial" w:hAnsi="Arial" w:cs="Arial"/>
                <w:sz w:val="16"/>
                <w:szCs w:val="16"/>
              </w:rPr>
              <w:t xml:space="preserve"> MÓDULO</w:t>
            </w:r>
          </w:p>
        </w:tc>
      </w:tr>
      <w:tr w:rsidR="005D09BE" w:rsidRPr="00D44048" w14:paraId="718117B9" w14:textId="77777777" w:rsidTr="00F4450D">
        <w:trPr>
          <w:trHeight w:val="315"/>
        </w:trPr>
        <w:tc>
          <w:tcPr>
            <w:tcW w:w="3067" w:type="dxa"/>
            <w:vMerge/>
            <w:vAlign w:val="center"/>
            <w:hideMark/>
          </w:tcPr>
          <w:p w14:paraId="5F2C2AD1" w14:textId="77777777" w:rsidR="005D09BE" w:rsidRPr="00D44048" w:rsidRDefault="005D09BE" w:rsidP="00F4450D">
            <w:pPr>
              <w:jc w:val="both"/>
              <w:rPr>
                <w:rFonts w:ascii="Arial" w:hAnsi="Arial" w:cs="Arial"/>
                <w:sz w:val="16"/>
                <w:szCs w:val="16"/>
              </w:rPr>
            </w:pPr>
          </w:p>
        </w:tc>
        <w:tc>
          <w:tcPr>
            <w:tcW w:w="1134" w:type="dxa"/>
            <w:shd w:val="clear" w:color="auto" w:fill="auto"/>
            <w:noWrap/>
            <w:vAlign w:val="center"/>
            <w:hideMark/>
          </w:tcPr>
          <w:p w14:paraId="3C7373A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TITULAR</w:t>
            </w:r>
          </w:p>
        </w:tc>
        <w:tc>
          <w:tcPr>
            <w:tcW w:w="1207" w:type="dxa"/>
            <w:shd w:val="clear" w:color="auto" w:fill="auto"/>
            <w:noWrap/>
            <w:vAlign w:val="center"/>
            <w:hideMark/>
          </w:tcPr>
          <w:p w14:paraId="3429DFA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AGREGADO</w:t>
            </w:r>
          </w:p>
        </w:tc>
        <w:tc>
          <w:tcPr>
            <w:tcW w:w="1175" w:type="dxa"/>
            <w:vMerge/>
            <w:vAlign w:val="center"/>
            <w:hideMark/>
          </w:tcPr>
          <w:p w14:paraId="45761D20" w14:textId="77777777" w:rsidR="005D09BE" w:rsidRPr="00D44048" w:rsidRDefault="005D09BE" w:rsidP="00F4450D">
            <w:pPr>
              <w:jc w:val="center"/>
              <w:rPr>
                <w:rFonts w:ascii="Arial" w:hAnsi="Arial" w:cs="Arial"/>
                <w:sz w:val="16"/>
                <w:szCs w:val="16"/>
              </w:rPr>
            </w:pPr>
          </w:p>
        </w:tc>
        <w:tc>
          <w:tcPr>
            <w:tcW w:w="1134" w:type="dxa"/>
            <w:vMerge/>
            <w:vAlign w:val="center"/>
            <w:hideMark/>
          </w:tcPr>
          <w:p w14:paraId="5F484072" w14:textId="77777777" w:rsidR="005D09BE" w:rsidRPr="00D44048" w:rsidRDefault="005D09BE" w:rsidP="00F4450D">
            <w:pPr>
              <w:jc w:val="center"/>
              <w:rPr>
                <w:rFonts w:ascii="Arial" w:hAnsi="Arial" w:cs="Arial"/>
                <w:sz w:val="16"/>
                <w:szCs w:val="16"/>
              </w:rPr>
            </w:pPr>
          </w:p>
        </w:tc>
        <w:tc>
          <w:tcPr>
            <w:tcW w:w="1276" w:type="dxa"/>
            <w:vMerge/>
            <w:vAlign w:val="center"/>
            <w:hideMark/>
          </w:tcPr>
          <w:p w14:paraId="71DD3DDD" w14:textId="77777777" w:rsidR="005D09BE" w:rsidRPr="00D44048" w:rsidRDefault="005D09BE" w:rsidP="00F4450D">
            <w:pPr>
              <w:jc w:val="center"/>
              <w:rPr>
                <w:rFonts w:ascii="Arial" w:hAnsi="Arial" w:cs="Arial"/>
                <w:sz w:val="16"/>
                <w:szCs w:val="16"/>
              </w:rPr>
            </w:pPr>
          </w:p>
        </w:tc>
        <w:tc>
          <w:tcPr>
            <w:tcW w:w="1134" w:type="dxa"/>
            <w:vMerge/>
            <w:vAlign w:val="center"/>
            <w:hideMark/>
          </w:tcPr>
          <w:p w14:paraId="4F9B2911" w14:textId="77777777" w:rsidR="005D09BE" w:rsidRPr="00D44048" w:rsidRDefault="005D09BE" w:rsidP="00F4450D">
            <w:pPr>
              <w:jc w:val="center"/>
              <w:rPr>
                <w:rFonts w:ascii="Arial" w:hAnsi="Arial" w:cs="Arial"/>
                <w:sz w:val="16"/>
                <w:szCs w:val="16"/>
              </w:rPr>
            </w:pPr>
          </w:p>
        </w:tc>
        <w:tc>
          <w:tcPr>
            <w:tcW w:w="1276" w:type="dxa"/>
            <w:vMerge/>
            <w:vAlign w:val="center"/>
            <w:hideMark/>
          </w:tcPr>
          <w:p w14:paraId="0E834CAB" w14:textId="77777777" w:rsidR="005D09BE" w:rsidRPr="00D44048" w:rsidRDefault="005D09BE" w:rsidP="00F4450D">
            <w:pPr>
              <w:jc w:val="center"/>
              <w:rPr>
                <w:rFonts w:ascii="Arial" w:hAnsi="Arial" w:cs="Arial"/>
                <w:sz w:val="16"/>
                <w:szCs w:val="16"/>
              </w:rPr>
            </w:pPr>
          </w:p>
        </w:tc>
        <w:tc>
          <w:tcPr>
            <w:tcW w:w="1134" w:type="dxa"/>
            <w:vMerge/>
            <w:vAlign w:val="center"/>
            <w:hideMark/>
          </w:tcPr>
          <w:p w14:paraId="5E20E747" w14:textId="77777777" w:rsidR="005D09BE" w:rsidRPr="00D44048" w:rsidRDefault="005D09BE" w:rsidP="00F4450D">
            <w:pPr>
              <w:jc w:val="center"/>
              <w:rPr>
                <w:rFonts w:ascii="Arial" w:hAnsi="Arial" w:cs="Arial"/>
                <w:sz w:val="16"/>
                <w:szCs w:val="16"/>
              </w:rPr>
            </w:pPr>
          </w:p>
        </w:tc>
        <w:tc>
          <w:tcPr>
            <w:tcW w:w="1275" w:type="dxa"/>
            <w:vMerge/>
            <w:vAlign w:val="center"/>
            <w:hideMark/>
          </w:tcPr>
          <w:p w14:paraId="2F55809C" w14:textId="77777777" w:rsidR="005D09BE" w:rsidRPr="00D44048" w:rsidRDefault="005D09BE" w:rsidP="00F4450D">
            <w:pPr>
              <w:jc w:val="center"/>
              <w:rPr>
                <w:rFonts w:ascii="Arial" w:hAnsi="Arial" w:cs="Arial"/>
                <w:sz w:val="16"/>
                <w:szCs w:val="16"/>
              </w:rPr>
            </w:pPr>
          </w:p>
        </w:tc>
        <w:tc>
          <w:tcPr>
            <w:tcW w:w="1008" w:type="dxa"/>
            <w:vMerge/>
            <w:vAlign w:val="center"/>
            <w:hideMark/>
          </w:tcPr>
          <w:p w14:paraId="7E33B723" w14:textId="77777777" w:rsidR="005D09BE" w:rsidRPr="00D44048" w:rsidRDefault="005D09BE" w:rsidP="00F4450D">
            <w:pPr>
              <w:jc w:val="center"/>
              <w:rPr>
                <w:rFonts w:ascii="Arial" w:hAnsi="Arial" w:cs="Arial"/>
                <w:sz w:val="16"/>
                <w:szCs w:val="16"/>
              </w:rPr>
            </w:pPr>
          </w:p>
        </w:tc>
        <w:tc>
          <w:tcPr>
            <w:tcW w:w="1200" w:type="dxa"/>
            <w:vMerge/>
            <w:vAlign w:val="center"/>
            <w:hideMark/>
          </w:tcPr>
          <w:p w14:paraId="2105AB15" w14:textId="77777777" w:rsidR="005D09BE" w:rsidRPr="00D44048" w:rsidRDefault="005D09BE" w:rsidP="00F4450D">
            <w:pPr>
              <w:jc w:val="center"/>
              <w:rPr>
                <w:rFonts w:ascii="Arial" w:hAnsi="Arial" w:cs="Arial"/>
                <w:sz w:val="16"/>
                <w:szCs w:val="16"/>
              </w:rPr>
            </w:pPr>
          </w:p>
        </w:tc>
      </w:tr>
      <w:tr w:rsidR="005D09BE" w:rsidRPr="00D44048" w14:paraId="0FE54EF5" w14:textId="77777777" w:rsidTr="00F4450D">
        <w:trPr>
          <w:trHeight w:val="465"/>
        </w:trPr>
        <w:tc>
          <w:tcPr>
            <w:tcW w:w="3067" w:type="dxa"/>
            <w:shd w:val="clear" w:color="auto" w:fill="auto"/>
            <w:vAlign w:val="center"/>
            <w:hideMark/>
          </w:tcPr>
          <w:p w14:paraId="0077FEE9" w14:textId="77777777" w:rsidR="005D09BE" w:rsidRPr="00D44048" w:rsidRDefault="005D09BE" w:rsidP="00F4450D">
            <w:pPr>
              <w:jc w:val="both"/>
              <w:rPr>
                <w:rFonts w:ascii="Arial" w:hAnsi="Arial" w:cs="Arial"/>
                <w:sz w:val="16"/>
                <w:szCs w:val="16"/>
              </w:rPr>
            </w:pPr>
            <w:r w:rsidRPr="00D44048">
              <w:rPr>
                <w:rFonts w:ascii="Arial" w:hAnsi="Arial" w:cs="Arial"/>
                <w:sz w:val="16"/>
                <w:szCs w:val="16"/>
              </w:rPr>
              <w:t>ED. ESPECIAL Aula Alternativa (Infantil y Primaria)</w:t>
            </w:r>
          </w:p>
        </w:tc>
        <w:tc>
          <w:tcPr>
            <w:tcW w:w="1134" w:type="dxa"/>
            <w:shd w:val="clear" w:color="auto" w:fill="auto"/>
            <w:noWrap/>
            <w:vAlign w:val="center"/>
            <w:hideMark/>
          </w:tcPr>
          <w:p w14:paraId="167AD6F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1,087</w:t>
            </w:r>
          </w:p>
        </w:tc>
        <w:tc>
          <w:tcPr>
            <w:tcW w:w="1207" w:type="dxa"/>
            <w:shd w:val="clear" w:color="auto" w:fill="auto"/>
            <w:noWrap/>
            <w:vAlign w:val="center"/>
            <w:hideMark/>
          </w:tcPr>
          <w:p w14:paraId="019461B3" w14:textId="77777777" w:rsidR="005D09BE" w:rsidRPr="00D44048" w:rsidRDefault="005D09BE" w:rsidP="00F4450D">
            <w:pPr>
              <w:jc w:val="center"/>
              <w:rPr>
                <w:rFonts w:ascii="Arial" w:hAnsi="Arial" w:cs="Arial"/>
                <w:sz w:val="16"/>
                <w:szCs w:val="16"/>
              </w:rPr>
            </w:pPr>
            <w:r w:rsidRPr="00D44048">
              <w:rPr>
                <w:rFonts w:ascii="Arial" w:hAnsi="Arial" w:cs="Arial"/>
                <w:w w:val="99"/>
                <w:sz w:val="16"/>
                <w:szCs w:val="16"/>
              </w:rPr>
              <w:t>0</w:t>
            </w:r>
          </w:p>
        </w:tc>
        <w:tc>
          <w:tcPr>
            <w:tcW w:w="1175" w:type="dxa"/>
            <w:shd w:val="clear" w:color="auto" w:fill="auto"/>
            <w:noWrap/>
            <w:vAlign w:val="center"/>
            <w:hideMark/>
          </w:tcPr>
          <w:p w14:paraId="3474CAF6"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46.831,54</w:t>
            </w:r>
          </w:p>
        </w:tc>
        <w:tc>
          <w:tcPr>
            <w:tcW w:w="1134" w:type="dxa"/>
            <w:shd w:val="clear" w:color="auto" w:fill="auto"/>
            <w:noWrap/>
            <w:vAlign w:val="center"/>
            <w:hideMark/>
          </w:tcPr>
          <w:p w14:paraId="7F9B00AA"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43,74</w:t>
            </w:r>
          </w:p>
        </w:tc>
        <w:tc>
          <w:tcPr>
            <w:tcW w:w="1276" w:type="dxa"/>
            <w:shd w:val="clear" w:color="auto" w:fill="auto"/>
            <w:noWrap/>
            <w:vAlign w:val="center"/>
            <w:hideMark/>
          </w:tcPr>
          <w:p w14:paraId="78757DC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8.160,16</w:t>
            </w:r>
          </w:p>
        </w:tc>
        <w:tc>
          <w:tcPr>
            <w:tcW w:w="1134" w:type="dxa"/>
            <w:shd w:val="clear" w:color="auto" w:fill="auto"/>
            <w:noWrap/>
            <w:vAlign w:val="center"/>
            <w:hideMark/>
          </w:tcPr>
          <w:p w14:paraId="4E673D9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7,62</w:t>
            </w:r>
          </w:p>
        </w:tc>
        <w:tc>
          <w:tcPr>
            <w:tcW w:w="1276" w:type="dxa"/>
            <w:shd w:val="clear" w:color="auto" w:fill="auto"/>
            <w:noWrap/>
            <w:vAlign w:val="center"/>
            <w:hideMark/>
          </w:tcPr>
          <w:p w14:paraId="69B2C543"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12.391,79</w:t>
            </w:r>
          </w:p>
        </w:tc>
        <w:tc>
          <w:tcPr>
            <w:tcW w:w="1134" w:type="dxa"/>
            <w:shd w:val="clear" w:color="auto" w:fill="auto"/>
            <w:noWrap/>
            <w:vAlign w:val="center"/>
            <w:hideMark/>
          </w:tcPr>
          <w:p w14:paraId="0A467B6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11,58</w:t>
            </w:r>
          </w:p>
        </w:tc>
        <w:tc>
          <w:tcPr>
            <w:tcW w:w="1275" w:type="dxa"/>
            <w:shd w:val="clear" w:color="auto" w:fill="auto"/>
            <w:noWrap/>
            <w:vAlign w:val="center"/>
            <w:hideMark/>
          </w:tcPr>
          <w:p w14:paraId="4CF8CCA6"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39.672,68</w:t>
            </w:r>
          </w:p>
        </w:tc>
        <w:tc>
          <w:tcPr>
            <w:tcW w:w="1008" w:type="dxa"/>
            <w:shd w:val="clear" w:color="auto" w:fill="auto"/>
            <w:noWrap/>
            <w:vAlign w:val="center"/>
            <w:hideMark/>
          </w:tcPr>
          <w:p w14:paraId="7FCFD8EA"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37,06</w:t>
            </w:r>
          </w:p>
        </w:tc>
        <w:tc>
          <w:tcPr>
            <w:tcW w:w="1200" w:type="dxa"/>
            <w:shd w:val="clear" w:color="auto" w:fill="auto"/>
            <w:noWrap/>
            <w:vAlign w:val="center"/>
            <w:hideMark/>
          </w:tcPr>
          <w:p w14:paraId="63C17654"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107.056,17</w:t>
            </w:r>
          </w:p>
        </w:tc>
      </w:tr>
      <w:tr w:rsidR="005D09BE" w:rsidRPr="00D44048" w14:paraId="3F464FF1" w14:textId="77777777" w:rsidTr="00F4450D">
        <w:trPr>
          <w:trHeight w:val="465"/>
        </w:trPr>
        <w:tc>
          <w:tcPr>
            <w:tcW w:w="3067" w:type="dxa"/>
            <w:shd w:val="clear" w:color="auto" w:fill="auto"/>
            <w:vAlign w:val="center"/>
            <w:hideMark/>
          </w:tcPr>
          <w:p w14:paraId="6B12C9B2" w14:textId="77777777" w:rsidR="005D09BE" w:rsidRPr="00D44048" w:rsidRDefault="005D09BE" w:rsidP="00F4450D">
            <w:pPr>
              <w:jc w:val="both"/>
              <w:rPr>
                <w:rFonts w:ascii="Arial" w:hAnsi="Arial" w:cs="Arial"/>
                <w:sz w:val="16"/>
                <w:szCs w:val="16"/>
              </w:rPr>
            </w:pPr>
            <w:r w:rsidRPr="00D44048">
              <w:rPr>
                <w:rFonts w:ascii="Arial" w:hAnsi="Arial" w:cs="Arial"/>
                <w:sz w:val="16"/>
                <w:szCs w:val="16"/>
              </w:rPr>
              <w:t>ED. ESPECIAL UT/TEA (Aula de transición)</w:t>
            </w:r>
          </w:p>
        </w:tc>
        <w:tc>
          <w:tcPr>
            <w:tcW w:w="1134" w:type="dxa"/>
            <w:shd w:val="clear" w:color="auto" w:fill="auto"/>
            <w:noWrap/>
            <w:vAlign w:val="center"/>
            <w:hideMark/>
          </w:tcPr>
          <w:p w14:paraId="4AD09073"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1,087</w:t>
            </w:r>
          </w:p>
        </w:tc>
        <w:tc>
          <w:tcPr>
            <w:tcW w:w="1207" w:type="dxa"/>
            <w:shd w:val="clear" w:color="auto" w:fill="auto"/>
            <w:noWrap/>
            <w:vAlign w:val="center"/>
            <w:hideMark/>
          </w:tcPr>
          <w:p w14:paraId="3E425D13" w14:textId="77777777" w:rsidR="005D09BE" w:rsidRPr="00D44048" w:rsidRDefault="005D09BE" w:rsidP="00F4450D">
            <w:pPr>
              <w:jc w:val="center"/>
              <w:rPr>
                <w:rFonts w:ascii="Arial" w:hAnsi="Arial" w:cs="Arial"/>
                <w:sz w:val="16"/>
                <w:szCs w:val="16"/>
              </w:rPr>
            </w:pPr>
            <w:r w:rsidRPr="00D44048">
              <w:rPr>
                <w:rFonts w:ascii="Arial" w:hAnsi="Arial" w:cs="Arial"/>
                <w:w w:val="99"/>
                <w:sz w:val="16"/>
                <w:szCs w:val="16"/>
              </w:rPr>
              <w:t>0</w:t>
            </w:r>
          </w:p>
        </w:tc>
        <w:tc>
          <w:tcPr>
            <w:tcW w:w="1175" w:type="dxa"/>
            <w:shd w:val="clear" w:color="auto" w:fill="auto"/>
            <w:noWrap/>
            <w:vAlign w:val="center"/>
            <w:hideMark/>
          </w:tcPr>
          <w:p w14:paraId="12F97ED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46.831,54</w:t>
            </w:r>
          </w:p>
        </w:tc>
        <w:tc>
          <w:tcPr>
            <w:tcW w:w="1134" w:type="dxa"/>
            <w:shd w:val="clear" w:color="auto" w:fill="auto"/>
            <w:noWrap/>
            <w:vAlign w:val="center"/>
            <w:hideMark/>
          </w:tcPr>
          <w:p w14:paraId="0882D466"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47,36</w:t>
            </w:r>
          </w:p>
        </w:tc>
        <w:tc>
          <w:tcPr>
            <w:tcW w:w="1276" w:type="dxa"/>
            <w:shd w:val="clear" w:color="auto" w:fill="auto"/>
            <w:noWrap/>
            <w:vAlign w:val="center"/>
            <w:hideMark/>
          </w:tcPr>
          <w:p w14:paraId="1E1AF093"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8.160,16</w:t>
            </w:r>
          </w:p>
        </w:tc>
        <w:tc>
          <w:tcPr>
            <w:tcW w:w="1134" w:type="dxa"/>
            <w:shd w:val="clear" w:color="auto" w:fill="auto"/>
            <w:noWrap/>
            <w:vAlign w:val="center"/>
            <w:hideMark/>
          </w:tcPr>
          <w:p w14:paraId="0A8BEEA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8,25</w:t>
            </w:r>
          </w:p>
        </w:tc>
        <w:tc>
          <w:tcPr>
            <w:tcW w:w="1276" w:type="dxa"/>
            <w:shd w:val="clear" w:color="auto" w:fill="auto"/>
            <w:noWrap/>
            <w:vAlign w:val="center"/>
            <w:hideMark/>
          </w:tcPr>
          <w:p w14:paraId="354E44F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12.391,79</w:t>
            </w:r>
          </w:p>
        </w:tc>
        <w:tc>
          <w:tcPr>
            <w:tcW w:w="1134" w:type="dxa"/>
            <w:shd w:val="clear" w:color="auto" w:fill="auto"/>
            <w:noWrap/>
            <w:vAlign w:val="center"/>
            <w:hideMark/>
          </w:tcPr>
          <w:p w14:paraId="16B7C31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12,53</w:t>
            </w:r>
          </w:p>
        </w:tc>
        <w:tc>
          <w:tcPr>
            <w:tcW w:w="1275" w:type="dxa"/>
            <w:shd w:val="clear" w:color="auto" w:fill="auto"/>
            <w:noWrap/>
            <w:vAlign w:val="center"/>
            <w:hideMark/>
          </w:tcPr>
          <w:p w14:paraId="22C34423"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31.499,89</w:t>
            </w:r>
          </w:p>
        </w:tc>
        <w:tc>
          <w:tcPr>
            <w:tcW w:w="1008" w:type="dxa"/>
            <w:shd w:val="clear" w:color="auto" w:fill="auto"/>
            <w:noWrap/>
            <w:vAlign w:val="center"/>
            <w:hideMark/>
          </w:tcPr>
          <w:p w14:paraId="3819A7D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31,86</w:t>
            </w:r>
          </w:p>
        </w:tc>
        <w:tc>
          <w:tcPr>
            <w:tcW w:w="1200" w:type="dxa"/>
            <w:shd w:val="clear" w:color="auto" w:fill="auto"/>
            <w:noWrap/>
            <w:vAlign w:val="center"/>
            <w:hideMark/>
          </w:tcPr>
          <w:p w14:paraId="4B48B4A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98.883,38</w:t>
            </w:r>
          </w:p>
        </w:tc>
      </w:tr>
      <w:tr w:rsidR="005D09BE" w:rsidRPr="00D44048" w14:paraId="75B316B2" w14:textId="77777777" w:rsidTr="00F4450D">
        <w:trPr>
          <w:trHeight w:val="465"/>
        </w:trPr>
        <w:tc>
          <w:tcPr>
            <w:tcW w:w="3067" w:type="dxa"/>
            <w:shd w:val="clear" w:color="auto" w:fill="auto"/>
            <w:vAlign w:val="center"/>
            <w:hideMark/>
          </w:tcPr>
          <w:p w14:paraId="0775A706" w14:textId="77777777" w:rsidR="005D09BE" w:rsidRPr="00D44048" w:rsidRDefault="005D09BE" w:rsidP="00F4450D">
            <w:pPr>
              <w:jc w:val="both"/>
              <w:rPr>
                <w:rFonts w:ascii="Arial" w:hAnsi="Arial" w:cs="Arial"/>
                <w:sz w:val="16"/>
                <w:szCs w:val="16"/>
              </w:rPr>
            </w:pPr>
            <w:r w:rsidRPr="00D44048">
              <w:rPr>
                <w:rFonts w:ascii="Arial" w:hAnsi="Arial" w:cs="Arial"/>
                <w:sz w:val="16"/>
                <w:szCs w:val="16"/>
              </w:rPr>
              <w:t>ED. ESPECIAL Aula Alternativa (Secundaria)</w:t>
            </w:r>
          </w:p>
        </w:tc>
        <w:tc>
          <w:tcPr>
            <w:tcW w:w="1134" w:type="dxa"/>
            <w:shd w:val="clear" w:color="auto" w:fill="auto"/>
            <w:noWrap/>
            <w:vAlign w:val="center"/>
            <w:hideMark/>
          </w:tcPr>
          <w:p w14:paraId="479535D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1,391</w:t>
            </w:r>
          </w:p>
        </w:tc>
        <w:tc>
          <w:tcPr>
            <w:tcW w:w="1207" w:type="dxa"/>
            <w:shd w:val="clear" w:color="auto" w:fill="auto"/>
            <w:noWrap/>
            <w:vAlign w:val="center"/>
            <w:hideMark/>
          </w:tcPr>
          <w:p w14:paraId="423E8C4F" w14:textId="77777777" w:rsidR="005D09BE" w:rsidRPr="00D44048" w:rsidRDefault="005D09BE" w:rsidP="00F4450D">
            <w:pPr>
              <w:jc w:val="center"/>
              <w:rPr>
                <w:rFonts w:ascii="Arial" w:hAnsi="Arial" w:cs="Arial"/>
                <w:sz w:val="16"/>
                <w:szCs w:val="16"/>
              </w:rPr>
            </w:pPr>
            <w:r w:rsidRPr="00D44048">
              <w:rPr>
                <w:rFonts w:ascii="Arial" w:hAnsi="Arial" w:cs="Arial"/>
                <w:w w:val="99"/>
                <w:sz w:val="16"/>
                <w:szCs w:val="16"/>
              </w:rPr>
              <w:t>0</w:t>
            </w:r>
          </w:p>
        </w:tc>
        <w:tc>
          <w:tcPr>
            <w:tcW w:w="1175" w:type="dxa"/>
            <w:shd w:val="clear" w:color="auto" w:fill="auto"/>
            <w:noWrap/>
            <w:vAlign w:val="center"/>
            <w:hideMark/>
          </w:tcPr>
          <w:p w14:paraId="7499966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59.928,86</w:t>
            </w:r>
          </w:p>
        </w:tc>
        <w:tc>
          <w:tcPr>
            <w:tcW w:w="1134" w:type="dxa"/>
            <w:shd w:val="clear" w:color="auto" w:fill="auto"/>
            <w:noWrap/>
            <w:vAlign w:val="center"/>
            <w:hideMark/>
          </w:tcPr>
          <w:p w14:paraId="432CCABC"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47,20</w:t>
            </w:r>
          </w:p>
        </w:tc>
        <w:tc>
          <w:tcPr>
            <w:tcW w:w="1276" w:type="dxa"/>
            <w:shd w:val="clear" w:color="auto" w:fill="auto"/>
            <w:noWrap/>
            <w:vAlign w:val="center"/>
            <w:hideMark/>
          </w:tcPr>
          <w:p w14:paraId="286A60F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8.141,99</w:t>
            </w:r>
          </w:p>
        </w:tc>
        <w:tc>
          <w:tcPr>
            <w:tcW w:w="1134" w:type="dxa"/>
            <w:shd w:val="clear" w:color="auto" w:fill="auto"/>
            <w:noWrap/>
            <w:vAlign w:val="center"/>
            <w:hideMark/>
          </w:tcPr>
          <w:p w14:paraId="1415E4CE"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6,41</w:t>
            </w:r>
          </w:p>
        </w:tc>
        <w:tc>
          <w:tcPr>
            <w:tcW w:w="1276" w:type="dxa"/>
            <w:shd w:val="clear" w:color="auto" w:fill="auto"/>
            <w:noWrap/>
            <w:vAlign w:val="center"/>
            <w:hideMark/>
          </w:tcPr>
          <w:p w14:paraId="26F771DA"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12.391,79</w:t>
            </w:r>
          </w:p>
        </w:tc>
        <w:tc>
          <w:tcPr>
            <w:tcW w:w="1134" w:type="dxa"/>
            <w:shd w:val="clear" w:color="auto" w:fill="auto"/>
            <w:noWrap/>
            <w:vAlign w:val="center"/>
            <w:hideMark/>
          </w:tcPr>
          <w:p w14:paraId="7DD788D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9,76</w:t>
            </w:r>
          </w:p>
        </w:tc>
        <w:tc>
          <w:tcPr>
            <w:tcW w:w="1275" w:type="dxa"/>
            <w:shd w:val="clear" w:color="auto" w:fill="auto"/>
            <w:noWrap/>
            <w:vAlign w:val="center"/>
            <w:hideMark/>
          </w:tcPr>
          <w:p w14:paraId="50A8A4D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46.507,56</w:t>
            </w:r>
          </w:p>
        </w:tc>
        <w:tc>
          <w:tcPr>
            <w:tcW w:w="1008" w:type="dxa"/>
            <w:shd w:val="clear" w:color="auto" w:fill="auto"/>
            <w:noWrap/>
            <w:vAlign w:val="center"/>
            <w:hideMark/>
          </w:tcPr>
          <w:p w14:paraId="70C8FA76"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36,63</w:t>
            </w:r>
          </w:p>
        </w:tc>
        <w:tc>
          <w:tcPr>
            <w:tcW w:w="1200" w:type="dxa"/>
            <w:shd w:val="clear" w:color="auto" w:fill="auto"/>
            <w:noWrap/>
            <w:vAlign w:val="center"/>
            <w:hideMark/>
          </w:tcPr>
          <w:p w14:paraId="693D74B4"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126.970,20</w:t>
            </w:r>
          </w:p>
        </w:tc>
      </w:tr>
      <w:tr w:rsidR="005D09BE" w:rsidRPr="00D44048" w14:paraId="466B7C7C" w14:textId="77777777" w:rsidTr="00F4450D">
        <w:trPr>
          <w:trHeight w:val="315"/>
        </w:trPr>
        <w:tc>
          <w:tcPr>
            <w:tcW w:w="3067" w:type="dxa"/>
            <w:shd w:val="clear" w:color="auto" w:fill="auto"/>
            <w:vAlign w:val="center"/>
            <w:hideMark/>
          </w:tcPr>
          <w:p w14:paraId="727AADC9" w14:textId="77777777" w:rsidR="005D09BE" w:rsidRPr="00D44048" w:rsidRDefault="005D09BE" w:rsidP="00F4450D">
            <w:pPr>
              <w:jc w:val="both"/>
              <w:rPr>
                <w:rFonts w:ascii="Arial" w:hAnsi="Arial" w:cs="Arial"/>
                <w:sz w:val="16"/>
                <w:szCs w:val="16"/>
              </w:rPr>
            </w:pPr>
            <w:r w:rsidRPr="00D44048">
              <w:rPr>
                <w:rFonts w:ascii="Arial" w:hAnsi="Arial" w:cs="Arial"/>
                <w:sz w:val="16"/>
                <w:szCs w:val="16"/>
              </w:rPr>
              <w:t>C.F.P.E.</w:t>
            </w:r>
          </w:p>
        </w:tc>
        <w:tc>
          <w:tcPr>
            <w:tcW w:w="1134" w:type="dxa"/>
            <w:shd w:val="clear" w:color="auto" w:fill="auto"/>
            <w:noWrap/>
            <w:vAlign w:val="center"/>
            <w:hideMark/>
          </w:tcPr>
          <w:p w14:paraId="6769F36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1,087</w:t>
            </w:r>
          </w:p>
        </w:tc>
        <w:tc>
          <w:tcPr>
            <w:tcW w:w="1207" w:type="dxa"/>
            <w:shd w:val="clear" w:color="auto" w:fill="auto"/>
            <w:noWrap/>
            <w:vAlign w:val="center"/>
            <w:hideMark/>
          </w:tcPr>
          <w:p w14:paraId="66AC7CBB"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1,087</w:t>
            </w:r>
          </w:p>
        </w:tc>
        <w:tc>
          <w:tcPr>
            <w:tcW w:w="1175" w:type="dxa"/>
            <w:shd w:val="clear" w:color="auto" w:fill="auto"/>
            <w:noWrap/>
            <w:vAlign w:val="center"/>
            <w:hideMark/>
          </w:tcPr>
          <w:p w14:paraId="0239ED8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96.071,29</w:t>
            </w:r>
          </w:p>
        </w:tc>
        <w:tc>
          <w:tcPr>
            <w:tcW w:w="1134" w:type="dxa"/>
            <w:shd w:val="clear" w:color="auto" w:fill="auto"/>
            <w:noWrap/>
            <w:vAlign w:val="center"/>
            <w:hideMark/>
          </w:tcPr>
          <w:p w14:paraId="0358F9A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50,82</w:t>
            </w:r>
          </w:p>
        </w:tc>
        <w:tc>
          <w:tcPr>
            <w:tcW w:w="1276" w:type="dxa"/>
            <w:shd w:val="clear" w:color="auto" w:fill="auto"/>
            <w:noWrap/>
            <w:vAlign w:val="center"/>
            <w:hideMark/>
          </w:tcPr>
          <w:p w14:paraId="076D5CD3"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18.565,96</w:t>
            </w:r>
          </w:p>
        </w:tc>
        <w:tc>
          <w:tcPr>
            <w:tcW w:w="1134" w:type="dxa"/>
            <w:shd w:val="clear" w:color="auto" w:fill="auto"/>
            <w:noWrap/>
            <w:vAlign w:val="center"/>
            <w:hideMark/>
          </w:tcPr>
          <w:p w14:paraId="098ED22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9,82</w:t>
            </w:r>
          </w:p>
        </w:tc>
        <w:tc>
          <w:tcPr>
            <w:tcW w:w="1276" w:type="dxa"/>
            <w:shd w:val="clear" w:color="auto" w:fill="auto"/>
            <w:noWrap/>
            <w:vAlign w:val="center"/>
            <w:hideMark/>
          </w:tcPr>
          <w:p w14:paraId="471FEB25"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16.486,26</w:t>
            </w:r>
          </w:p>
        </w:tc>
        <w:tc>
          <w:tcPr>
            <w:tcW w:w="1134" w:type="dxa"/>
            <w:shd w:val="clear" w:color="auto" w:fill="auto"/>
            <w:noWrap/>
            <w:vAlign w:val="center"/>
            <w:hideMark/>
          </w:tcPr>
          <w:p w14:paraId="2E8CD55B"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8,72</w:t>
            </w:r>
          </w:p>
        </w:tc>
        <w:tc>
          <w:tcPr>
            <w:tcW w:w="1275" w:type="dxa"/>
            <w:shd w:val="clear" w:color="auto" w:fill="auto"/>
            <w:noWrap/>
            <w:vAlign w:val="center"/>
            <w:hideMark/>
          </w:tcPr>
          <w:p w14:paraId="6BE1D654"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57.903,31</w:t>
            </w:r>
          </w:p>
        </w:tc>
        <w:tc>
          <w:tcPr>
            <w:tcW w:w="1008" w:type="dxa"/>
            <w:shd w:val="clear" w:color="auto" w:fill="auto"/>
            <w:noWrap/>
            <w:vAlign w:val="center"/>
            <w:hideMark/>
          </w:tcPr>
          <w:p w14:paraId="51E83F4A"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30,64</w:t>
            </w:r>
          </w:p>
        </w:tc>
        <w:tc>
          <w:tcPr>
            <w:tcW w:w="1200" w:type="dxa"/>
            <w:shd w:val="clear" w:color="auto" w:fill="auto"/>
            <w:noWrap/>
            <w:vAlign w:val="center"/>
            <w:hideMark/>
          </w:tcPr>
          <w:p w14:paraId="55D0CD94"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189.026,82</w:t>
            </w:r>
          </w:p>
        </w:tc>
      </w:tr>
      <w:tr w:rsidR="005D09BE" w:rsidRPr="00D44048" w14:paraId="3B9DBC34" w14:textId="77777777" w:rsidTr="00F4450D">
        <w:trPr>
          <w:trHeight w:val="315"/>
        </w:trPr>
        <w:tc>
          <w:tcPr>
            <w:tcW w:w="3067" w:type="dxa"/>
            <w:shd w:val="clear" w:color="auto" w:fill="auto"/>
            <w:vAlign w:val="center"/>
            <w:hideMark/>
          </w:tcPr>
          <w:p w14:paraId="24937318" w14:textId="77777777" w:rsidR="005D09BE" w:rsidRPr="00D44048" w:rsidRDefault="005D09BE" w:rsidP="00F4450D">
            <w:pPr>
              <w:jc w:val="both"/>
              <w:rPr>
                <w:rFonts w:ascii="Arial" w:hAnsi="Arial" w:cs="Arial"/>
                <w:sz w:val="16"/>
                <w:szCs w:val="16"/>
              </w:rPr>
            </w:pPr>
            <w:r w:rsidRPr="00D44048">
              <w:rPr>
                <w:rFonts w:ascii="Arial" w:hAnsi="Arial" w:cs="Arial"/>
                <w:sz w:val="16"/>
                <w:szCs w:val="16"/>
              </w:rPr>
              <w:t>P. T.V.A.</w:t>
            </w:r>
          </w:p>
        </w:tc>
        <w:tc>
          <w:tcPr>
            <w:tcW w:w="1134" w:type="dxa"/>
            <w:shd w:val="clear" w:color="auto" w:fill="auto"/>
            <w:noWrap/>
            <w:vAlign w:val="center"/>
            <w:hideMark/>
          </w:tcPr>
          <w:p w14:paraId="47B33596"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0,696</w:t>
            </w:r>
          </w:p>
        </w:tc>
        <w:tc>
          <w:tcPr>
            <w:tcW w:w="1207" w:type="dxa"/>
            <w:shd w:val="clear" w:color="auto" w:fill="auto"/>
            <w:noWrap/>
            <w:vAlign w:val="center"/>
            <w:hideMark/>
          </w:tcPr>
          <w:p w14:paraId="411B9B7A"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0,391</w:t>
            </w:r>
          </w:p>
        </w:tc>
        <w:tc>
          <w:tcPr>
            <w:tcW w:w="1175" w:type="dxa"/>
            <w:shd w:val="clear" w:color="auto" w:fill="auto"/>
            <w:noWrap/>
            <w:vAlign w:val="center"/>
            <w:hideMark/>
          </w:tcPr>
          <w:p w14:paraId="5B2864F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47.697,78</w:t>
            </w:r>
          </w:p>
        </w:tc>
        <w:tc>
          <w:tcPr>
            <w:tcW w:w="1134" w:type="dxa"/>
            <w:shd w:val="clear" w:color="auto" w:fill="auto"/>
            <w:noWrap/>
            <w:vAlign w:val="center"/>
            <w:hideMark/>
          </w:tcPr>
          <w:p w14:paraId="37B578A6"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47,35</w:t>
            </w:r>
          </w:p>
        </w:tc>
        <w:tc>
          <w:tcPr>
            <w:tcW w:w="1276" w:type="dxa"/>
            <w:shd w:val="clear" w:color="auto" w:fill="auto"/>
            <w:noWrap/>
            <w:vAlign w:val="center"/>
            <w:hideMark/>
          </w:tcPr>
          <w:p w14:paraId="47E23EE3"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9.147,24</w:t>
            </w:r>
          </w:p>
        </w:tc>
        <w:tc>
          <w:tcPr>
            <w:tcW w:w="1134" w:type="dxa"/>
            <w:shd w:val="clear" w:color="auto" w:fill="auto"/>
            <w:noWrap/>
            <w:vAlign w:val="center"/>
            <w:hideMark/>
          </w:tcPr>
          <w:p w14:paraId="4D93685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9,08</w:t>
            </w:r>
          </w:p>
        </w:tc>
        <w:tc>
          <w:tcPr>
            <w:tcW w:w="1276" w:type="dxa"/>
            <w:shd w:val="clear" w:color="auto" w:fill="auto"/>
            <w:noWrap/>
            <w:vAlign w:val="center"/>
            <w:hideMark/>
          </w:tcPr>
          <w:p w14:paraId="2B170F0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12.391,79</w:t>
            </w:r>
          </w:p>
        </w:tc>
        <w:tc>
          <w:tcPr>
            <w:tcW w:w="1134" w:type="dxa"/>
            <w:shd w:val="clear" w:color="auto" w:fill="auto"/>
            <w:noWrap/>
            <w:vAlign w:val="center"/>
            <w:hideMark/>
          </w:tcPr>
          <w:p w14:paraId="2EA83A3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12,30</w:t>
            </w:r>
          </w:p>
        </w:tc>
        <w:tc>
          <w:tcPr>
            <w:tcW w:w="1275" w:type="dxa"/>
            <w:shd w:val="clear" w:color="auto" w:fill="auto"/>
            <w:noWrap/>
            <w:vAlign w:val="center"/>
            <w:hideMark/>
          </w:tcPr>
          <w:p w14:paraId="06CE0C14"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31.499,89</w:t>
            </w:r>
          </w:p>
        </w:tc>
        <w:tc>
          <w:tcPr>
            <w:tcW w:w="1008" w:type="dxa"/>
            <w:shd w:val="clear" w:color="auto" w:fill="auto"/>
            <w:noWrap/>
            <w:vAlign w:val="center"/>
            <w:hideMark/>
          </w:tcPr>
          <w:p w14:paraId="29B2024E"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31,27</w:t>
            </w:r>
          </w:p>
        </w:tc>
        <w:tc>
          <w:tcPr>
            <w:tcW w:w="1200" w:type="dxa"/>
            <w:shd w:val="clear" w:color="auto" w:fill="auto"/>
            <w:noWrap/>
            <w:vAlign w:val="center"/>
            <w:hideMark/>
          </w:tcPr>
          <w:p w14:paraId="2D0F362A"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100.736,70</w:t>
            </w:r>
          </w:p>
        </w:tc>
      </w:tr>
      <w:tr w:rsidR="005D09BE" w:rsidRPr="00D44048" w14:paraId="53A9E445" w14:textId="77777777" w:rsidTr="00F4450D">
        <w:trPr>
          <w:trHeight w:val="315"/>
        </w:trPr>
        <w:tc>
          <w:tcPr>
            <w:tcW w:w="3067" w:type="dxa"/>
            <w:shd w:val="clear" w:color="auto" w:fill="auto"/>
            <w:vAlign w:val="center"/>
            <w:hideMark/>
          </w:tcPr>
          <w:p w14:paraId="2D49F3A7" w14:textId="77777777" w:rsidR="005D09BE" w:rsidRPr="00D44048" w:rsidRDefault="005D09BE" w:rsidP="00F4450D">
            <w:pPr>
              <w:jc w:val="both"/>
              <w:rPr>
                <w:rFonts w:ascii="Arial" w:hAnsi="Arial" w:cs="Arial"/>
                <w:sz w:val="16"/>
                <w:szCs w:val="16"/>
              </w:rPr>
            </w:pPr>
            <w:r w:rsidRPr="00D44048">
              <w:rPr>
                <w:rFonts w:ascii="Arial" w:hAnsi="Arial" w:cs="Arial"/>
                <w:sz w:val="16"/>
                <w:szCs w:val="16"/>
              </w:rPr>
              <w:t>Ed. U.C.E. Específica ESO</w:t>
            </w:r>
          </w:p>
        </w:tc>
        <w:tc>
          <w:tcPr>
            <w:tcW w:w="1134" w:type="dxa"/>
            <w:shd w:val="clear" w:color="auto" w:fill="auto"/>
            <w:noWrap/>
            <w:vAlign w:val="center"/>
            <w:hideMark/>
          </w:tcPr>
          <w:p w14:paraId="0915229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1,391</w:t>
            </w:r>
          </w:p>
        </w:tc>
        <w:tc>
          <w:tcPr>
            <w:tcW w:w="1207" w:type="dxa"/>
            <w:shd w:val="clear" w:color="auto" w:fill="auto"/>
            <w:noWrap/>
            <w:vAlign w:val="center"/>
            <w:hideMark/>
          </w:tcPr>
          <w:p w14:paraId="0ADBC070" w14:textId="77777777" w:rsidR="005D09BE" w:rsidRPr="00D44048" w:rsidRDefault="005D09BE" w:rsidP="00F4450D">
            <w:pPr>
              <w:jc w:val="center"/>
              <w:rPr>
                <w:rFonts w:ascii="Arial" w:hAnsi="Arial" w:cs="Arial"/>
                <w:sz w:val="16"/>
                <w:szCs w:val="16"/>
              </w:rPr>
            </w:pPr>
            <w:r w:rsidRPr="00D44048">
              <w:rPr>
                <w:rFonts w:ascii="Arial" w:hAnsi="Arial" w:cs="Arial"/>
                <w:w w:val="99"/>
                <w:sz w:val="16"/>
                <w:szCs w:val="16"/>
              </w:rPr>
              <w:t>0</w:t>
            </w:r>
          </w:p>
        </w:tc>
        <w:tc>
          <w:tcPr>
            <w:tcW w:w="1175" w:type="dxa"/>
            <w:shd w:val="clear" w:color="auto" w:fill="auto"/>
            <w:noWrap/>
            <w:vAlign w:val="center"/>
            <w:hideMark/>
          </w:tcPr>
          <w:p w14:paraId="2B723F2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59.928,86</w:t>
            </w:r>
          </w:p>
        </w:tc>
        <w:tc>
          <w:tcPr>
            <w:tcW w:w="1134" w:type="dxa"/>
            <w:shd w:val="clear" w:color="auto" w:fill="auto"/>
            <w:noWrap/>
            <w:vAlign w:val="center"/>
            <w:hideMark/>
          </w:tcPr>
          <w:p w14:paraId="58EDE3C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74,48</w:t>
            </w:r>
          </w:p>
        </w:tc>
        <w:tc>
          <w:tcPr>
            <w:tcW w:w="1276" w:type="dxa"/>
            <w:shd w:val="clear" w:color="auto" w:fill="auto"/>
            <w:noWrap/>
            <w:vAlign w:val="center"/>
            <w:hideMark/>
          </w:tcPr>
          <w:p w14:paraId="3947577A"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8.141,99</w:t>
            </w:r>
          </w:p>
        </w:tc>
        <w:tc>
          <w:tcPr>
            <w:tcW w:w="1134" w:type="dxa"/>
            <w:shd w:val="clear" w:color="auto" w:fill="auto"/>
            <w:noWrap/>
            <w:vAlign w:val="center"/>
            <w:hideMark/>
          </w:tcPr>
          <w:p w14:paraId="00F3C08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10,12</w:t>
            </w:r>
          </w:p>
        </w:tc>
        <w:tc>
          <w:tcPr>
            <w:tcW w:w="1276" w:type="dxa"/>
            <w:shd w:val="clear" w:color="auto" w:fill="auto"/>
            <w:noWrap/>
            <w:vAlign w:val="center"/>
            <w:hideMark/>
          </w:tcPr>
          <w:p w14:paraId="222DF9C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12.391,79</w:t>
            </w:r>
          </w:p>
        </w:tc>
        <w:tc>
          <w:tcPr>
            <w:tcW w:w="1134" w:type="dxa"/>
            <w:shd w:val="clear" w:color="auto" w:fill="auto"/>
            <w:noWrap/>
            <w:vAlign w:val="center"/>
            <w:hideMark/>
          </w:tcPr>
          <w:p w14:paraId="58D2F425"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15,40</w:t>
            </w:r>
          </w:p>
        </w:tc>
        <w:tc>
          <w:tcPr>
            <w:tcW w:w="1275" w:type="dxa"/>
            <w:shd w:val="clear" w:color="auto" w:fill="auto"/>
            <w:noWrap/>
            <w:vAlign w:val="center"/>
            <w:hideMark/>
          </w:tcPr>
          <w:p w14:paraId="2FED1A07" w14:textId="77777777" w:rsidR="005D09BE" w:rsidRPr="00D44048" w:rsidRDefault="005D09BE" w:rsidP="00F4450D">
            <w:pPr>
              <w:jc w:val="center"/>
              <w:rPr>
                <w:rFonts w:ascii="Arial" w:hAnsi="Arial" w:cs="Arial"/>
                <w:sz w:val="16"/>
                <w:szCs w:val="16"/>
              </w:rPr>
            </w:pPr>
          </w:p>
        </w:tc>
        <w:tc>
          <w:tcPr>
            <w:tcW w:w="1008" w:type="dxa"/>
            <w:shd w:val="clear" w:color="auto" w:fill="auto"/>
            <w:noWrap/>
            <w:vAlign w:val="center"/>
            <w:hideMark/>
          </w:tcPr>
          <w:p w14:paraId="360C53F6" w14:textId="77777777" w:rsidR="005D09BE" w:rsidRPr="00D44048" w:rsidRDefault="005D09BE" w:rsidP="00F4450D">
            <w:pPr>
              <w:jc w:val="center"/>
              <w:rPr>
                <w:rFonts w:ascii="Arial" w:hAnsi="Arial" w:cs="Arial"/>
                <w:sz w:val="16"/>
                <w:szCs w:val="16"/>
              </w:rPr>
            </w:pPr>
          </w:p>
        </w:tc>
        <w:tc>
          <w:tcPr>
            <w:tcW w:w="1200" w:type="dxa"/>
            <w:shd w:val="clear" w:color="auto" w:fill="auto"/>
            <w:noWrap/>
            <w:vAlign w:val="center"/>
            <w:hideMark/>
          </w:tcPr>
          <w:p w14:paraId="11FDE0E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80.462,64</w:t>
            </w:r>
          </w:p>
        </w:tc>
      </w:tr>
    </w:tbl>
    <w:p w14:paraId="37A7098D" w14:textId="77777777" w:rsidR="005D09BE" w:rsidRPr="00D44048" w:rsidRDefault="005D09BE" w:rsidP="005D09BE">
      <w:pPr>
        <w:pStyle w:val="DICTA-TEXTO"/>
        <w:tabs>
          <w:tab w:val="clear" w:pos="992"/>
        </w:tabs>
        <w:spacing w:after="0" w:line="240" w:lineRule="auto"/>
        <w:ind w:firstLine="0"/>
        <w:rPr>
          <w:rFonts w:cs="Arial"/>
          <w:sz w:val="20"/>
          <w:lang w:val="es-ES_tradnl"/>
        </w:rPr>
      </w:pPr>
    </w:p>
    <w:p w14:paraId="1E2641F0" w14:textId="77777777" w:rsidR="005D09BE" w:rsidRPr="00D44048" w:rsidRDefault="005D09BE" w:rsidP="005D09BE">
      <w:pPr>
        <w:rPr>
          <w:rFonts w:ascii="Arial" w:hAnsi="Arial" w:cs="Arial"/>
          <w:sz w:val="20"/>
        </w:rPr>
      </w:pPr>
      <w:r w:rsidRPr="00D44048">
        <w:rPr>
          <w:rFonts w:ascii="Arial" w:hAnsi="Arial" w:cs="Arial"/>
          <w:sz w:val="20"/>
        </w:rPr>
        <w:br w:type="page"/>
      </w:r>
    </w:p>
    <w:p w14:paraId="3CBC5440" w14:textId="77777777" w:rsidR="005D09BE" w:rsidRPr="00D44048" w:rsidRDefault="005D09BE" w:rsidP="005D09BE">
      <w:pPr>
        <w:pStyle w:val="DICTA-TEXTO"/>
        <w:tabs>
          <w:tab w:val="clear" w:pos="992"/>
        </w:tabs>
        <w:spacing w:after="0" w:line="240" w:lineRule="auto"/>
        <w:ind w:firstLine="0"/>
        <w:rPr>
          <w:rFonts w:cs="Arial"/>
          <w:sz w:val="20"/>
          <w:lang w:val="es-ES_tradnl"/>
        </w:rPr>
      </w:pPr>
      <w:r w:rsidRPr="00D44048">
        <w:rPr>
          <w:rFonts w:cs="Arial"/>
          <w:sz w:val="20"/>
          <w:lang w:val="es-ES_tradnl"/>
        </w:rPr>
        <w:lastRenderedPageBreak/>
        <w:t>CICLOS FORMATIVOS GRADO MEDIO</w:t>
      </w:r>
    </w:p>
    <w:tbl>
      <w:tblPr>
        <w:tblW w:w="15928" w:type="dxa"/>
        <w:tblCellMar>
          <w:left w:w="70" w:type="dxa"/>
          <w:right w:w="70" w:type="dxa"/>
        </w:tblCellMar>
        <w:tblLook w:val="04A0" w:firstRow="1" w:lastRow="0" w:firstColumn="1" w:lastColumn="0" w:noHBand="0" w:noVBand="1"/>
      </w:tblPr>
      <w:tblGrid>
        <w:gridCol w:w="3233"/>
        <w:gridCol w:w="1070"/>
        <w:gridCol w:w="1211"/>
        <w:gridCol w:w="1667"/>
        <w:gridCol w:w="1344"/>
        <w:gridCol w:w="1230"/>
        <w:gridCol w:w="1253"/>
        <w:gridCol w:w="1230"/>
        <w:gridCol w:w="1230"/>
        <w:gridCol w:w="1230"/>
        <w:gridCol w:w="1230"/>
      </w:tblGrid>
      <w:tr w:rsidR="005D09BE" w:rsidRPr="00D44048" w14:paraId="7D2949F6" w14:textId="77777777" w:rsidTr="00F4450D">
        <w:trPr>
          <w:cantSplit/>
          <w:trHeight w:val="227"/>
        </w:trPr>
        <w:tc>
          <w:tcPr>
            <w:tcW w:w="32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FF900B5" w14:textId="77777777" w:rsidR="005D09BE" w:rsidRPr="00D44048" w:rsidRDefault="005D09BE" w:rsidP="00F4450D">
            <w:pPr>
              <w:jc w:val="both"/>
              <w:rPr>
                <w:rFonts w:ascii="Arial" w:hAnsi="Arial" w:cs="Arial"/>
                <w:sz w:val="16"/>
                <w:szCs w:val="16"/>
              </w:rPr>
            </w:pPr>
            <w:r w:rsidRPr="00D44048">
              <w:rPr>
                <w:rFonts w:ascii="Arial" w:hAnsi="Arial" w:cs="Arial"/>
                <w:sz w:val="16"/>
                <w:szCs w:val="16"/>
              </w:rPr>
              <w:t>CICLOS FORMATIVOS GRADO MEDIO</w:t>
            </w:r>
          </w:p>
        </w:tc>
        <w:tc>
          <w:tcPr>
            <w:tcW w:w="107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E9CD0FC"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CURSO</w:t>
            </w:r>
          </w:p>
        </w:tc>
        <w:tc>
          <w:tcPr>
            <w:tcW w:w="2878" w:type="dxa"/>
            <w:gridSpan w:val="2"/>
            <w:tcBorders>
              <w:top w:val="single" w:sz="8" w:space="0" w:color="auto"/>
              <w:left w:val="nil"/>
              <w:bottom w:val="single" w:sz="8" w:space="0" w:color="auto"/>
              <w:right w:val="single" w:sz="8" w:space="0" w:color="000000"/>
            </w:tcBorders>
            <w:shd w:val="clear" w:color="auto" w:fill="auto"/>
            <w:vAlign w:val="center"/>
            <w:hideMark/>
          </w:tcPr>
          <w:p w14:paraId="510A13FC"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RATIO PROFESOR</w:t>
            </w:r>
          </w:p>
        </w:tc>
        <w:tc>
          <w:tcPr>
            <w:tcW w:w="13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AAD8C7B"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SALARIOS PERSONAL</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EF30DAB"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 MÓDULO</w:t>
            </w:r>
          </w:p>
        </w:tc>
        <w:tc>
          <w:tcPr>
            <w:tcW w:w="125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D6041C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GASTOS VARIABLES</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0C8FF6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 MÓDULO</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9FC145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OTROS GASTOS</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6A6728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 MÓDULO</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A8576BF" w14:textId="77777777" w:rsidR="005D09BE" w:rsidRPr="00D44048" w:rsidRDefault="005D09BE" w:rsidP="00F4450D">
            <w:pPr>
              <w:jc w:val="center"/>
              <w:rPr>
                <w:rFonts w:ascii="Arial" w:hAnsi="Arial" w:cs="Arial"/>
                <w:sz w:val="16"/>
                <w:szCs w:val="16"/>
              </w:rPr>
            </w:pPr>
            <w:proofErr w:type="gramStart"/>
            <w:r w:rsidRPr="00D44048">
              <w:rPr>
                <w:rFonts w:ascii="Arial" w:hAnsi="Arial" w:cs="Arial"/>
                <w:sz w:val="16"/>
                <w:szCs w:val="16"/>
              </w:rPr>
              <w:t>TOTAL</w:t>
            </w:r>
            <w:proofErr w:type="gramEnd"/>
            <w:r w:rsidRPr="00D44048">
              <w:rPr>
                <w:rFonts w:ascii="Arial" w:hAnsi="Arial" w:cs="Arial"/>
                <w:sz w:val="16"/>
                <w:szCs w:val="16"/>
              </w:rPr>
              <w:t xml:space="preserve"> MÓDULO</w:t>
            </w:r>
          </w:p>
        </w:tc>
      </w:tr>
      <w:tr w:rsidR="005D09BE" w:rsidRPr="00D44048" w14:paraId="01E204BF" w14:textId="77777777" w:rsidTr="00F4450D">
        <w:trPr>
          <w:cantSplit/>
          <w:trHeight w:val="227"/>
        </w:trPr>
        <w:tc>
          <w:tcPr>
            <w:tcW w:w="3233" w:type="dxa"/>
            <w:vMerge/>
            <w:tcBorders>
              <w:top w:val="single" w:sz="8" w:space="0" w:color="auto"/>
              <w:left w:val="single" w:sz="8" w:space="0" w:color="auto"/>
              <w:bottom w:val="single" w:sz="8" w:space="0" w:color="000000"/>
              <w:right w:val="single" w:sz="8" w:space="0" w:color="auto"/>
            </w:tcBorders>
            <w:vAlign w:val="center"/>
            <w:hideMark/>
          </w:tcPr>
          <w:p w14:paraId="340754A2" w14:textId="77777777" w:rsidR="005D09BE" w:rsidRPr="00D44048" w:rsidRDefault="005D09BE" w:rsidP="00F4450D">
            <w:pPr>
              <w:jc w:val="both"/>
              <w:rPr>
                <w:rFonts w:ascii="Arial" w:hAnsi="Arial" w:cs="Arial"/>
                <w:sz w:val="16"/>
                <w:szCs w:val="16"/>
              </w:rPr>
            </w:pPr>
          </w:p>
        </w:tc>
        <w:tc>
          <w:tcPr>
            <w:tcW w:w="1070" w:type="dxa"/>
            <w:vMerge/>
            <w:tcBorders>
              <w:top w:val="single" w:sz="8" w:space="0" w:color="auto"/>
              <w:left w:val="single" w:sz="8" w:space="0" w:color="auto"/>
              <w:bottom w:val="single" w:sz="8" w:space="0" w:color="000000"/>
              <w:right w:val="single" w:sz="8" w:space="0" w:color="auto"/>
            </w:tcBorders>
            <w:vAlign w:val="center"/>
            <w:hideMark/>
          </w:tcPr>
          <w:p w14:paraId="1846A4D8" w14:textId="77777777" w:rsidR="005D09BE" w:rsidRPr="00D44048" w:rsidRDefault="005D09BE" w:rsidP="00F4450D">
            <w:pPr>
              <w:jc w:val="center"/>
              <w:rPr>
                <w:rFonts w:ascii="Arial" w:hAnsi="Arial" w:cs="Arial"/>
                <w:sz w:val="16"/>
                <w:szCs w:val="16"/>
              </w:rPr>
            </w:pPr>
          </w:p>
        </w:tc>
        <w:tc>
          <w:tcPr>
            <w:tcW w:w="1211" w:type="dxa"/>
            <w:tcBorders>
              <w:top w:val="nil"/>
              <w:left w:val="nil"/>
              <w:bottom w:val="single" w:sz="8" w:space="0" w:color="auto"/>
              <w:right w:val="single" w:sz="8" w:space="0" w:color="auto"/>
            </w:tcBorders>
            <w:shd w:val="clear" w:color="auto" w:fill="auto"/>
            <w:noWrap/>
            <w:vAlign w:val="center"/>
            <w:hideMark/>
          </w:tcPr>
          <w:p w14:paraId="692EABB6"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TITULAR</w:t>
            </w:r>
          </w:p>
        </w:tc>
        <w:tc>
          <w:tcPr>
            <w:tcW w:w="1667" w:type="dxa"/>
            <w:tcBorders>
              <w:top w:val="nil"/>
              <w:left w:val="nil"/>
              <w:bottom w:val="single" w:sz="8" w:space="0" w:color="auto"/>
              <w:right w:val="single" w:sz="8" w:space="0" w:color="auto"/>
            </w:tcBorders>
            <w:shd w:val="clear" w:color="auto" w:fill="auto"/>
            <w:noWrap/>
            <w:vAlign w:val="center"/>
            <w:hideMark/>
          </w:tcPr>
          <w:p w14:paraId="3E7E5CA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AGREGADO</w:t>
            </w:r>
          </w:p>
        </w:tc>
        <w:tc>
          <w:tcPr>
            <w:tcW w:w="1344" w:type="dxa"/>
            <w:vMerge/>
            <w:tcBorders>
              <w:top w:val="single" w:sz="8" w:space="0" w:color="auto"/>
              <w:left w:val="single" w:sz="8" w:space="0" w:color="auto"/>
              <w:bottom w:val="single" w:sz="8" w:space="0" w:color="000000"/>
              <w:right w:val="single" w:sz="8" w:space="0" w:color="auto"/>
            </w:tcBorders>
            <w:vAlign w:val="center"/>
            <w:hideMark/>
          </w:tcPr>
          <w:p w14:paraId="10B45B77" w14:textId="77777777" w:rsidR="005D09BE" w:rsidRPr="00D44048" w:rsidRDefault="005D09BE" w:rsidP="00F4450D">
            <w:pPr>
              <w:jc w:val="center"/>
              <w:rPr>
                <w:rFonts w:ascii="Arial" w:hAnsi="Arial"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7225A8F0" w14:textId="77777777" w:rsidR="005D09BE" w:rsidRPr="00D44048" w:rsidRDefault="005D09BE" w:rsidP="00F4450D">
            <w:pPr>
              <w:jc w:val="center"/>
              <w:rPr>
                <w:rFonts w:ascii="Arial" w:hAnsi="Arial" w:cs="Arial"/>
                <w:sz w:val="16"/>
                <w:szCs w:val="16"/>
              </w:rPr>
            </w:pPr>
          </w:p>
        </w:tc>
        <w:tc>
          <w:tcPr>
            <w:tcW w:w="1253" w:type="dxa"/>
            <w:vMerge/>
            <w:tcBorders>
              <w:top w:val="single" w:sz="8" w:space="0" w:color="auto"/>
              <w:left w:val="single" w:sz="8" w:space="0" w:color="auto"/>
              <w:bottom w:val="single" w:sz="8" w:space="0" w:color="000000"/>
              <w:right w:val="single" w:sz="8" w:space="0" w:color="auto"/>
            </w:tcBorders>
            <w:vAlign w:val="center"/>
            <w:hideMark/>
          </w:tcPr>
          <w:p w14:paraId="29CEEEAF" w14:textId="77777777" w:rsidR="005D09BE" w:rsidRPr="00D44048" w:rsidRDefault="005D09BE" w:rsidP="00F4450D">
            <w:pPr>
              <w:jc w:val="center"/>
              <w:rPr>
                <w:rFonts w:ascii="Arial" w:hAnsi="Arial"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02A76DD8" w14:textId="77777777" w:rsidR="005D09BE" w:rsidRPr="00D44048" w:rsidRDefault="005D09BE" w:rsidP="00F4450D">
            <w:pPr>
              <w:jc w:val="center"/>
              <w:rPr>
                <w:rFonts w:ascii="Arial" w:hAnsi="Arial"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6C2DA8C5" w14:textId="77777777" w:rsidR="005D09BE" w:rsidRPr="00D44048" w:rsidRDefault="005D09BE" w:rsidP="00F4450D">
            <w:pPr>
              <w:jc w:val="center"/>
              <w:rPr>
                <w:rFonts w:ascii="Arial" w:hAnsi="Arial"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2EB07B57" w14:textId="77777777" w:rsidR="005D09BE" w:rsidRPr="00D44048" w:rsidRDefault="005D09BE" w:rsidP="00F4450D">
            <w:pPr>
              <w:jc w:val="center"/>
              <w:rPr>
                <w:rFonts w:ascii="Arial" w:hAnsi="Arial"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4378870E" w14:textId="77777777" w:rsidR="005D09BE" w:rsidRPr="00D44048" w:rsidRDefault="005D09BE" w:rsidP="00F4450D">
            <w:pPr>
              <w:jc w:val="center"/>
              <w:rPr>
                <w:rFonts w:ascii="Arial" w:hAnsi="Arial" w:cs="Arial"/>
                <w:sz w:val="16"/>
                <w:szCs w:val="16"/>
              </w:rPr>
            </w:pPr>
          </w:p>
        </w:tc>
      </w:tr>
      <w:tr w:rsidR="005D09BE" w:rsidRPr="00D44048" w14:paraId="7C4EF6DD"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56DCD300" w14:textId="5B429C69" w:rsidR="005D09BE" w:rsidRPr="00D44048" w:rsidRDefault="005D09BE" w:rsidP="00F4450D">
            <w:pPr>
              <w:jc w:val="both"/>
              <w:rPr>
                <w:rFonts w:ascii="Arial" w:hAnsi="Arial" w:cs="Arial"/>
                <w:sz w:val="16"/>
                <w:szCs w:val="16"/>
              </w:rPr>
            </w:pPr>
            <w:r w:rsidRPr="00D44048">
              <w:rPr>
                <w:rFonts w:ascii="Arial" w:hAnsi="Arial" w:cs="Arial"/>
                <w:sz w:val="16"/>
                <w:szCs w:val="16"/>
              </w:rPr>
              <w:t>1- C.F.M. GESTI</w:t>
            </w:r>
            <w:r w:rsidR="001236A3">
              <w:rPr>
                <w:rFonts w:ascii="Arial" w:hAnsi="Arial" w:cs="Arial"/>
                <w:sz w:val="16"/>
                <w:szCs w:val="16"/>
              </w:rPr>
              <w:t>Ó</w:t>
            </w:r>
            <w:r w:rsidRPr="00D44048">
              <w:rPr>
                <w:rFonts w:ascii="Arial" w:hAnsi="Arial" w:cs="Arial"/>
                <w:sz w:val="16"/>
                <w:szCs w:val="16"/>
              </w:rPr>
              <w:t>N ADMINISTRATIVA (LOE)</w:t>
            </w:r>
          </w:p>
        </w:tc>
        <w:tc>
          <w:tcPr>
            <w:tcW w:w="1070" w:type="dxa"/>
            <w:tcBorders>
              <w:top w:val="nil"/>
              <w:left w:val="nil"/>
              <w:bottom w:val="single" w:sz="8" w:space="0" w:color="auto"/>
              <w:right w:val="single" w:sz="8" w:space="0" w:color="auto"/>
            </w:tcBorders>
            <w:shd w:val="clear" w:color="auto" w:fill="auto"/>
            <w:noWrap/>
            <w:vAlign w:val="center"/>
            <w:hideMark/>
          </w:tcPr>
          <w:p w14:paraId="7097890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006FF2B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0,478</w:t>
            </w:r>
          </w:p>
        </w:tc>
        <w:tc>
          <w:tcPr>
            <w:tcW w:w="1667" w:type="dxa"/>
            <w:tcBorders>
              <w:top w:val="nil"/>
              <w:left w:val="nil"/>
              <w:bottom w:val="single" w:sz="8" w:space="0" w:color="auto"/>
              <w:right w:val="single" w:sz="8" w:space="0" w:color="auto"/>
            </w:tcBorders>
            <w:shd w:val="clear" w:color="auto" w:fill="auto"/>
            <w:noWrap/>
            <w:vAlign w:val="center"/>
            <w:hideMark/>
          </w:tcPr>
          <w:p w14:paraId="61BDFF36"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1,087</w:t>
            </w:r>
          </w:p>
        </w:tc>
        <w:tc>
          <w:tcPr>
            <w:tcW w:w="1344" w:type="dxa"/>
            <w:tcBorders>
              <w:top w:val="nil"/>
              <w:left w:val="nil"/>
              <w:bottom w:val="single" w:sz="8" w:space="0" w:color="auto"/>
              <w:right w:val="single" w:sz="8" w:space="0" w:color="auto"/>
            </w:tcBorders>
            <w:shd w:val="clear" w:color="auto" w:fill="auto"/>
            <w:noWrap/>
            <w:vAlign w:val="center"/>
            <w:hideMark/>
          </w:tcPr>
          <w:p w14:paraId="50F49A14"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72.905,30</w:t>
            </w:r>
          </w:p>
        </w:tc>
        <w:tc>
          <w:tcPr>
            <w:tcW w:w="1230" w:type="dxa"/>
            <w:tcBorders>
              <w:top w:val="nil"/>
              <w:left w:val="nil"/>
              <w:bottom w:val="single" w:sz="8" w:space="0" w:color="auto"/>
              <w:right w:val="single" w:sz="8" w:space="0" w:color="auto"/>
            </w:tcBorders>
            <w:shd w:val="clear" w:color="auto" w:fill="auto"/>
            <w:noWrap/>
            <w:vAlign w:val="center"/>
            <w:hideMark/>
          </w:tcPr>
          <w:p w14:paraId="52C7BFF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66,70</w:t>
            </w:r>
          </w:p>
        </w:tc>
        <w:tc>
          <w:tcPr>
            <w:tcW w:w="1253" w:type="dxa"/>
            <w:tcBorders>
              <w:top w:val="nil"/>
              <w:left w:val="nil"/>
              <w:bottom w:val="single" w:sz="8" w:space="0" w:color="auto"/>
              <w:right w:val="single" w:sz="8" w:space="0" w:color="auto"/>
            </w:tcBorders>
            <w:shd w:val="clear" w:color="auto" w:fill="auto"/>
            <w:noWrap/>
            <w:vAlign w:val="center"/>
            <w:hideMark/>
          </w:tcPr>
          <w:p w14:paraId="541B4FC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14.680,90</w:t>
            </w:r>
          </w:p>
        </w:tc>
        <w:tc>
          <w:tcPr>
            <w:tcW w:w="1230" w:type="dxa"/>
            <w:tcBorders>
              <w:top w:val="nil"/>
              <w:left w:val="nil"/>
              <w:bottom w:val="single" w:sz="8" w:space="0" w:color="auto"/>
              <w:right w:val="single" w:sz="8" w:space="0" w:color="auto"/>
            </w:tcBorders>
            <w:shd w:val="clear" w:color="auto" w:fill="auto"/>
            <w:noWrap/>
            <w:vAlign w:val="center"/>
            <w:hideMark/>
          </w:tcPr>
          <w:p w14:paraId="36CF525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13,43</w:t>
            </w:r>
          </w:p>
        </w:tc>
        <w:tc>
          <w:tcPr>
            <w:tcW w:w="1230" w:type="dxa"/>
            <w:tcBorders>
              <w:top w:val="nil"/>
              <w:left w:val="nil"/>
              <w:bottom w:val="single" w:sz="8" w:space="0" w:color="auto"/>
              <w:right w:val="single" w:sz="8" w:space="0" w:color="auto"/>
            </w:tcBorders>
            <w:shd w:val="clear" w:color="auto" w:fill="auto"/>
            <w:noWrap/>
            <w:vAlign w:val="center"/>
            <w:hideMark/>
          </w:tcPr>
          <w:p w14:paraId="4A979CEA"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21.711,52</w:t>
            </w:r>
          </w:p>
        </w:tc>
        <w:tc>
          <w:tcPr>
            <w:tcW w:w="1230" w:type="dxa"/>
            <w:tcBorders>
              <w:top w:val="nil"/>
              <w:left w:val="nil"/>
              <w:bottom w:val="single" w:sz="8" w:space="0" w:color="auto"/>
              <w:right w:val="single" w:sz="8" w:space="0" w:color="auto"/>
            </w:tcBorders>
            <w:shd w:val="clear" w:color="auto" w:fill="auto"/>
            <w:noWrap/>
            <w:vAlign w:val="center"/>
            <w:hideMark/>
          </w:tcPr>
          <w:p w14:paraId="356BA2C3"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19,87</w:t>
            </w:r>
          </w:p>
        </w:tc>
        <w:tc>
          <w:tcPr>
            <w:tcW w:w="1230" w:type="dxa"/>
            <w:tcBorders>
              <w:top w:val="nil"/>
              <w:left w:val="nil"/>
              <w:bottom w:val="single" w:sz="8" w:space="0" w:color="auto"/>
              <w:right w:val="single" w:sz="8" w:space="0" w:color="auto"/>
            </w:tcBorders>
            <w:shd w:val="clear" w:color="auto" w:fill="auto"/>
            <w:noWrap/>
            <w:vAlign w:val="center"/>
            <w:hideMark/>
          </w:tcPr>
          <w:p w14:paraId="7D4FDFF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109.297,72</w:t>
            </w:r>
          </w:p>
        </w:tc>
      </w:tr>
      <w:tr w:rsidR="005D09BE" w:rsidRPr="00D44048" w14:paraId="45FD3082"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7C618613" w14:textId="77777777" w:rsidR="005D09BE" w:rsidRPr="00D44048"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4461889A"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6CC265F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0,826</w:t>
            </w:r>
          </w:p>
        </w:tc>
        <w:tc>
          <w:tcPr>
            <w:tcW w:w="1667" w:type="dxa"/>
            <w:tcBorders>
              <w:top w:val="nil"/>
              <w:left w:val="nil"/>
              <w:bottom w:val="single" w:sz="8" w:space="0" w:color="auto"/>
              <w:right w:val="single" w:sz="8" w:space="0" w:color="auto"/>
            </w:tcBorders>
            <w:shd w:val="clear" w:color="auto" w:fill="auto"/>
            <w:noWrap/>
            <w:vAlign w:val="center"/>
            <w:hideMark/>
          </w:tcPr>
          <w:p w14:paraId="78CEB5C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0,568</w:t>
            </w:r>
          </w:p>
        </w:tc>
        <w:tc>
          <w:tcPr>
            <w:tcW w:w="1344" w:type="dxa"/>
            <w:tcBorders>
              <w:top w:val="nil"/>
              <w:left w:val="nil"/>
              <w:bottom w:val="single" w:sz="8" w:space="0" w:color="auto"/>
              <w:right w:val="single" w:sz="8" w:space="0" w:color="auto"/>
            </w:tcBorders>
            <w:shd w:val="clear" w:color="auto" w:fill="auto"/>
            <w:noWrap/>
            <w:vAlign w:val="center"/>
            <w:hideMark/>
          </w:tcPr>
          <w:p w14:paraId="2D1FA53A"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66.624,56</w:t>
            </w:r>
          </w:p>
        </w:tc>
        <w:tc>
          <w:tcPr>
            <w:tcW w:w="1230" w:type="dxa"/>
            <w:tcBorders>
              <w:top w:val="nil"/>
              <w:left w:val="nil"/>
              <w:bottom w:val="single" w:sz="8" w:space="0" w:color="auto"/>
              <w:right w:val="single" w:sz="8" w:space="0" w:color="auto"/>
            </w:tcBorders>
            <w:shd w:val="clear" w:color="auto" w:fill="auto"/>
            <w:noWrap/>
            <w:vAlign w:val="center"/>
            <w:hideMark/>
          </w:tcPr>
          <w:p w14:paraId="32125C24"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65,53</w:t>
            </w:r>
          </w:p>
        </w:tc>
        <w:tc>
          <w:tcPr>
            <w:tcW w:w="1253" w:type="dxa"/>
            <w:tcBorders>
              <w:top w:val="nil"/>
              <w:left w:val="nil"/>
              <w:bottom w:val="single" w:sz="8" w:space="0" w:color="auto"/>
              <w:right w:val="single" w:sz="8" w:space="0" w:color="auto"/>
            </w:tcBorders>
            <w:shd w:val="clear" w:color="auto" w:fill="auto"/>
            <w:noWrap/>
            <w:vAlign w:val="center"/>
            <w:hideMark/>
          </w:tcPr>
          <w:p w14:paraId="0565A22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13.339,11</w:t>
            </w:r>
          </w:p>
        </w:tc>
        <w:tc>
          <w:tcPr>
            <w:tcW w:w="1230" w:type="dxa"/>
            <w:tcBorders>
              <w:top w:val="nil"/>
              <w:left w:val="nil"/>
              <w:bottom w:val="single" w:sz="8" w:space="0" w:color="auto"/>
              <w:right w:val="single" w:sz="8" w:space="0" w:color="auto"/>
            </w:tcBorders>
            <w:shd w:val="clear" w:color="auto" w:fill="auto"/>
            <w:noWrap/>
            <w:vAlign w:val="center"/>
            <w:hideMark/>
          </w:tcPr>
          <w:p w14:paraId="270A7A2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13,12</w:t>
            </w:r>
          </w:p>
        </w:tc>
        <w:tc>
          <w:tcPr>
            <w:tcW w:w="1230" w:type="dxa"/>
            <w:tcBorders>
              <w:top w:val="nil"/>
              <w:left w:val="nil"/>
              <w:bottom w:val="single" w:sz="8" w:space="0" w:color="auto"/>
              <w:right w:val="single" w:sz="8" w:space="0" w:color="auto"/>
            </w:tcBorders>
            <w:shd w:val="clear" w:color="auto" w:fill="auto"/>
            <w:noWrap/>
            <w:vAlign w:val="center"/>
            <w:hideMark/>
          </w:tcPr>
          <w:p w14:paraId="57FDD92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21.711,52</w:t>
            </w:r>
          </w:p>
        </w:tc>
        <w:tc>
          <w:tcPr>
            <w:tcW w:w="1230" w:type="dxa"/>
            <w:tcBorders>
              <w:top w:val="nil"/>
              <w:left w:val="nil"/>
              <w:bottom w:val="single" w:sz="8" w:space="0" w:color="auto"/>
              <w:right w:val="single" w:sz="8" w:space="0" w:color="auto"/>
            </w:tcBorders>
            <w:shd w:val="clear" w:color="auto" w:fill="auto"/>
            <w:noWrap/>
            <w:vAlign w:val="center"/>
            <w:hideMark/>
          </w:tcPr>
          <w:p w14:paraId="4081827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21,35</w:t>
            </w:r>
          </w:p>
        </w:tc>
        <w:tc>
          <w:tcPr>
            <w:tcW w:w="1230" w:type="dxa"/>
            <w:tcBorders>
              <w:top w:val="nil"/>
              <w:left w:val="nil"/>
              <w:bottom w:val="single" w:sz="8" w:space="0" w:color="auto"/>
              <w:right w:val="single" w:sz="8" w:space="0" w:color="auto"/>
            </w:tcBorders>
            <w:shd w:val="clear" w:color="auto" w:fill="auto"/>
            <w:noWrap/>
            <w:vAlign w:val="center"/>
            <w:hideMark/>
          </w:tcPr>
          <w:p w14:paraId="4376F76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101.675,19</w:t>
            </w:r>
          </w:p>
        </w:tc>
      </w:tr>
      <w:tr w:rsidR="005D09BE" w:rsidRPr="00D44048" w14:paraId="526CFABC"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1D3AD720" w14:textId="6F1944F4" w:rsidR="005D09BE" w:rsidRPr="00D44048" w:rsidRDefault="005D09BE" w:rsidP="00F4450D">
            <w:pPr>
              <w:jc w:val="both"/>
              <w:rPr>
                <w:rFonts w:ascii="Arial" w:hAnsi="Arial" w:cs="Arial"/>
                <w:sz w:val="16"/>
                <w:szCs w:val="16"/>
              </w:rPr>
            </w:pPr>
            <w:r w:rsidRPr="00D44048">
              <w:rPr>
                <w:rFonts w:ascii="Arial" w:hAnsi="Arial" w:cs="Arial"/>
                <w:sz w:val="16"/>
                <w:szCs w:val="16"/>
              </w:rPr>
              <w:t> 2- C.F.M. GESTI</w:t>
            </w:r>
            <w:r w:rsidR="001236A3">
              <w:rPr>
                <w:rFonts w:ascii="Arial" w:hAnsi="Arial" w:cs="Arial"/>
                <w:sz w:val="16"/>
                <w:szCs w:val="16"/>
              </w:rPr>
              <w:t>Ó</w:t>
            </w:r>
            <w:r w:rsidRPr="00D44048">
              <w:rPr>
                <w:rFonts w:ascii="Arial" w:hAnsi="Arial" w:cs="Arial"/>
                <w:sz w:val="16"/>
                <w:szCs w:val="16"/>
              </w:rPr>
              <w:t>N ADMINISTRATIVA EN TRES AÑOS (LOE)</w:t>
            </w:r>
          </w:p>
        </w:tc>
        <w:tc>
          <w:tcPr>
            <w:tcW w:w="1070" w:type="dxa"/>
            <w:tcBorders>
              <w:top w:val="nil"/>
              <w:left w:val="nil"/>
              <w:bottom w:val="single" w:sz="8" w:space="0" w:color="auto"/>
              <w:right w:val="single" w:sz="8" w:space="0" w:color="auto"/>
            </w:tcBorders>
            <w:shd w:val="clear" w:color="auto" w:fill="auto"/>
            <w:noWrap/>
            <w:vAlign w:val="center"/>
            <w:hideMark/>
          </w:tcPr>
          <w:p w14:paraId="755BAFA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596F83D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0,478</w:t>
            </w:r>
          </w:p>
        </w:tc>
        <w:tc>
          <w:tcPr>
            <w:tcW w:w="1667" w:type="dxa"/>
            <w:tcBorders>
              <w:top w:val="nil"/>
              <w:left w:val="nil"/>
              <w:bottom w:val="single" w:sz="8" w:space="0" w:color="auto"/>
              <w:right w:val="single" w:sz="8" w:space="0" w:color="auto"/>
            </w:tcBorders>
            <w:shd w:val="clear" w:color="auto" w:fill="auto"/>
            <w:noWrap/>
            <w:vAlign w:val="center"/>
            <w:hideMark/>
          </w:tcPr>
          <w:p w14:paraId="2622DDF3"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0,435</w:t>
            </w:r>
          </w:p>
        </w:tc>
        <w:tc>
          <w:tcPr>
            <w:tcW w:w="1344" w:type="dxa"/>
            <w:tcBorders>
              <w:top w:val="nil"/>
              <w:left w:val="nil"/>
              <w:bottom w:val="single" w:sz="8" w:space="0" w:color="auto"/>
              <w:right w:val="single" w:sz="8" w:space="0" w:color="auto"/>
            </w:tcBorders>
            <w:shd w:val="clear" w:color="auto" w:fill="auto"/>
            <w:noWrap/>
            <w:vAlign w:val="center"/>
            <w:hideMark/>
          </w:tcPr>
          <w:p w14:paraId="22A9884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43.370,51</w:t>
            </w:r>
          </w:p>
        </w:tc>
        <w:tc>
          <w:tcPr>
            <w:tcW w:w="1230" w:type="dxa"/>
            <w:tcBorders>
              <w:top w:val="nil"/>
              <w:left w:val="nil"/>
              <w:bottom w:val="single" w:sz="8" w:space="0" w:color="auto"/>
              <w:right w:val="single" w:sz="8" w:space="0" w:color="auto"/>
            </w:tcBorders>
            <w:shd w:val="clear" w:color="auto" w:fill="auto"/>
            <w:noWrap/>
            <w:vAlign w:val="center"/>
            <w:hideMark/>
          </w:tcPr>
          <w:p w14:paraId="5CDCB1FA"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64,63</w:t>
            </w:r>
          </w:p>
        </w:tc>
        <w:tc>
          <w:tcPr>
            <w:tcW w:w="1253" w:type="dxa"/>
            <w:tcBorders>
              <w:top w:val="nil"/>
              <w:left w:val="nil"/>
              <w:bottom w:val="single" w:sz="8" w:space="0" w:color="auto"/>
              <w:right w:val="single" w:sz="8" w:space="0" w:color="auto"/>
            </w:tcBorders>
            <w:shd w:val="clear" w:color="auto" w:fill="auto"/>
            <w:noWrap/>
            <w:vAlign w:val="center"/>
            <w:hideMark/>
          </w:tcPr>
          <w:p w14:paraId="19A49C8A"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9.257,08</w:t>
            </w:r>
          </w:p>
        </w:tc>
        <w:tc>
          <w:tcPr>
            <w:tcW w:w="1230" w:type="dxa"/>
            <w:tcBorders>
              <w:top w:val="nil"/>
              <w:left w:val="nil"/>
              <w:bottom w:val="single" w:sz="8" w:space="0" w:color="auto"/>
              <w:right w:val="single" w:sz="8" w:space="0" w:color="auto"/>
            </w:tcBorders>
            <w:shd w:val="clear" w:color="auto" w:fill="auto"/>
            <w:noWrap/>
            <w:vAlign w:val="center"/>
            <w:hideMark/>
          </w:tcPr>
          <w:p w14:paraId="5B16100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13,80</w:t>
            </w:r>
          </w:p>
        </w:tc>
        <w:tc>
          <w:tcPr>
            <w:tcW w:w="1230" w:type="dxa"/>
            <w:tcBorders>
              <w:top w:val="nil"/>
              <w:left w:val="nil"/>
              <w:bottom w:val="single" w:sz="8" w:space="0" w:color="auto"/>
              <w:right w:val="single" w:sz="8" w:space="0" w:color="auto"/>
            </w:tcBorders>
            <w:shd w:val="clear" w:color="auto" w:fill="auto"/>
            <w:noWrap/>
            <w:vAlign w:val="center"/>
            <w:hideMark/>
          </w:tcPr>
          <w:p w14:paraId="7870E734"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14.474,33</w:t>
            </w:r>
          </w:p>
        </w:tc>
        <w:tc>
          <w:tcPr>
            <w:tcW w:w="1230" w:type="dxa"/>
            <w:tcBorders>
              <w:top w:val="nil"/>
              <w:left w:val="nil"/>
              <w:bottom w:val="single" w:sz="8" w:space="0" w:color="auto"/>
              <w:right w:val="single" w:sz="8" w:space="0" w:color="auto"/>
            </w:tcBorders>
            <w:shd w:val="clear" w:color="auto" w:fill="auto"/>
            <w:noWrap/>
            <w:vAlign w:val="center"/>
            <w:hideMark/>
          </w:tcPr>
          <w:p w14:paraId="1E62A4D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21,57</w:t>
            </w:r>
          </w:p>
        </w:tc>
        <w:tc>
          <w:tcPr>
            <w:tcW w:w="1230" w:type="dxa"/>
            <w:tcBorders>
              <w:top w:val="nil"/>
              <w:left w:val="nil"/>
              <w:bottom w:val="single" w:sz="8" w:space="0" w:color="auto"/>
              <w:right w:val="single" w:sz="8" w:space="0" w:color="auto"/>
            </w:tcBorders>
            <w:shd w:val="clear" w:color="auto" w:fill="auto"/>
            <w:noWrap/>
            <w:vAlign w:val="center"/>
            <w:hideMark/>
          </w:tcPr>
          <w:p w14:paraId="495B6636"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67.101,92</w:t>
            </w:r>
          </w:p>
        </w:tc>
      </w:tr>
      <w:tr w:rsidR="005D09BE" w:rsidRPr="00D44048" w14:paraId="0917187E"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39DBE553" w14:textId="77777777" w:rsidR="005D09BE" w:rsidRPr="00D44048"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43F971A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5388E41C"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0,304</w:t>
            </w:r>
          </w:p>
        </w:tc>
        <w:tc>
          <w:tcPr>
            <w:tcW w:w="1667" w:type="dxa"/>
            <w:tcBorders>
              <w:top w:val="nil"/>
              <w:left w:val="nil"/>
              <w:bottom w:val="single" w:sz="8" w:space="0" w:color="auto"/>
              <w:right w:val="single" w:sz="8" w:space="0" w:color="auto"/>
            </w:tcBorders>
            <w:shd w:val="clear" w:color="auto" w:fill="auto"/>
            <w:noWrap/>
            <w:vAlign w:val="center"/>
            <w:hideMark/>
          </w:tcPr>
          <w:p w14:paraId="45A3EFF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0,609</w:t>
            </w:r>
          </w:p>
        </w:tc>
        <w:tc>
          <w:tcPr>
            <w:tcW w:w="1344" w:type="dxa"/>
            <w:tcBorders>
              <w:top w:val="nil"/>
              <w:left w:val="nil"/>
              <w:bottom w:val="single" w:sz="8" w:space="0" w:color="auto"/>
              <w:right w:val="single" w:sz="8" w:space="0" w:color="auto"/>
            </w:tcBorders>
            <w:shd w:val="clear" w:color="auto" w:fill="auto"/>
            <w:noWrap/>
            <w:vAlign w:val="center"/>
            <w:hideMark/>
          </w:tcPr>
          <w:p w14:paraId="3D39E93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42.637,84</w:t>
            </w:r>
          </w:p>
        </w:tc>
        <w:tc>
          <w:tcPr>
            <w:tcW w:w="1230" w:type="dxa"/>
            <w:tcBorders>
              <w:top w:val="nil"/>
              <w:left w:val="nil"/>
              <w:bottom w:val="single" w:sz="8" w:space="0" w:color="auto"/>
              <w:right w:val="single" w:sz="8" w:space="0" w:color="auto"/>
            </w:tcBorders>
            <w:shd w:val="clear" w:color="auto" w:fill="auto"/>
            <w:noWrap/>
            <w:vAlign w:val="center"/>
            <w:hideMark/>
          </w:tcPr>
          <w:p w14:paraId="71B4C0F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64,25</w:t>
            </w:r>
          </w:p>
        </w:tc>
        <w:tc>
          <w:tcPr>
            <w:tcW w:w="1253" w:type="dxa"/>
            <w:tcBorders>
              <w:top w:val="nil"/>
              <w:left w:val="nil"/>
              <w:bottom w:val="single" w:sz="8" w:space="0" w:color="auto"/>
              <w:right w:val="single" w:sz="8" w:space="0" w:color="auto"/>
            </w:tcBorders>
            <w:shd w:val="clear" w:color="auto" w:fill="auto"/>
            <w:noWrap/>
            <w:vAlign w:val="center"/>
            <w:hideMark/>
          </w:tcPr>
          <w:p w14:paraId="3E5AAED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9.245,42</w:t>
            </w:r>
          </w:p>
        </w:tc>
        <w:tc>
          <w:tcPr>
            <w:tcW w:w="1230" w:type="dxa"/>
            <w:tcBorders>
              <w:top w:val="nil"/>
              <w:left w:val="nil"/>
              <w:bottom w:val="single" w:sz="8" w:space="0" w:color="auto"/>
              <w:right w:val="single" w:sz="8" w:space="0" w:color="auto"/>
            </w:tcBorders>
            <w:shd w:val="clear" w:color="auto" w:fill="auto"/>
            <w:noWrap/>
            <w:vAlign w:val="center"/>
            <w:hideMark/>
          </w:tcPr>
          <w:p w14:paraId="37F297D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13,93</w:t>
            </w:r>
          </w:p>
        </w:tc>
        <w:tc>
          <w:tcPr>
            <w:tcW w:w="1230" w:type="dxa"/>
            <w:tcBorders>
              <w:top w:val="nil"/>
              <w:left w:val="nil"/>
              <w:bottom w:val="single" w:sz="8" w:space="0" w:color="auto"/>
              <w:right w:val="single" w:sz="8" w:space="0" w:color="auto"/>
            </w:tcBorders>
            <w:shd w:val="clear" w:color="auto" w:fill="auto"/>
            <w:noWrap/>
            <w:vAlign w:val="center"/>
            <w:hideMark/>
          </w:tcPr>
          <w:p w14:paraId="70B716B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14.474,33</w:t>
            </w:r>
          </w:p>
        </w:tc>
        <w:tc>
          <w:tcPr>
            <w:tcW w:w="1230" w:type="dxa"/>
            <w:tcBorders>
              <w:top w:val="nil"/>
              <w:left w:val="nil"/>
              <w:bottom w:val="single" w:sz="8" w:space="0" w:color="auto"/>
              <w:right w:val="single" w:sz="8" w:space="0" w:color="auto"/>
            </w:tcBorders>
            <w:shd w:val="clear" w:color="auto" w:fill="auto"/>
            <w:noWrap/>
            <w:vAlign w:val="center"/>
            <w:hideMark/>
          </w:tcPr>
          <w:p w14:paraId="3AEFA354"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21,82</w:t>
            </w:r>
          </w:p>
        </w:tc>
        <w:tc>
          <w:tcPr>
            <w:tcW w:w="1230" w:type="dxa"/>
            <w:tcBorders>
              <w:top w:val="nil"/>
              <w:left w:val="nil"/>
              <w:bottom w:val="single" w:sz="8" w:space="0" w:color="auto"/>
              <w:right w:val="single" w:sz="8" w:space="0" w:color="auto"/>
            </w:tcBorders>
            <w:shd w:val="clear" w:color="auto" w:fill="auto"/>
            <w:noWrap/>
            <w:vAlign w:val="center"/>
            <w:hideMark/>
          </w:tcPr>
          <w:p w14:paraId="1659AB8E"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66.357,59</w:t>
            </w:r>
          </w:p>
        </w:tc>
      </w:tr>
      <w:tr w:rsidR="005D09BE" w:rsidRPr="00D44048" w14:paraId="4C8ECB29"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56134C33" w14:textId="77777777" w:rsidR="005D09BE" w:rsidRPr="00D44048"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3D5F23BC"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3º</w:t>
            </w:r>
          </w:p>
        </w:tc>
        <w:tc>
          <w:tcPr>
            <w:tcW w:w="1211" w:type="dxa"/>
            <w:tcBorders>
              <w:top w:val="nil"/>
              <w:left w:val="nil"/>
              <w:bottom w:val="single" w:sz="8" w:space="0" w:color="auto"/>
              <w:right w:val="single" w:sz="8" w:space="0" w:color="auto"/>
            </w:tcBorders>
            <w:shd w:val="clear" w:color="auto" w:fill="auto"/>
            <w:noWrap/>
            <w:vAlign w:val="center"/>
            <w:hideMark/>
          </w:tcPr>
          <w:p w14:paraId="05EAA9A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0,565</w:t>
            </w:r>
          </w:p>
        </w:tc>
        <w:tc>
          <w:tcPr>
            <w:tcW w:w="1667" w:type="dxa"/>
            <w:tcBorders>
              <w:top w:val="nil"/>
              <w:left w:val="nil"/>
              <w:bottom w:val="single" w:sz="8" w:space="0" w:color="auto"/>
              <w:right w:val="single" w:sz="8" w:space="0" w:color="auto"/>
            </w:tcBorders>
            <w:shd w:val="clear" w:color="auto" w:fill="auto"/>
            <w:noWrap/>
            <w:vAlign w:val="center"/>
            <w:hideMark/>
          </w:tcPr>
          <w:p w14:paraId="167B5B04"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0,348</w:t>
            </w:r>
          </w:p>
        </w:tc>
        <w:tc>
          <w:tcPr>
            <w:tcW w:w="1344" w:type="dxa"/>
            <w:tcBorders>
              <w:top w:val="nil"/>
              <w:left w:val="nil"/>
              <w:bottom w:val="single" w:sz="8" w:space="0" w:color="auto"/>
              <w:right w:val="single" w:sz="8" w:space="0" w:color="auto"/>
            </w:tcBorders>
            <w:shd w:val="clear" w:color="auto" w:fill="auto"/>
            <w:noWrap/>
            <w:vAlign w:val="center"/>
            <w:hideMark/>
          </w:tcPr>
          <w:p w14:paraId="155F58C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43.736,85</w:t>
            </w:r>
          </w:p>
        </w:tc>
        <w:tc>
          <w:tcPr>
            <w:tcW w:w="1230" w:type="dxa"/>
            <w:tcBorders>
              <w:top w:val="nil"/>
              <w:left w:val="nil"/>
              <w:bottom w:val="single" w:sz="8" w:space="0" w:color="auto"/>
              <w:right w:val="single" w:sz="8" w:space="0" w:color="auto"/>
            </w:tcBorders>
            <w:shd w:val="clear" w:color="auto" w:fill="auto"/>
            <w:noWrap/>
            <w:vAlign w:val="center"/>
            <w:hideMark/>
          </w:tcPr>
          <w:p w14:paraId="05DDD09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64,82</w:t>
            </w:r>
          </w:p>
        </w:tc>
        <w:tc>
          <w:tcPr>
            <w:tcW w:w="1253" w:type="dxa"/>
            <w:tcBorders>
              <w:top w:val="nil"/>
              <w:left w:val="nil"/>
              <w:bottom w:val="single" w:sz="8" w:space="0" w:color="auto"/>
              <w:right w:val="single" w:sz="8" w:space="0" w:color="auto"/>
            </w:tcBorders>
            <w:shd w:val="clear" w:color="auto" w:fill="auto"/>
            <w:noWrap/>
            <w:vAlign w:val="center"/>
            <w:hideMark/>
          </w:tcPr>
          <w:p w14:paraId="29971156"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9.262,93</w:t>
            </w:r>
          </w:p>
        </w:tc>
        <w:tc>
          <w:tcPr>
            <w:tcW w:w="1230" w:type="dxa"/>
            <w:tcBorders>
              <w:top w:val="nil"/>
              <w:left w:val="nil"/>
              <w:bottom w:val="single" w:sz="8" w:space="0" w:color="auto"/>
              <w:right w:val="single" w:sz="8" w:space="0" w:color="auto"/>
            </w:tcBorders>
            <w:shd w:val="clear" w:color="auto" w:fill="auto"/>
            <w:noWrap/>
            <w:vAlign w:val="center"/>
            <w:hideMark/>
          </w:tcPr>
          <w:p w14:paraId="2380CEBC"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13,73</w:t>
            </w:r>
          </w:p>
        </w:tc>
        <w:tc>
          <w:tcPr>
            <w:tcW w:w="1230" w:type="dxa"/>
            <w:tcBorders>
              <w:top w:val="nil"/>
              <w:left w:val="nil"/>
              <w:bottom w:val="single" w:sz="8" w:space="0" w:color="auto"/>
              <w:right w:val="single" w:sz="8" w:space="0" w:color="auto"/>
            </w:tcBorders>
            <w:shd w:val="clear" w:color="auto" w:fill="auto"/>
            <w:noWrap/>
            <w:vAlign w:val="center"/>
            <w:hideMark/>
          </w:tcPr>
          <w:p w14:paraId="1F87C88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14.474,33</w:t>
            </w:r>
          </w:p>
        </w:tc>
        <w:tc>
          <w:tcPr>
            <w:tcW w:w="1230" w:type="dxa"/>
            <w:tcBorders>
              <w:top w:val="nil"/>
              <w:left w:val="nil"/>
              <w:bottom w:val="single" w:sz="8" w:space="0" w:color="auto"/>
              <w:right w:val="single" w:sz="8" w:space="0" w:color="auto"/>
            </w:tcBorders>
            <w:shd w:val="clear" w:color="auto" w:fill="auto"/>
            <w:noWrap/>
            <w:vAlign w:val="center"/>
            <w:hideMark/>
          </w:tcPr>
          <w:p w14:paraId="3723DE45"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21,45</w:t>
            </w:r>
          </w:p>
        </w:tc>
        <w:tc>
          <w:tcPr>
            <w:tcW w:w="1230" w:type="dxa"/>
            <w:tcBorders>
              <w:top w:val="nil"/>
              <w:left w:val="nil"/>
              <w:bottom w:val="single" w:sz="8" w:space="0" w:color="auto"/>
              <w:right w:val="single" w:sz="8" w:space="0" w:color="auto"/>
            </w:tcBorders>
            <w:shd w:val="clear" w:color="auto" w:fill="auto"/>
            <w:noWrap/>
            <w:vAlign w:val="center"/>
            <w:hideMark/>
          </w:tcPr>
          <w:p w14:paraId="7612DBF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67.474,11</w:t>
            </w:r>
          </w:p>
        </w:tc>
      </w:tr>
      <w:tr w:rsidR="005D09BE" w:rsidRPr="00D44048" w14:paraId="42917821"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1D14B1BF" w14:textId="72180C90" w:rsidR="005D09BE" w:rsidRPr="00D44048" w:rsidRDefault="005D09BE" w:rsidP="00F4450D">
            <w:pPr>
              <w:jc w:val="both"/>
              <w:rPr>
                <w:rFonts w:ascii="Arial" w:hAnsi="Arial" w:cs="Arial"/>
                <w:sz w:val="16"/>
                <w:szCs w:val="16"/>
              </w:rPr>
            </w:pPr>
            <w:r w:rsidRPr="00D44048">
              <w:rPr>
                <w:rFonts w:ascii="Arial" w:hAnsi="Arial" w:cs="Arial"/>
                <w:sz w:val="16"/>
                <w:szCs w:val="16"/>
              </w:rPr>
              <w:t>3- C.F.M. CUIDADOS AUXILIARES DE ENFERMER</w:t>
            </w:r>
            <w:r w:rsidR="001236A3">
              <w:rPr>
                <w:rFonts w:ascii="Arial" w:hAnsi="Arial" w:cs="Arial"/>
                <w:sz w:val="16"/>
                <w:szCs w:val="16"/>
              </w:rPr>
              <w:t>Í</w:t>
            </w:r>
            <w:r w:rsidRPr="00D44048">
              <w:rPr>
                <w:rFonts w:ascii="Arial" w:hAnsi="Arial" w:cs="Arial"/>
                <w:sz w:val="16"/>
                <w:szCs w:val="16"/>
              </w:rPr>
              <w:t>A</w:t>
            </w:r>
          </w:p>
        </w:tc>
        <w:tc>
          <w:tcPr>
            <w:tcW w:w="1070" w:type="dxa"/>
            <w:tcBorders>
              <w:top w:val="nil"/>
              <w:left w:val="nil"/>
              <w:bottom w:val="single" w:sz="8" w:space="0" w:color="auto"/>
              <w:right w:val="single" w:sz="8" w:space="0" w:color="auto"/>
            </w:tcBorders>
            <w:shd w:val="clear" w:color="auto" w:fill="auto"/>
            <w:noWrap/>
            <w:vAlign w:val="center"/>
            <w:hideMark/>
          </w:tcPr>
          <w:p w14:paraId="3DF3BBA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4A7322FA"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0,435</w:t>
            </w:r>
          </w:p>
        </w:tc>
        <w:tc>
          <w:tcPr>
            <w:tcW w:w="1667" w:type="dxa"/>
            <w:tcBorders>
              <w:top w:val="nil"/>
              <w:left w:val="nil"/>
              <w:bottom w:val="single" w:sz="8" w:space="0" w:color="auto"/>
              <w:right w:val="single" w:sz="8" w:space="0" w:color="auto"/>
            </w:tcBorders>
            <w:shd w:val="clear" w:color="auto" w:fill="auto"/>
            <w:noWrap/>
            <w:vAlign w:val="center"/>
            <w:hideMark/>
          </w:tcPr>
          <w:p w14:paraId="3E11AFD4"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1,304</w:t>
            </w:r>
          </w:p>
        </w:tc>
        <w:tc>
          <w:tcPr>
            <w:tcW w:w="1344" w:type="dxa"/>
            <w:tcBorders>
              <w:top w:val="nil"/>
              <w:left w:val="nil"/>
              <w:bottom w:val="single" w:sz="8" w:space="0" w:color="auto"/>
              <w:right w:val="single" w:sz="8" w:space="0" w:color="auto"/>
            </w:tcBorders>
            <w:shd w:val="clear" w:color="auto" w:fill="auto"/>
            <w:noWrap/>
            <w:vAlign w:val="center"/>
            <w:hideMark/>
          </w:tcPr>
          <w:p w14:paraId="47933E25"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80.606,22</w:t>
            </w:r>
          </w:p>
        </w:tc>
        <w:tc>
          <w:tcPr>
            <w:tcW w:w="1230" w:type="dxa"/>
            <w:tcBorders>
              <w:top w:val="nil"/>
              <w:left w:val="nil"/>
              <w:bottom w:val="single" w:sz="8" w:space="0" w:color="auto"/>
              <w:right w:val="single" w:sz="8" w:space="0" w:color="auto"/>
            </w:tcBorders>
            <w:shd w:val="clear" w:color="auto" w:fill="auto"/>
            <w:noWrap/>
            <w:vAlign w:val="center"/>
            <w:hideMark/>
          </w:tcPr>
          <w:p w14:paraId="76C3DB05"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68,28</w:t>
            </w:r>
          </w:p>
        </w:tc>
        <w:tc>
          <w:tcPr>
            <w:tcW w:w="1253" w:type="dxa"/>
            <w:tcBorders>
              <w:top w:val="nil"/>
              <w:left w:val="nil"/>
              <w:bottom w:val="single" w:sz="8" w:space="0" w:color="auto"/>
              <w:right w:val="single" w:sz="8" w:space="0" w:color="auto"/>
            </w:tcBorders>
            <w:shd w:val="clear" w:color="auto" w:fill="auto"/>
            <w:noWrap/>
            <w:vAlign w:val="center"/>
            <w:hideMark/>
          </w:tcPr>
          <w:p w14:paraId="52B636E4"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16.291,52</w:t>
            </w:r>
          </w:p>
        </w:tc>
        <w:tc>
          <w:tcPr>
            <w:tcW w:w="1230" w:type="dxa"/>
            <w:tcBorders>
              <w:top w:val="nil"/>
              <w:left w:val="nil"/>
              <w:bottom w:val="single" w:sz="8" w:space="0" w:color="auto"/>
              <w:right w:val="single" w:sz="8" w:space="0" w:color="auto"/>
            </w:tcBorders>
            <w:shd w:val="clear" w:color="auto" w:fill="auto"/>
            <w:noWrap/>
            <w:vAlign w:val="center"/>
            <w:hideMark/>
          </w:tcPr>
          <w:p w14:paraId="3364AE35"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13,80</w:t>
            </w:r>
          </w:p>
        </w:tc>
        <w:tc>
          <w:tcPr>
            <w:tcW w:w="1230" w:type="dxa"/>
            <w:tcBorders>
              <w:top w:val="nil"/>
              <w:left w:val="nil"/>
              <w:bottom w:val="single" w:sz="8" w:space="0" w:color="auto"/>
              <w:right w:val="single" w:sz="8" w:space="0" w:color="auto"/>
            </w:tcBorders>
            <w:shd w:val="clear" w:color="auto" w:fill="auto"/>
            <w:noWrap/>
            <w:vAlign w:val="center"/>
            <w:hideMark/>
          </w:tcPr>
          <w:p w14:paraId="387BF7E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21.153,27</w:t>
            </w:r>
          </w:p>
        </w:tc>
        <w:tc>
          <w:tcPr>
            <w:tcW w:w="1230" w:type="dxa"/>
            <w:tcBorders>
              <w:top w:val="nil"/>
              <w:left w:val="nil"/>
              <w:bottom w:val="single" w:sz="8" w:space="0" w:color="auto"/>
              <w:right w:val="single" w:sz="8" w:space="0" w:color="auto"/>
            </w:tcBorders>
            <w:shd w:val="clear" w:color="auto" w:fill="auto"/>
            <w:noWrap/>
            <w:vAlign w:val="center"/>
            <w:hideMark/>
          </w:tcPr>
          <w:p w14:paraId="06E1374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17,92</w:t>
            </w:r>
          </w:p>
        </w:tc>
        <w:tc>
          <w:tcPr>
            <w:tcW w:w="1230" w:type="dxa"/>
            <w:tcBorders>
              <w:top w:val="nil"/>
              <w:left w:val="nil"/>
              <w:bottom w:val="single" w:sz="8" w:space="0" w:color="auto"/>
              <w:right w:val="single" w:sz="8" w:space="0" w:color="auto"/>
            </w:tcBorders>
            <w:shd w:val="clear" w:color="auto" w:fill="auto"/>
            <w:noWrap/>
            <w:vAlign w:val="center"/>
            <w:hideMark/>
          </w:tcPr>
          <w:p w14:paraId="0913402B"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118.051,01</w:t>
            </w:r>
          </w:p>
        </w:tc>
      </w:tr>
      <w:tr w:rsidR="005D09BE" w:rsidRPr="00D44048" w14:paraId="554D468A"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61BA60E7" w14:textId="77777777" w:rsidR="005D09BE" w:rsidRPr="00D44048"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462472BB"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7F525096"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0,261</w:t>
            </w:r>
          </w:p>
        </w:tc>
        <w:tc>
          <w:tcPr>
            <w:tcW w:w="1667" w:type="dxa"/>
            <w:tcBorders>
              <w:top w:val="nil"/>
              <w:left w:val="nil"/>
              <w:bottom w:val="single" w:sz="8" w:space="0" w:color="auto"/>
              <w:right w:val="single" w:sz="8" w:space="0" w:color="auto"/>
            </w:tcBorders>
            <w:shd w:val="clear" w:color="auto" w:fill="auto"/>
            <w:noWrap/>
            <w:vAlign w:val="center"/>
            <w:hideMark/>
          </w:tcPr>
          <w:p w14:paraId="13EA96D6" w14:textId="77777777" w:rsidR="005D09BE" w:rsidRPr="00D44048" w:rsidRDefault="005D09BE" w:rsidP="00F4450D">
            <w:pPr>
              <w:jc w:val="center"/>
              <w:rPr>
                <w:rFonts w:ascii="Arial" w:hAnsi="Arial" w:cs="Arial"/>
                <w:sz w:val="16"/>
                <w:szCs w:val="16"/>
              </w:rPr>
            </w:pPr>
            <w:r w:rsidRPr="00D44048">
              <w:rPr>
                <w:rFonts w:ascii="Arial" w:hAnsi="Arial" w:cs="Arial"/>
                <w:w w:val="99"/>
                <w:sz w:val="16"/>
                <w:szCs w:val="16"/>
              </w:rPr>
              <w:t>0</w:t>
            </w:r>
          </w:p>
        </w:tc>
        <w:tc>
          <w:tcPr>
            <w:tcW w:w="1344" w:type="dxa"/>
            <w:tcBorders>
              <w:top w:val="nil"/>
              <w:left w:val="nil"/>
              <w:bottom w:val="single" w:sz="8" w:space="0" w:color="auto"/>
              <w:right w:val="single" w:sz="8" w:space="0" w:color="auto"/>
            </w:tcBorders>
            <w:shd w:val="clear" w:color="auto" w:fill="auto"/>
            <w:noWrap/>
            <w:vAlign w:val="center"/>
            <w:hideMark/>
          </w:tcPr>
          <w:p w14:paraId="29A94B76"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12.921,99</w:t>
            </w:r>
          </w:p>
        </w:tc>
        <w:tc>
          <w:tcPr>
            <w:tcW w:w="1230" w:type="dxa"/>
            <w:tcBorders>
              <w:top w:val="nil"/>
              <w:left w:val="nil"/>
              <w:bottom w:val="single" w:sz="8" w:space="0" w:color="auto"/>
              <w:right w:val="single" w:sz="8" w:space="0" w:color="auto"/>
            </w:tcBorders>
            <w:shd w:val="clear" w:color="auto" w:fill="auto"/>
            <w:noWrap/>
            <w:vAlign w:val="center"/>
            <w:hideMark/>
          </w:tcPr>
          <w:p w14:paraId="5EC0BECA"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63,49</w:t>
            </w:r>
          </w:p>
        </w:tc>
        <w:tc>
          <w:tcPr>
            <w:tcW w:w="1253" w:type="dxa"/>
            <w:tcBorders>
              <w:top w:val="nil"/>
              <w:left w:val="nil"/>
              <w:bottom w:val="single" w:sz="8" w:space="0" w:color="auto"/>
              <w:right w:val="single" w:sz="8" w:space="0" w:color="auto"/>
            </w:tcBorders>
            <w:shd w:val="clear" w:color="auto" w:fill="auto"/>
            <w:noWrap/>
            <w:vAlign w:val="center"/>
            <w:hideMark/>
          </w:tcPr>
          <w:p w14:paraId="23642BD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3.629,51</w:t>
            </w:r>
          </w:p>
        </w:tc>
        <w:tc>
          <w:tcPr>
            <w:tcW w:w="1230" w:type="dxa"/>
            <w:tcBorders>
              <w:top w:val="nil"/>
              <w:left w:val="nil"/>
              <w:bottom w:val="single" w:sz="8" w:space="0" w:color="auto"/>
              <w:right w:val="single" w:sz="8" w:space="0" w:color="auto"/>
            </w:tcBorders>
            <w:shd w:val="clear" w:color="auto" w:fill="auto"/>
            <w:noWrap/>
            <w:vAlign w:val="center"/>
            <w:hideMark/>
          </w:tcPr>
          <w:p w14:paraId="54F1C1F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17,83</w:t>
            </w:r>
          </w:p>
        </w:tc>
        <w:tc>
          <w:tcPr>
            <w:tcW w:w="1230" w:type="dxa"/>
            <w:tcBorders>
              <w:top w:val="nil"/>
              <w:left w:val="nil"/>
              <w:bottom w:val="single" w:sz="8" w:space="0" w:color="auto"/>
              <w:right w:val="single" w:sz="8" w:space="0" w:color="auto"/>
            </w:tcBorders>
            <w:shd w:val="clear" w:color="auto" w:fill="auto"/>
            <w:noWrap/>
            <w:vAlign w:val="center"/>
            <w:hideMark/>
          </w:tcPr>
          <w:p w14:paraId="59AC420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3.800,12</w:t>
            </w:r>
          </w:p>
        </w:tc>
        <w:tc>
          <w:tcPr>
            <w:tcW w:w="1230" w:type="dxa"/>
            <w:tcBorders>
              <w:top w:val="nil"/>
              <w:left w:val="nil"/>
              <w:bottom w:val="single" w:sz="8" w:space="0" w:color="auto"/>
              <w:right w:val="single" w:sz="8" w:space="0" w:color="auto"/>
            </w:tcBorders>
            <w:shd w:val="clear" w:color="auto" w:fill="auto"/>
            <w:noWrap/>
            <w:vAlign w:val="center"/>
            <w:hideMark/>
          </w:tcPr>
          <w:p w14:paraId="406D0F8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18,68</w:t>
            </w:r>
          </w:p>
        </w:tc>
        <w:tc>
          <w:tcPr>
            <w:tcW w:w="1230" w:type="dxa"/>
            <w:tcBorders>
              <w:top w:val="nil"/>
              <w:left w:val="nil"/>
              <w:bottom w:val="single" w:sz="8" w:space="0" w:color="auto"/>
              <w:right w:val="single" w:sz="8" w:space="0" w:color="auto"/>
            </w:tcBorders>
            <w:shd w:val="clear" w:color="auto" w:fill="auto"/>
            <w:noWrap/>
            <w:vAlign w:val="center"/>
            <w:hideMark/>
          </w:tcPr>
          <w:p w14:paraId="32FAA9B5"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20.351,62</w:t>
            </w:r>
          </w:p>
        </w:tc>
      </w:tr>
      <w:tr w:rsidR="005D09BE" w:rsidRPr="00D44048" w14:paraId="2273AF8B"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10980868" w14:textId="6096FE98" w:rsidR="005D09BE" w:rsidRPr="00D44048" w:rsidRDefault="005D09BE" w:rsidP="00F4450D">
            <w:pPr>
              <w:jc w:val="both"/>
              <w:rPr>
                <w:rFonts w:ascii="Arial" w:hAnsi="Arial" w:cs="Arial"/>
                <w:sz w:val="16"/>
                <w:szCs w:val="16"/>
              </w:rPr>
            </w:pPr>
            <w:r w:rsidRPr="00D44048">
              <w:rPr>
                <w:rFonts w:ascii="Arial" w:hAnsi="Arial" w:cs="Arial"/>
                <w:sz w:val="16"/>
                <w:szCs w:val="16"/>
              </w:rPr>
              <w:t>4- C.F.M. SOLDADURA Y CALDERER</w:t>
            </w:r>
            <w:r w:rsidR="001236A3">
              <w:rPr>
                <w:rFonts w:ascii="Arial" w:hAnsi="Arial" w:cs="Arial"/>
                <w:sz w:val="16"/>
                <w:szCs w:val="16"/>
              </w:rPr>
              <w:t>Í</w:t>
            </w:r>
            <w:r w:rsidRPr="00D44048">
              <w:rPr>
                <w:rFonts w:ascii="Arial" w:hAnsi="Arial" w:cs="Arial"/>
                <w:sz w:val="16"/>
                <w:szCs w:val="16"/>
              </w:rPr>
              <w:t>A (LOE)</w:t>
            </w:r>
          </w:p>
        </w:tc>
        <w:tc>
          <w:tcPr>
            <w:tcW w:w="1070" w:type="dxa"/>
            <w:tcBorders>
              <w:top w:val="nil"/>
              <w:left w:val="nil"/>
              <w:bottom w:val="single" w:sz="8" w:space="0" w:color="auto"/>
              <w:right w:val="single" w:sz="8" w:space="0" w:color="auto"/>
            </w:tcBorders>
            <w:shd w:val="clear" w:color="auto" w:fill="auto"/>
            <w:noWrap/>
            <w:vAlign w:val="center"/>
            <w:hideMark/>
          </w:tcPr>
          <w:p w14:paraId="3387435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672E437B"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0,348</w:t>
            </w:r>
          </w:p>
        </w:tc>
        <w:tc>
          <w:tcPr>
            <w:tcW w:w="1667" w:type="dxa"/>
            <w:tcBorders>
              <w:top w:val="nil"/>
              <w:left w:val="nil"/>
              <w:bottom w:val="single" w:sz="8" w:space="0" w:color="auto"/>
              <w:right w:val="single" w:sz="8" w:space="0" w:color="auto"/>
            </w:tcBorders>
            <w:shd w:val="clear" w:color="auto" w:fill="auto"/>
            <w:noWrap/>
            <w:vAlign w:val="center"/>
            <w:hideMark/>
          </w:tcPr>
          <w:p w14:paraId="74DFA35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1,522</w:t>
            </w:r>
          </w:p>
        </w:tc>
        <w:tc>
          <w:tcPr>
            <w:tcW w:w="1344" w:type="dxa"/>
            <w:tcBorders>
              <w:top w:val="nil"/>
              <w:left w:val="nil"/>
              <w:bottom w:val="single" w:sz="8" w:space="0" w:color="auto"/>
              <w:right w:val="single" w:sz="8" w:space="0" w:color="auto"/>
            </w:tcBorders>
            <w:shd w:val="clear" w:color="auto" w:fill="auto"/>
            <w:noWrap/>
            <w:vAlign w:val="center"/>
            <w:hideMark/>
          </w:tcPr>
          <w:p w14:paraId="428A42C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86.174,01</w:t>
            </w:r>
          </w:p>
        </w:tc>
        <w:tc>
          <w:tcPr>
            <w:tcW w:w="1230" w:type="dxa"/>
            <w:tcBorders>
              <w:top w:val="nil"/>
              <w:left w:val="nil"/>
              <w:bottom w:val="single" w:sz="8" w:space="0" w:color="auto"/>
              <w:right w:val="single" w:sz="8" w:space="0" w:color="auto"/>
            </w:tcBorders>
            <w:shd w:val="clear" w:color="auto" w:fill="auto"/>
            <w:noWrap/>
            <w:vAlign w:val="center"/>
            <w:hideMark/>
          </w:tcPr>
          <w:p w14:paraId="4D2FD395"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61,90</w:t>
            </w:r>
          </w:p>
        </w:tc>
        <w:tc>
          <w:tcPr>
            <w:tcW w:w="1253" w:type="dxa"/>
            <w:tcBorders>
              <w:top w:val="nil"/>
              <w:left w:val="nil"/>
              <w:bottom w:val="single" w:sz="8" w:space="0" w:color="auto"/>
              <w:right w:val="single" w:sz="8" w:space="0" w:color="auto"/>
            </w:tcBorders>
            <w:shd w:val="clear" w:color="auto" w:fill="auto"/>
            <w:noWrap/>
            <w:vAlign w:val="center"/>
            <w:hideMark/>
          </w:tcPr>
          <w:p w14:paraId="3ED4E36E"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17.099,14</w:t>
            </w:r>
          </w:p>
        </w:tc>
        <w:tc>
          <w:tcPr>
            <w:tcW w:w="1230" w:type="dxa"/>
            <w:tcBorders>
              <w:top w:val="nil"/>
              <w:left w:val="nil"/>
              <w:bottom w:val="single" w:sz="8" w:space="0" w:color="auto"/>
              <w:right w:val="single" w:sz="8" w:space="0" w:color="auto"/>
            </w:tcBorders>
            <w:shd w:val="clear" w:color="auto" w:fill="auto"/>
            <w:noWrap/>
            <w:vAlign w:val="center"/>
            <w:hideMark/>
          </w:tcPr>
          <w:p w14:paraId="0825C6C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12,28</w:t>
            </w:r>
          </w:p>
        </w:tc>
        <w:tc>
          <w:tcPr>
            <w:tcW w:w="1230" w:type="dxa"/>
            <w:tcBorders>
              <w:top w:val="nil"/>
              <w:left w:val="nil"/>
              <w:bottom w:val="single" w:sz="8" w:space="0" w:color="auto"/>
              <w:right w:val="single" w:sz="8" w:space="0" w:color="auto"/>
            </w:tcBorders>
            <w:shd w:val="clear" w:color="auto" w:fill="auto"/>
            <w:noWrap/>
            <w:vAlign w:val="center"/>
            <w:hideMark/>
          </w:tcPr>
          <w:p w14:paraId="2C48B07E"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35.948,38</w:t>
            </w:r>
          </w:p>
        </w:tc>
        <w:tc>
          <w:tcPr>
            <w:tcW w:w="1230" w:type="dxa"/>
            <w:tcBorders>
              <w:top w:val="nil"/>
              <w:left w:val="nil"/>
              <w:bottom w:val="single" w:sz="8" w:space="0" w:color="auto"/>
              <w:right w:val="single" w:sz="8" w:space="0" w:color="auto"/>
            </w:tcBorders>
            <w:shd w:val="clear" w:color="auto" w:fill="auto"/>
            <w:noWrap/>
            <w:vAlign w:val="center"/>
            <w:hideMark/>
          </w:tcPr>
          <w:p w14:paraId="7BA79B93"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25,82</w:t>
            </w:r>
          </w:p>
        </w:tc>
        <w:tc>
          <w:tcPr>
            <w:tcW w:w="1230" w:type="dxa"/>
            <w:tcBorders>
              <w:top w:val="nil"/>
              <w:left w:val="nil"/>
              <w:bottom w:val="single" w:sz="8" w:space="0" w:color="auto"/>
              <w:right w:val="single" w:sz="8" w:space="0" w:color="auto"/>
            </w:tcBorders>
            <w:shd w:val="clear" w:color="auto" w:fill="auto"/>
            <w:noWrap/>
            <w:vAlign w:val="center"/>
            <w:hideMark/>
          </w:tcPr>
          <w:p w14:paraId="6808536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139.221,53</w:t>
            </w:r>
          </w:p>
        </w:tc>
      </w:tr>
      <w:tr w:rsidR="005D09BE" w:rsidRPr="00D44048" w14:paraId="6C8717FC"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4B223246" w14:textId="77777777" w:rsidR="005D09BE" w:rsidRPr="00D44048"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79EF8BE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75D7335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0,913</w:t>
            </w:r>
          </w:p>
        </w:tc>
        <w:tc>
          <w:tcPr>
            <w:tcW w:w="1667" w:type="dxa"/>
            <w:tcBorders>
              <w:top w:val="nil"/>
              <w:left w:val="nil"/>
              <w:bottom w:val="single" w:sz="8" w:space="0" w:color="auto"/>
              <w:right w:val="single" w:sz="8" w:space="0" w:color="auto"/>
            </w:tcBorders>
            <w:shd w:val="clear" w:color="auto" w:fill="auto"/>
            <w:noWrap/>
            <w:vAlign w:val="center"/>
            <w:hideMark/>
          </w:tcPr>
          <w:p w14:paraId="5BDAB986"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0,609</w:t>
            </w:r>
          </w:p>
        </w:tc>
        <w:tc>
          <w:tcPr>
            <w:tcW w:w="1344" w:type="dxa"/>
            <w:tcBorders>
              <w:top w:val="nil"/>
              <w:left w:val="nil"/>
              <w:bottom w:val="single" w:sz="8" w:space="0" w:color="auto"/>
              <w:right w:val="single" w:sz="8" w:space="0" w:color="auto"/>
            </w:tcBorders>
            <w:shd w:val="clear" w:color="auto" w:fill="auto"/>
            <w:noWrap/>
            <w:vAlign w:val="center"/>
            <w:hideMark/>
          </w:tcPr>
          <w:p w14:paraId="710C26D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72.789,14</w:t>
            </w:r>
          </w:p>
        </w:tc>
        <w:tc>
          <w:tcPr>
            <w:tcW w:w="1230" w:type="dxa"/>
            <w:tcBorders>
              <w:top w:val="nil"/>
              <w:left w:val="nil"/>
              <w:bottom w:val="single" w:sz="8" w:space="0" w:color="auto"/>
              <w:right w:val="single" w:sz="8" w:space="0" w:color="auto"/>
            </w:tcBorders>
            <w:shd w:val="clear" w:color="auto" w:fill="auto"/>
            <w:noWrap/>
            <w:vAlign w:val="center"/>
            <w:hideMark/>
          </w:tcPr>
          <w:p w14:paraId="7A39F14B"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59,13</w:t>
            </w:r>
          </w:p>
        </w:tc>
        <w:tc>
          <w:tcPr>
            <w:tcW w:w="1253" w:type="dxa"/>
            <w:tcBorders>
              <w:top w:val="nil"/>
              <w:left w:val="nil"/>
              <w:bottom w:val="single" w:sz="8" w:space="0" w:color="auto"/>
              <w:right w:val="single" w:sz="8" w:space="0" w:color="auto"/>
            </w:tcBorders>
            <w:shd w:val="clear" w:color="auto" w:fill="auto"/>
            <w:noWrap/>
            <w:vAlign w:val="center"/>
            <w:hideMark/>
          </w:tcPr>
          <w:p w14:paraId="1BEAD4A4"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14.363,36</w:t>
            </w:r>
          </w:p>
        </w:tc>
        <w:tc>
          <w:tcPr>
            <w:tcW w:w="1230" w:type="dxa"/>
            <w:tcBorders>
              <w:top w:val="nil"/>
              <w:left w:val="nil"/>
              <w:bottom w:val="single" w:sz="8" w:space="0" w:color="auto"/>
              <w:right w:val="single" w:sz="8" w:space="0" w:color="auto"/>
            </w:tcBorders>
            <w:shd w:val="clear" w:color="auto" w:fill="auto"/>
            <w:noWrap/>
            <w:vAlign w:val="center"/>
            <w:hideMark/>
          </w:tcPr>
          <w:p w14:paraId="1AEC5DF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11,67</w:t>
            </w:r>
          </w:p>
        </w:tc>
        <w:tc>
          <w:tcPr>
            <w:tcW w:w="1230" w:type="dxa"/>
            <w:tcBorders>
              <w:top w:val="nil"/>
              <w:left w:val="nil"/>
              <w:bottom w:val="single" w:sz="8" w:space="0" w:color="auto"/>
              <w:right w:val="single" w:sz="8" w:space="0" w:color="auto"/>
            </w:tcBorders>
            <w:shd w:val="clear" w:color="auto" w:fill="auto"/>
            <w:noWrap/>
            <w:vAlign w:val="center"/>
            <w:hideMark/>
          </w:tcPr>
          <w:p w14:paraId="78DC892A"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35.948,38</w:t>
            </w:r>
          </w:p>
        </w:tc>
        <w:tc>
          <w:tcPr>
            <w:tcW w:w="1230" w:type="dxa"/>
            <w:tcBorders>
              <w:top w:val="nil"/>
              <w:left w:val="nil"/>
              <w:bottom w:val="single" w:sz="8" w:space="0" w:color="auto"/>
              <w:right w:val="single" w:sz="8" w:space="0" w:color="auto"/>
            </w:tcBorders>
            <w:shd w:val="clear" w:color="auto" w:fill="auto"/>
            <w:noWrap/>
            <w:vAlign w:val="center"/>
            <w:hideMark/>
          </w:tcPr>
          <w:p w14:paraId="3F870D5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29,20</w:t>
            </w:r>
          </w:p>
        </w:tc>
        <w:tc>
          <w:tcPr>
            <w:tcW w:w="1230" w:type="dxa"/>
            <w:tcBorders>
              <w:top w:val="nil"/>
              <w:left w:val="nil"/>
              <w:bottom w:val="single" w:sz="8" w:space="0" w:color="auto"/>
              <w:right w:val="single" w:sz="8" w:space="0" w:color="auto"/>
            </w:tcBorders>
            <w:shd w:val="clear" w:color="auto" w:fill="auto"/>
            <w:noWrap/>
            <w:vAlign w:val="center"/>
            <w:hideMark/>
          </w:tcPr>
          <w:p w14:paraId="3B16960C"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123.100,88</w:t>
            </w:r>
          </w:p>
        </w:tc>
      </w:tr>
      <w:tr w:rsidR="005D09BE" w:rsidRPr="00D44048" w14:paraId="5F7F54B9"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15AFFF48" w14:textId="16B17151" w:rsidR="005D09BE" w:rsidRPr="00D44048" w:rsidRDefault="005D09BE" w:rsidP="00F4450D">
            <w:pPr>
              <w:jc w:val="both"/>
              <w:rPr>
                <w:rFonts w:ascii="Arial" w:hAnsi="Arial" w:cs="Arial"/>
                <w:sz w:val="16"/>
                <w:szCs w:val="16"/>
              </w:rPr>
            </w:pPr>
            <w:r w:rsidRPr="00D44048">
              <w:rPr>
                <w:rFonts w:ascii="Arial" w:hAnsi="Arial" w:cs="Arial"/>
                <w:sz w:val="16"/>
                <w:szCs w:val="16"/>
              </w:rPr>
              <w:t>5- C.F.M. PREIMPRESI</w:t>
            </w:r>
            <w:r w:rsidR="001236A3">
              <w:rPr>
                <w:rFonts w:ascii="Arial" w:hAnsi="Arial" w:cs="Arial"/>
                <w:sz w:val="16"/>
                <w:szCs w:val="16"/>
              </w:rPr>
              <w:t>Ó</w:t>
            </w:r>
            <w:r w:rsidRPr="00D44048">
              <w:rPr>
                <w:rFonts w:ascii="Arial" w:hAnsi="Arial" w:cs="Arial"/>
                <w:sz w:val="16"/>
                <w:szCs w:val="16"/>
              </w:rPr>
              <w:t>N DIGITAL (LOE)</w:t>
            </w:r>
          </w:p>
        </w:tc>
        <w:tc>
          <w:tcPr>
            <w:tcW w:w="1070" w:type="dxa"/>
            <w:tcBorders>
              <w:top w:val="nil"/>
              <w:left w:val="nil"/>
              <w:bottom w:val="single" w:sz="8" w:space="0" w:color="auto"/>
              <w:right w:val="single" w:sz="8" w:space="0" w:color="auto"/>
            </w:tcBorders>
            <w:shd w:val="clear" w:color="auto" w:fill="auto"/>
            <w:noWrap/>
            <w:vAlign w:val="center"/>
            <w:hideMark/>
          </w:tcPr>
          <w:p w14:paraId="1BE133D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298D976B"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0,609</w:t>
            </w:r>
          </w:p>
        </w:tc>
        <w:tc>
          <w:tcPr>
            <w:tcW w:w="1667" w:type="dxa"/>
            <w:tcBorders>
              <w:top w:val="nil"/>
              <w:left w:val="nil"/>
              <w:bottom w:val="single" w:sz="8" w:space="0" w:color="auto"/>
              <w:right w:val="single" w:sz="8" w:space="0" w:color="auto"/>
            </w:tcBorders>
            <w:shd w:val="clear" w:color="auto" w:fill="auto"/>
            <w:noWrap/>
            <w:vAlign w:val="center"/>
            <w:hideMark/>
          </w:tcPr>
          <w:p w14:paraId="37F6AA14"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1,043</w:t>
            </w:r>
          </w:p>
        </w:tc>
        <w:tc>
          <w:tcPr>
            <w:tcW w:w="1344" w:type="dxa"/>
            <w:tcBorders>
              <w:top w:val="nil"/>
              <w:left w:val="nil"/>
              <w:bottom w:val="single" w:sz="8" w:space="0" w:color="auto"/>
              <w:right w:val="single" w:sz="8" w:space="0" w:color="auto"/>
            </w:tcBorders>
            <w:shd w:val="clear" w:color="auto" w:fill="auto"/>
            <w:noWrap/>
            <w:vAlign w:val="center"/>
            <w:hideMark/>
          </w:tcPr>
          <w:p w14:paraId="0CE7A2A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77.397,90</w:t>
            </w:r>
          </w:p>
        </w:tc>
        <w:tc>
          <w:tcPr>
            <w:tcW w:w="1230" w:type="dxa"/>
            <w:tcBorders>
              <w:top w:val="nil"/>
              <w:left w:val="nil"/>
              <w:bottom w:val="single" w:sz="8" w:space="0" w:color="auto"/>
              <w:right w:val="single" w:sz="8" w:space="0" w:color="auto"/>
            </w:tcBorders>
            <w:shd w:val="clear" w:color="auto" w:fill="auto"/>
            <w:noWrap/>
            <w:vAlign w:val="center"/>
            <w:hideMark/>
          </w:tcPr>
          <w:p w14:paraId="2D587F6C"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62,53</w:t>
            </w:r>
          </w:p>
        </w:tc>
        <w:tc>
          <w:tcPr>
            <w:tcW w:w="1253" w:type="dxa"/>
            <w:tcBorders>
              <w:top w:val="nil"/>
              <w:left w:val="nil"/>
              <w:bottom w:val="single" w:sz="8" w:space="0" w:color="auto"/>
              <w:right w:val="single" w:sz="8" w:space="0" w:color="auto"/>
            </w:tcBorders>
            <w:shd w:val="clear" w:color="auto" w:fill="auto"/>
            <w:noWrap/>
            <w:vAlign w:val="center"/>
            <w:hideMark/>
          </w:tcPr>
          <w:p w14:paraId="371D0B0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15.414,10</w:t>
            </w:r>
          </w:p>
        </w:tc>
        <w:tc>
          <w:tcPr>
            <w:tcW w:w="1230" w:type="dxa"/>
            <w:tcBorders>
              <w:top w:val="nil"/>
              <w:left w:val="nil"/>
              <w:bottom w:val="single" w:sz="8" w:space="0" w:color="auto"/>
              <w:right w:val="single" w:sz="8" w:space="0" w:color="auto"/>
            </w:tcBorders>
            <w:shd w:val="clear" w:color="auto" w:fill="auto"/>
            <w:noWrap/>
            <w:vAlign w:val="center"/>
            <w:hideMark/>
          </w:tcPr>
          <w:p w14:paraId="703CFF9B"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12,45</w:t>
            </w:r>
          </w:p>
        </w:tc>
        <w:tc>
          <w:tcPr>
            <w:tcW w:w="1230" w:type="dxa"/>
            <w:tcBorders>
              <w:top w:val="nil"/>
              <w:left w:val="nil"/>
              <w:bottom w:val="single" w:sz="8" w:space="0" w:color="auto"/>
              <w:right w:val="single" w:sz="8" w:space="0" w:color="auto"/>
            </w:tcBorders>
            <w:shd w:val="clear" w:color="auto" w:fill="auto"/>
            <w:noWrap/>
            <w:vAlign w:val="center"/>
            <w:hideMark/>
          </w:tcPr>
          <w:p w14:paraId="6F26C50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30.957,57</w:t>
            </w:r>
          </w:p>
        </w:tc>
        <w:tc>
          <w:tcPr>
            <w:tcW w:w="1230" w:type="dxa"/>
            <w:tcBorders>
              <w:top w:val="nil"/>
              <w:left w:val="nil"/>
              <w:bottom w:val="single" w:sz="8" w:space="0" w:color="auto"/>
              <w:right w:val="single" w:sz="8" w:space="0" w:color="auto"/>
            </w:tcBorders>
            <w:shd w:val="clear" w:color="auto" w:fill="auto"/>
            <w:noWrap/>
            <w:vAlign w:val="center"/>
            <w:hideMark/>
          </w:tcPr>
          <w:p w14:paraId="3D60C68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25,02</w:t>
            </w:r>
          </w:p>
        </w:tc>
        <w:tc>
          <w:tcPr>
            <w:tcW w:w="1230" w:type="dxa"/>
            <w:tcBorders>
              <w:top w:val="nil"/>
              <w:left w:val="nil"/>
              <w:bottom w:val="single" w:sz="8" w:space="0" w:color="auto"/>
              <w:right w:val="single" w:sz="8" w:space="0" w:color="auto"/>
            </w:tcBorders>
            <w:shd w:val="clear" w:color="auto" w:fill="auto"/>
            <w:noWrap/>
            <w:vAlign w:val="center"/>
            <w:hideMark/>
          </w:tcPr>
          <w:p w14:paraId="44ADED8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123.769,57</w:t>
            </w:r>
          </w:p>
        </w:tc>
      </w:tr>
      <w:tr w:rsidR="005D09BE" w:rsidRPr="00D44048" w14:paraId="27611A4A"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32E22BE1" w14:textId="77777777" w:rsidR="005D09BE" w:rsidRPr="00D44048"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29BA1515"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62C77EE6"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0,652</w:t>
            </w:r>
          </w:p>
        </w:tc>
        <w:tc>
          <w:tcPr>
            <w:tcW w:w="1667" w:type="dxa"/>
            <w:tcBorders>
              <w:top w:val="nil"/>
              <w:left w:val="nil"/>
              <w:bottom w:val="single" w:sz="8" w:space="0" w:color="auto"/>
              <w:right w:val="single" w:sz="8" w:space="0" w:color="auto"/>
            </w:tcBorders>
            <w:shd w:val="clear" w:color="auto" w:fill="auto"/>
            <w:noWrap/>
            <w:vAlign w:val="center"/>
            <w:hideMark/>
          </w:tcPr>
          <w:p w14:paraId="1A5C2735"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0,739</w:t>
            </w:r>
          </w:p>
        </w:tc>
        <w:tc>
          <w:tcPr>
            <w:tcW w:w="1344" w:type="dxa"/>
            <w:tcBorders>
              <w:top w:val="nil"/>
              <w:left w:val="nil"/>
              <w:bottom w:val="single" w:sz="8" w:space="0" w:color="auto"/>
              <w:right w:val="single" w:sz="8" w:space="0" w:color="auto"/>
            </w:tcBorders>
            <w:shd w:val="clear" w:color="auto" w:fill="auto"/>
            <w:noWrap/>
            <w:vAlign w:val="center"/>
            <w:hideMark/>
          </w:tcPr>
          <w:p w14:paraId="5C58D413"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65.755,99</w:t>
            </w:r>
          </w:p>
        </w:tc>
        <w:tc>
          <w:tcPr>
            <w:tcW w:w="1230" w:type="dxa"/>
            <w:tcBorders>
              <w:top w:val="nil"/>
              <w:left w:val="nil"/>
              <w:bottom w:val="single" w:sz="8" w:space="0" w:color="auto"/>
              <w:right w:val="single" w:sz="8" w:space="0" w:color="auto"/>
            </w:tcBorders>
            <w:shd w:val="clear" w:color="auto" w:fill="auto"/>
            <w:noWrap/>
            <w:vAlign w:val="center"/>
            <w:hideMark/>
          </w:tcPr>
          <w:p w14:paraId="56CCC31A"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59,76</w:t>
            </w:r>
          </w:p>
        </w:tc>
        <w:tc>
          <w:tcPr>
            <w:tcW w:w="1253" w:type="dxa"/>
            <w:tcBorders>
              <w:top w:val="nil"/>
              <w:left w:val="nil"/>
              <w:bottom w:val="single" w:sz="8" w:space="0" w:color="auto"/>
              <w:right w:val="single" w:sz="8" w:space="0" w:color="auto"/>
            </w:tcBorders>
            <w:shd w:val="clear" w:color="auto" w:fill="auto"/>
            <w:noWrap/>
            <w:vAlign w:val="center"/>
            <w:hideMark/>
          </w:tcPr>
          <w:p w14:paraId="0865B35C"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13.322,43</w:t>
            </w:r>
          </w:p>
        </w:tc>
        <w:tc>
          <w:tcPr>
            <w:tcW w:w="1230" w:type="dxa"/>
            <w:tcBorders>
              <w:top w:val="nil"/>
              <w:left w:val="nil"/>
              <w:bottom w:val="single" w:sz="8" w:space="0" w:color="auto"/>
              <w:right w:val="single" w:sz="8" w:space="0" w:color="auto"/>
            </w:tcBorders>
            <w:shd w:val="clear" w:color="auto" w:fill="auto"/>
            <w:noWrap/>
            <w:vAlign w:val="center"/>
            <w:hideMark/>
          </w:tcPr>
          <w:p w14:paraId="409E8E03"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12,11</w:t>
            </w:r>
          </w:p>
        </w:tc>
        <w:tc>
          <w:tcPr>
            <w:tcW w:w="1230" w:type="dxa"/>
            <w:tcBorders>
              <w:top w:val="nil"/>
              <w:left w:val="nil"/>
              <w:bottom w:val="single" w:sz="8" w:space="0" w:color="auto"/>
              <w:right w:val="single" w:sz="8" w:space="0" w:color="auto"/>
            </w:tcBorders>
            <w:shd w:val="clear" w:color="auto" w:fill="auto"/>
            <w:noWrap/>
            <w:vAlign w:val="center"/>
            <w:hideMark/>
          </w:tcPr>
          <w:p w14:paraId="1DBAEEC5"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30.957,57</w:t>
            </w:r>
          </w:p>
        </w:tc>
        <w:tc>
          <w:tcPr>
            <w:tcW w:w="1230" w:type="dxa"/>
            <w:tcBorders>
              <w:top w:val="nil"/>
              <w:left w:val="nil"/>
              <w:bottom w:val="single" w:sz="8" w:space="0" w:color="auto"/>
              <w:right w:val="single" w:sz="8" w:space="0" w:color="auto"/>
            </w:tcBorders>
            <w:shd w:val="clear" w:color="auto" w:fill="auto"/>
            <w:noWrap/>
            <w:vAlign w:val="center"/>
            <w:hideMark/>
          </w:tcPr>
          <w:p w14:paraId="2766C1B3"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28,13</w:t>
            </w:r>
          </w:p>
        </w:tc>
        <w:tc>
          <w:tcPr>
            <w:tcW w:w="1230" w:type="dxa"/>
            <w:tcBorders>
              <w:top w:val="nil"/>
              <w:left w:val="nil"/>
              <w:bottom w:val="single" w:sz="8" w:space="0" w:color="auto"/>
              <w:right w:val="single" w:sz="8" w:space="0" w:color="auto"/>
            </w:tcBorders>
            <w:shd w:val="clear" w:color="auto" w:fill="auto"/>
            <w:noWrap/>
            <w:vAlign w:val="center"/>
            <w:hideMark/>
          </w:tcPr>
          <w:p w14:paraId="2C21CA7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110.035,99</w:t>
            </w:r>
          </w:p>
        </w:tc>
      </w:tr>
      <w:tr w:rsidR="005D09BE" w:rsidRPr="00D44048" w14:paraId="18651434"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533A414E" w14:textId="1E2863ED" w:rsidR="005D09BE" w:rsidRPr="00D44048" w:rsidRDefault="005D09BE" w:rsidP="00F4450D">
            <w:pPr>
              <w:jc w:val="both"/>
              <w:rPr>
                <w:rFonts w:ascii="Arial" w:hAnsi="Arial" w:cs="Arial"/>
                <w:sz w:val="16"/>
                <w:szCs w:val="16"/>
              </w:rPr>
            </w:pPr>
            <w:r w:rsidRPr="00D44048">
              <w:rPr>
                <w:rFonts w:ascii="Arial" w:hAnsi="Arial" w:cs="Arial"/>
                <w:sz w:val="16"/>
                <w:szCs w:val="16"/>
              </w:rPr>
              <w:t>6- C.F.M. IMPRESI</w:t>
            </w:r>
            <w:r w:rsidR="001236A3">
              <w:rPr>
                <w:rFonts w:ascii="Arial" w:hAnsi="Arial" w:cs="Arial"/>
                <w:sz w:val="16"/>
                <w:szCs w:val="16"/>
              </w:rPr>
              <w:t>Ó</w:t>
            </w:r>
            <w:r w:rsidRPr="00D44048">
              <w:rPr>
                <w:rFonts w:ascii="Arial" w:hAnsi="Arial" w:cs="Arial"/>
                <w:sz w:val="16"/>
                <w:szCs w:val="16"/>
              </w:rPr>
              <w:t>N EN ARTES GR</w:t>
            </w:r>
            <w:r w:rsidR="001236A3">
              <w:rPr>
                <w:rFonts w:ascii="Arial" w:hAnsi="Arial" w:cs="Arial"/>
                <w:sz w:val="16"/>
                <w:szCs w:val="16"/>
              </w:rPr>
              <w:t>Á</w:t>
            </w:r>
            <w:r w:rsidRPr="00D44048">
              <w:rPr>
                <w:rFonts w:ascii="Arial" w:hAnsi="Arial" w:cs="Arial"/>
                <w:sz w:val="16"/>
                <w:szCs w:val="16"/>
              </w:rPr>
              <w:t>FICAS</w:t>
            </w:r>
          </w:p>
        </w:tc>
        <w:tc>
          <w:tcPr>
            <w:tcW w:w="1070" w:type="dxa"/>
            <w:tcBorders>
              <w:top w:val="nil"/>
              <w:left w:val="nil"/>
              <w:bottom w:val="single" w:sz="8" w:space="0" w:color="auto"/>
              <w:right w:val="single" w:sz="8" w:space="0" w:color="auto"/>
            </w:tcBorders>
            <w:shd w:val="clear" w:color="auto" w:fill="auto"/>
            <w:noWrap/>
            <w:vAlign w:val="center"/>
            <w:hideMark/>
          </w:tcPr>
          <w:p w14:paraId="7CE81E8E"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6FE929E4"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0,609</w:t>
            </w:r>
          </w:p>
        </w:tc>
        <w:tc>
          <w:tcPr>
            <w:tcW w:w="1667" w:type="dxa"/>
            <w:tcBorders>
              <w:top w:val="nil"/>
              <w:left w:val="nil"/>
              <w:bottom w:val="single" w:sz="8" w:space="0" w:color="auto"/>
              <w:right w:val="single" w:sz="8" w:space="0" w:color="auto"/>
            </w:tcBorders>
            <w:shd w:val="clear" w:color="auto" w:fill="auto"/>
            <w:noWrap/>
            <w:vAlign w:val="center"/>
            <w:hideMark/>
          </w:tcPr>
          <w:p w14:paraId="5EF8F6DA"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1,043</w:t>
            </w:r>
          </w:p>
        </w:tc>
        <w:tc>
          <w:tcPr>
            <w:tcW w:w="1344" w:type="dxa"/>
            <w:tcBorders>
              <w:top w:val="nil"/>
              <w:left w:val="nil"/>
              <w:bottom w:val="single" w:sz="8" w:space="0" w:color="auto"/>
              <w:right w:val="single" w:sz="8" w:space="0" w:color="auto"/>
            </w:tcBorders>
            <w:shd w:val="clear" w:color="auto" w:fill="auto"/>
            <w:noWrap/>
            <w:vAlign w:val="center"/>
            <w:hideMark/>
          </w:tcPr>
          <w:p w14:paraId="1023001C"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77.397,90</w:t>
            </w:r>
          </w:p>
        </w:tc>
        <w:tc>
          <w:tcPr>
            <w:tcW w:w="1230" w:type="dxa"/>
            <w:tcBorders>
              <w:top w:val="nil"/>
              <w:left w:val="nil"/>
              <w:bottom w:val="single" w:sz="8" w:space="0" w:color="auto"/>
              <w:right w:val="single" w:sz="8" w:space="0" w:color="auto"/>
            </w:tcBorders>
            <w:shd w:val="clear" w:color="auto" w:fill="auto"/>
            <w:noWrap/>
            <w:vAlign w:val="center"/>
            <w:hideMark/>
          </w:tcPr>
          <w:p w14:paraId="29C7EFC4"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61,38</w:t>
            </w:r>
          </w:p>
        </w:tc>
        <w:tc>
          <w:tcPr>
            <w:tcW w:w="1253" w:type="dxa"/>
            <w:tcBorders>
              <w:top w:val="nil"/>
              <w:left w:val="nil"/>
              <w:bottom w:val="single" w:sz="8" w:space="0" w:color="auto"/>
              <w:right w:val="single" w:sz="8" w:space="0" w:color="auto"/>
            </w:tcBorders>
            <w:shd w:val="clear" w:color="auto" w:fill="auto"/>
            <w:noWrap/>
            <w:vAlign w:val="center"/>
            <w:hideMark/>
          </w:tcPr>
          <w:p w14:paraId="7645F184"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15.528,79</w:t>
            </w:r>
          </w:p>
        </w:tc>
        <w:tc>
          <w:tcPr>
            <w:tcW w:w="1230" w:type="dxa"/>
            <w:tcBorders>
              <w:top w:val="nil"/>
              <w:left w:val="nil"/>
              <w:bottom w:val="single" w:sz="8" w:space="0" w:color="auto"/>
              <w:right w:val="single" w:sz="8" w:space="0" w:color="auto"/>
            </w:tcBorders>
            <w:shd w:val="clear" w:color="auto" w:fill="auto"/>
            <w:noWrap/>
            <w:vAlign w:val="center"/>
            <w:hideMark/>
          </w:tcPr>
          <w:p w14:paraId="744F417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12,31</w:t>
            </w:r>
          </w:p>
        </w:tc>
        <w:tc>
          <w:tcPr>
            <w:tcW w:w="1230" w:type="dxa"/>
            <w:tcBorders>
              <w:top w:val="nil"/>
              <w:left w:val="nil"/>
              <w:bottom w:val="single" w:sz="8" w:space="0" w:color="auto"/>
              <w:right w:val="single" w:sz="8" w:space="0" w:color="auto"/>
            </w:tcBorders>
            <w:shd w:val="clear" w:color="auto" w:fill="auto"/>
            <w:noWrap/>
            <w:vAlign w:val="center"/>
            <w:hideMark/>
          </w:tcPr>
          <w:p w14:paraId="1F8EB33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33.174,31</w:t>
            </w:r>
          </w:p>
        </w:tc>
        <w:tc>
          <w:tcPr>
            <w:tcW w:w="1230" w:type="dxa"/>
            <w:tcBorders>
              <w:top w:val="nil"/>
              <w:left w:val="nil"/>
              <w:bottom w:val="single" w:sz="8" w:space="0" w:color="auto"/>
              <w:right w:val="single" w:sz="8" w:space="0" w:color="auto"/>
            </w:tcBorders>
            <w:shd w:val="clear" w:color="auto" w:fill="auto"/>
            <w:noWrap/>
            <w:vAlign w:val="center"/>
            <w:hideMark/>
          </w:tcPr>
          <w:p w14:paraId="407E281C"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26,31</w:t>
            </w:r>
          </w:p>
        </w:tc>
        <w:tc>
          <w:tcPr>
            <w:tcW w:w="1230" w:type="dxa"/>
            <w:tcBorders>
              <w:top w:val="nil"/>
              <w:left w:val="nil"/>
              <w:bottom w:val="single" w:sz="8" w:space="0" w:color="auto"/>
              <w:right w:val="single" w:sz="8" w:space="0" w:color="auto"/>
            </w:tcBorders>
            <w:shd w:val="clear" w:color="auto" w:fill="auto"/>
            <w:noWrap/>
            <w:vAlign w:val="center"/>
            <w:hideMark/>
          </w:tcPr>
          <w:p w14:paraId="42D59FE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126.101,00</w:t>
            </w:r>
          </w:p>
        </w:tc>
      </w:tr>
      <w:tr w:rsidR="005D09BE" w:rsidRPr="00D44048" w14:paraId="72BC237F"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78C4BED7" w14:textId="77777777" w:rsidR="005D09BE" w:rsidRPr="00D44048"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2EDA47E6"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07051DE5"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0,261</w:t>
            </w:r>
          </w:p>
        </w:tc>
        <w:tc>
          <w:tcPr>
            <w:tcW w:w="1667" w:type="dxa"/>
            <w:tcBorders>
              <w:top w:val="nil"/>
              <w:left w:val="nil"/>
              <w:bottom w:val="single" w:sz="8" w:space="0" w:color="auto"/>
              <w:right w:val="single" w:sz="8" w:space="0" w:color="auto"/>
            </w:tcBorders>
            <w:shd w:val="clear" w:color="auto" w:fill="auto"/>
            <w:noWrap/>
            <w:vAlign w:val="center"/>
            <w:hideMark/>
          </w:tcPr>
          <w:p w14:paraId="6A589DC6" w14:textId="77777777" w:rsidR="005D09BE" w:rsidRPr="00D44048" w:rsidRDefault="005D09BE" w:rsidP="00F4450D">
            <w:pPr>
              <w:jc w:val="center"/>
              <w:rPr>
                <w:rFonts w:ascii="Arial" w:hAnsi="Arial" w:cs="Arial"/>
                <w:sz w:val="16"/>
                <w:szCs w:val="16"/>
              </w:rPr>
            </w:pPr>
            <w:r w:rsidRPr="00D44048">
              <w:rPr>
                <w:rFonts w:ascii="Arial" w:hAnsi="Arial" w:cs="Arial"/>
                <w:w w:val="99"/>
                <w:sz w:val="16"/>
                <w:szCs w:val="16"/>
              </w:rPr>
              <w:t>0</w:t>
            </w:r>
          </w:p>
        </w:tc>
        <w:tc>
          <w:tcPr>
            <w:tcW w:w="1344" w:type="dxa"/>
            <w:tcBorders>
              <w:top w:val="nil"/>
              <w:left w:val="nil"/>
              <w:bottom w:val="single" w:sz="8" w:space="0" w:color="auto"/>
              <w:right w:val="single" w:sz="8" w:space="0" w:color="auto"/>
            </w:tcBorders>
            <w:shd w:val="clear" w:color="auto" w:fill="auto"/>
            <w:noWrap/>
            <w:vAlign w:val="center"/>
            <w:hideMark/>
          </w:tcPr>
          <w:p w14:paraId="64A9AEFC"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12.921,99</w:t>
            </w:r>
          </w:p>
        </w:tc>
        <w:tc>
          <w:tcPr>
            <w:tcW w:w="1230" w:type="dxa"/>
            <w:tcBorders>
              <w:top w:val="nil"/>
              <w:left w:val="nil"/>
              <w:bottom w:val="single" w:sz="8" w:space="0" w:color="auto"/>
              <w:right w:val="single" w:sz="8" w:space="0" w:color="auto"/>
            </w:tcBorders>
            <w:shd w:val="clear" w:color="auto" w:fill="auto"/>
            <w:noWrap/>
            <w:vAlign w:val="center"/>
            <w:hideMark/>
          </w:tcPr>
          <w:p w14:paraId="5CAAF5A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63,49</w:t>
            </w:r>
          </w:p>
        </w:tc>
        <w:tc>
          <w:tcPr>
            <w:tcW w:w="1253" w:type="dxa"/>
            <w:tcBorders>
              <w:top w:val="nil"/>
              <w:left w:val="nil"/>
              <w:bottom w:val="single" w:sz="8" w:space="0" w:color="auto"/>
              <w:right w:val="single" w:sz="8" w:space="0" w:color="auto"/>
            </w:tcBorders>
            <w:shd w:val="clear" w:color="auto" w:fill="auto"/>
            <w:noWrap/>
            <w:vAlign w:val="center"/>
            <w:hideMark/>
          </w:tcPr>
          <w:p w14:paraId="259DF38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3.629,50</w:t>
            </w:r>
          </w:p>
        </w:tc>
        <w:tc>
          <w:tcPr>
            <w:tcW w:w="1230" w:type="dxa"/>
            <w:tcBorders>
              <w:top w:val="nil"/>
              <w:left w:val="nil"/>
              <w:bottom w:val="single" w:sz="8" w:space="0" w:color="auto"/>
              <w:right w:val="single" w:sz="8" w:space="0" w:color="auto"/>
            </w:tcBorders>
            <w:shd w:val="clear" w:color="auto" w:fill="auto"/>
            <w:noWrap/>
            <w:vAlign w:val="center"/>
            <w:hideMark/>
          </w:tcPr>
          <w:p w14:paraId="3794A4A3"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17,83</w:t>
            </w:r>
          </w:p>
        </w:tc>
        <w:tc>
          <w:tcPr>
            <w:tcW w:w="1230" w:type="dxa"/>
            <w:tcBorders>
              <w:top w:val="nil"/>
              <w:left w:val="nil"/>
              <w:bottom w:val="single" w:sz="8" w:space="0" w:color="auto"/>
              <w:right w:val="single" w:sz="8" w:space="0" w:color="auto"/>
            </w:tcBorders>
            <w:shd w:val="clear" w:color="auto" w:fill="auto"/>
            <w:noWrap/>
            <w:vAlign w:val="center"/>
            <w:hideMark/>
          </w:tcPr>
          <w:p w14:paraId="5C7CE13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3.800,12</w:t>
            </w:r>
          </w:p>
        </w:tc>
        <w:tc>
          <w:tcPr>
            <w:tcW w:w="1230" w:type="dxa"/>
            <w:tcBorders>
              <w:top w:val="nil"/>
              <w:left w:val="nil"/>
              <w:bottom w:val="single" w:sz="8" w:space="0" w:color="auto"/>
              <w:right w:val="single" w:sz="8" w:space="0" w:color="auto"/>
            </w:tcBorders>
            <w:shd w:val="clear" w:color="auto" w:fill="auto"/>
            <w:noWrap/>
            <w:vAlign w:val="center"/>
            <w:hideMark/>
          </w:tcPr>
          <w:p w14:paraId="3DD82F2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18,68</w:t>
            </w:r>
          </w:p>
        </w:tc>
        <w:tc>
          <w:tcPr>
            <w:tcW w:w="1230" w:type="dxa"/>
            <w:tcBorders>
              <w:top w:val="nil"/>
              <w:left w:val="nil"/>
              <w:bottom w:val="single" w:sz="8" w:space="0" w:color="auto"/>
              <w:right w:val="single" w:sz="8" w:space="0" w:color="auto"/>
            </w:tcBorders>
            <w:shd w:val="clear" w:color="auto" w:fill="auto"/>
            <w:noWrap/>
            <w:vAlign w:val="center"/>
            <w:hideMark/>
          </w:tcPr>
          <w:p w14:paraId="2995CBE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20.351,61</w:t>
            </w:r>
          </w:p>
        </w:tc>
      </w:tr>
      <w:tr w:rsidR="005D09BE" w:rsidRPr="00D44048" w14:paraId="356153D9"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36AAC363" w14:textId="2C7BEE39" w:rsidR="005D09BE" w:rsidRPr="00D44048" w:rsidRDefault="005D09BE" w:rsidP="00F4450D">
            <w:pPr>
              <w:jc w:val="both"/>
              <w:rPr>
                <w:rFonts w:ascii="Arial" w:hAnsi="Arial" w:cs="Arial"/>
                <w:sz w:val="16"/>
                <w:szCs w:val="16"/>
              </w:rPr>
            </w:pPr>
            <w:r w:rsidRPr="00D44048">
              <w:rPr>
                <w:rFonts w:ascii="Arial" w:hAnsi="Arial" w:cs="Arial"/>
                <w:sz w:val="16"/>
                <w:szCs w:val="16"/>
              </w:rPr>
              <w:t>6- C.F.M. IMPRESI</w:t>
            </w:r>
            <w:r w:rsidR="001236A3">
              <w:rPr>
                <w:rFonts w:ascii="Arial" w:hAnsi="Arial" w:cs="Arial"/>
                <w:sz w:val="16"/>
                <w:szCs w:val="16"/>
              </w:rPr>
              <w:t>Ó</w:t>
            </w:r>
            <w:r w:rsidRPr="00D44048">
              <w:rPr>
                <w:rFonts w:ascii="Arial" w:hAnsi="Arial" w:cs="Arial"/>
                <w:sz w:val="16"/>
                <w:szCs w:val="16"/>
              </w:rPr>
              <w:t>N GRÁFICA (LOE)</w:t>
            </w:r>
          </w:p>
        </w:tc>
        <w:tc>
          <w:tcPr>
            <w:tcW w:w="1070" w:type="dxa"/>
            <w:tcBorders>
              <w:top w:val="nil"/>
              <w:left w:val="nil"/>
              <w:bottom w:val="single" w:sz="8" w:space="0" w:color="auto"/>
              <w:right w:val="single" w:sz="8" w:space="0" w:color="auto"/>
            </w:tcBorders>
            <w:shd w:val="clear" w:color="auto" w:fill="auto"/>
            <w:noWrap/>
            <w:vAlign w:val="center"/>
            <w:hideMark/>
          </w:tcPr>
          <w:p w14:paraId="5016775E"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08EE392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0,696</w:t>
            </w:r>
          </w:p>
        </w:tc>
        <w:tc>
          <w:tcPr>
            <w:tcW w:w="1667" w:type="dxa"/>
            <w:tcBorders>
              <w:top w:val="nil"/>
              <w:left w:val="nil"/>
              <w:bottom w:val="single" w:sz="8" w:space="0" w:color="auto"/>
              <w:right w:val="single" w:sz="8" w:space="0" w:color="auto"/>
            </w:tcBorders>
            <w:shd w:val="clear" w:color="auto" w:fill="auto"/>
            <w:noWrap/>
            <w:vAlign w:val="center"/>
            <w:hideMark/>
          </w:tcPr>
          <w:p w14:paraId="36134524"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0,957</w:t>
            </w:r>
          </w:p>
        </w:tc>
        <w:tc>
          <w:tcPr>
            <w:tcW w:w="1344" w:type="dxa"/>
            <w:tcBorders>
              <w:top w:val="nil"/>
              <w:left w:val="nil"/>
              <w:bottom w:val="single" w:sz="8" w:space="0" w:color="auto"/>
              <w:right w:val="single" w:sz="8" w:space="0" w:color="auto"/>
            </w:tcBorders>
            <w:shd w:val="clear" w:color="auto" w:fill="auto"/>
            <w:noWrap/>
            <w:vAlign w:val="center"/>
            <w:hideMark/>
          </w:tcPr>
          <w:p w14:paraId="1C5043DB"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77.809,54</w:t>
            </w:r>
          </w:p>
        </w:tc>
        <w:tc>
          <w:tcPr>
            <w:tcW w:w="1230" w:type="dxa"/>
            <w:tcBorders>
              <w:top w:val="nil"/>
              <w:left w:val="nil"/>
              <w:bottom w:val="single" w:sz="8" w:space="0" w:color="auto"/>
              <w:right w:val="single" w:sz="8" w:space="0" w:color="auto"/>
            </w:tcBorders>
            <w:shd w:val="clear" w:color="auto" w:fill="auto"/>
            <w:noWrap/>
            <w:vAlign w:val="center"/>
            <w:hideMark/>
          </w:tcPr>
          <w:p w14:paraId="4E47F0D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61,44</w:t>
            </w:r>
          </w:p>
        </w:tc>
        <w:tc>
          <w:tcPr>
            <w:tcW w:w="1253" w:type="dxa"/>
            <w:tcBorders>
              <w:top w:val="nil"/>
              <w:left w:val="nil"/>
              <w:bottom w:val="single" w:sz="8" w:space="0" w:color="auto"/>
              <w:right w:val="single" w:sz="8" w:space="0" w:color="auto"/>
            </w:tcBorders>
            <w:shd w:val="clear" w:color="auto" w:fill="auto"/>
            <w:noWrap/>
            <w:vAlign w:val="center"/>
            <w:hideMark/>
          </w:tcPr>
          <w:p w14:paraId="38F032F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15.654,07</w:t>
            </w:r>
          </w:p>
        </w:tc>
        <w:tc>
          <w:tcPr>
            <w:tcW w:w="1230" w:type="dxa"/>
            <w:tcBorders>
              <w:top w:val="nil"/>
              <w:left w:val="nil"/>
              <w:bottom w:val="single" w:sz="8" w:space="0" w:color="auto"/>
              <w:right w:val="single" w:sz="8" w:space="0" w:color="auto"/>
            </w:tcBorders>
            <w:shd w:val="clear" w:color="auto" w:fill="auto"/>
            <w:noWrap/>
            <w:vAlign w:val="center"/>
            <w:hideMark/>
          </w:tcPr>
          <w:p w14:paraId="71E0F28B"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12,36</w:t>
            </w:r>
          </w:p>
        </w:tc>
        <w:tc>
          <w:tcPr>
            <w:tcW w:w="1230" w:type="dxa"/>
            <w:tcBorders>
              <w:top w:val="nil"/>
              <w:left w:val="nil"/>
              <w:bottom w:val="single" w:sz="8" w:space="0" w:color="auto"/>
              <w:right w:val="single" w:sz="8" w:space="0" w:color="auto"/>
            </w:tcBorders>
            <w:shd w:val="clear" w:color="auto" w:fill="auto"/>
            <w:noWrap/>
            <w:vAlign w:val="center"/>
            <w:hideMark/>
          </w:tcPr>
          <w:p w14:paraId="5DC5A825"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33.174,31</w:t>
            </w:r>
          </w:p>
        </w:tc>
        <w:tc>
          <w:tcPr>
            <w:tcW w:w="1230" w:type="dxa"/>
            <w:tcBorders>
              <w:top w:val="nil"/>
              <w:left w:val="nil"/>
              <w:bottom w:val="single" w:sz="8" w:space="0" w:color="auto"/>
              <w:right w:val="single" w:sz="8" w:space="0" w:color="auto"/>
            </w:tcBorders>
            <w:shd w:val="clear" w:color="auto" w:fill="auto"/>
            <w:noWrap/>
            <w:vAlign w:val="center"/>
            <w:hideMark/>
          </w:tcPr>
          <w:p w14:paraId="02D071C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26,20</w:t>
            </w:r>
          </w:p>
        </w:tc>
        <w:tc>
          <w:tcPr>
            <w:tcW w:w="1230" w:type="dxa"/>
            <w:tcBorders>
              <w:top w:val="nil"/>
              <w:left w:val="nil"/>
              <w:bottom w:val="single" w:sz="8" w:space="0" w:color="auto"/>
              <w:right w:val="single" w:sz="8" w:space="0" w:color="auto"/>
            </w:tcBorders>
            <w:shd w:val="clear" w:color="auto" w:fill="auto"/>
            <w:noWrap/>
            <w:vAlign w:val="center"/>
            <w:hideMark/>
          </w:tcPr>
          <w:p w14:paraId="11A9AD1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126.637,92</w:t>
            </w:r>
          </w:p>
        </w:tc>
      </w:tr>
      <w:tr w:rsidR="005D09BE" w:rsidRPr="00D44048" w14:paraId="6F4BFCF5"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71DA812C" w14:textId="77777777" w:rsidR="005D09BE" w:rsidRPr="00D44048"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669A70EA"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4DEAABA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0,653</w:t>
            </w:r>
          </w:p>
        </w:tc>
        <w:tc>
          <w:tcPr>
            <w:tcW w:w="1667" w:type="dxa"/>
            <w:tcBorders>
              <w:top w:val="nil"/>
              <w:left w:val="nil"/>
              <w:bottom w:val="single" w:sz="8" w:space="0" w:color="auto"/>
              <w:right w:val="single" w:sz="8" w:space="0" w:color="auto"/>
            </w:tcBorders>
            <w:shd w:val="clear" w:color="auto" w:fill="auto"/>
            <w:noWrap/>
            <w:vAlign w:val="center"/>
            <w:hideMark/>
          </w:tcPr>
          <w:p w14:paraId="3EC72B8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0,783</w:t>
            </w:r>
          </w:p>
        </w:tc>
        <w:tc>
          <w:tcPr>
            <w:tcW w:w="1344" w:type="dxa"/>
            <w:tcBorders>
              <w:top w:val="nil"/>
              <w:left w:val="nil"/>
              <w:bottom w:val="single" w:sz="8" w:space="0" w:color="auto"/>
              <w:right w:val="single" w:sz="8" w:space="0" w:color="auto"/>
            </w:tcBorders>
            <w:shd w:val="clear" w:color="auto" w:fill="auto"/>
            <w:noWrap/>
            <w:vAlign w:val="center"/>
            <w:hideMark/>
          </w:tcPr>
          <w:p w14:paraId="79DDFDC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67.798,64</w:t>
            </w:r>
          </w:p>
        </w:tc>
        <w:tc>
          <w:tcPr>
            <w:tcW w:w="1230" w:type="dxa"/>
            <w:tcBorders>
              <w:top w:val="nil"/>
              <w:left w:val="nil"/>
              <w:bottom w:val="single" w:sz="8" w:space="0" w:color="auto"/>
              <w:right w:val="single" w:sz="8" w:space="0" w:color="auto"/>
            </w:tcBorders>
            <w:shd w:val="clear" w:color="auto" w:fill="auto"/>
            <w:noWrap/>
            <w:vAlign w:val="center"/>
            <w:hideMark/>
          </w:tcPr>
          <w:p w14:paraId="545CF74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59,06</w:t>
            </w:r>
          </w:p>
        </w:tc>
        <w:tc>
          <w:tcPr>
            <w:tcW w:w="1253" w:type="dxa"/>
            <w:tcBorders>
              <w:top w:val="nil"/>
              <w:left w:val="nil"/>
              <w:bottom w:val="single" w:sz="8" w:space="0" w:color="auto"/>
              <w:right w:val="single" w:sz="8" w:space="0" w:color="auto"/>
            </w:tcBorders>
            <w:shd w:val="clear" w:color="auto" w:fill="auto"/>
            <w:noWrap/>
            <w:vAlign w:val="center"/>
            <w:hideMark/>
          </w:tcPr>
          <w:p w14:paraId="0D867B84"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13.832,75</w:t>
            </w:r>
          </w:p>
        </w:tc>
        <w:tc>
          <w:tcPr>
            <w:tcW w:w="1230" w:type="dxa"/>
            <w:tcBorders>
              <w:top w:val="nil"/>
              <w:left w:val="nil"/>
              <w:bottom w:val="single" w:sz="8" w:space="0" w:color="auto"/>
              <w:right w:val="single" w:sz="8" w:space="0" w:color="auto"/>
            </w:tcBorders>
            <w:shd w:val="clear" w:color="auto" w:fill="auto"/>
            <w:noWrap/>
            <w:vAlign w:val="center"/>
            <w:hideMark/>
          </w:tcPr>
          <w:p w14:paraId="7B3D36F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12,05</w:t>
            </w:r>
          </w:p>
        </w:tc>
        <w:tc>
          <w:tcPr>
            <w:tcW w:w="1230" w:type="dxa"/>
            <w:tcBorders>
              <w:top w:val="nil"/>
              <w:left w:val="nil"/>
              <w:bottom w:val="single" w:sz="8" w:space="0" w:color="auto"/>
              <w:right w:val="single" w:sz="8" w:space="0" w:color="auto"/>
            </w:tcBorders>
            <w:shd w:val="clear" w:color="auto" w:fill="auto"/>
            <w:noWrap/>
            <w:vAlign w:val="center"/>
            <w:hideMark/>
          </w:tcPr>
          <w:p w14:paraId="76719A0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33.174,31</w:t>
            </w:r>
          </w:p>
        </w:tc>
        <w:tc>
          <w:tcPr>
            <w:tcW w:w="1230" w:type="dxa"/>
            <w:tcBorders>
              <w:top w:val="nil"/>
              <w:left w:val="nil"/>
              <w:bottom w:val="single" w:sz="8" w:space="0" w:color="auto"/>
              <w:right w:val="single" w:sz="8" w:space="0" w:color="auto"/>
            </w:tcBorders>
            <w:shd w:val="clear" w:color="auto" w:fill="auto"/>
            <w:noWrap/>
            <w:vAlign w:val="center"/>
            <w:hideMark/>
          </w:tcPr>
          <w:p w14:paraId="7F2F270E"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28,89</w:t>
            </w:r>
          </w:p>
        </w:tc>
        <w:tc>
          <w:tcPr>
            <w:tcW w:w="1230" w:type="dxa"/>
            <w:tcBorders>
              <w:top w:val="nil"/>
              <w:left w:val="nil"/>
              <w:bottom w:val="single" w:sz="8" w:space="0" w:color="auto"/>
              <w:right w:val="single" w:sz="8" w:space="0" w:color="auto"/>
            </w:tcBorders>
            <w:shd w:val="clear" w:color="auto" w:fill="auto"/>
            <w:noWrap/>
            <w:vAlign w:val="center"/>
            <w:hideMark/>
          </w:tcPr>
          <w:p w14:paraId="4EFA318E"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114.805,70</w:t>
            </w:r>
          </w:p>
        </w:tc>
      </w:tr>
      <w:tr w:rsidR="005D09BE" w:rsidRPr="00D44048" w14:paraId="33FC370F"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5134442E" w14:textId="77777777" w:rsidR="005D09BE" w:rsidRPr="00D44048" w:rsidRDefault="005D09BE" w:rsidP="00F4450D">
            <w:pPr>
              <w:jc w:val="both"/>
              <w:rPr>
                <w:rFonts w:ascii="Arial" w:hAnsi="Arial" w:cs="Arial"/>
                <w:sz w:val="16"/>
                <w:szCs w:val="16"/>
              </w:rPr>
            </w:pPr>
            <w:r w:rsidRPr="00D44048">
              <w:rPr>
                <w:rFonts w:ascii="Arial" w:hAnsi="Arial" w:cs="Arial"/>
                <w:sz w:val="16"/>
                <w:szCs w:val="16"/>
              </w:rPr>
              <w:t>7- C.F.M. FABRIC. A MEDIDA E INST. DE CARPINTERÍA Y MUEBLE</w:t>
            </w:r>
          </w:p>
        </w:tc>
        <w:tc>
          <w:tcPr>
            <w:tcW w:w="1070" w:type="dxa"/>
            <w:tcBorders>
              <w:top w:val="nil"/>
              <w:left w:val="nil"/>
              <w:bottom w:val="single" w:sz="8" w:space="0" w:color="auto"/>
              <w:right w:val="single" w:sz="8" w:space="0" w:color="auto"/>
            </w:tcBorders>
            <w:shd w:val="clear" w:color="auto" w:fill="auto"/>
            <w:noWrap/>
            <w:vAlign w:val="center"/>
            <w:hideMark/>
          </w:tcPr>
          <w:p w14:paraId="5D28783E"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7499D31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0,826</w:t>
            </w:r>
          </w:p>
        </w:tc>
        <w:tc>
          <w:tcPr>
            <w:tcW w:w="1667" w:type="dxa"/>
            <w:tcBorders>
              <w:top w:val="nil"/>
              <w:left w:val="nil"/>
              <w:bottom w:val="single" w:sz="8" w:space="0" w:color="auto"/>
              <w:right w:val="single" w:sz="8" w:space="0" w:color="auto"/>
            </w:tcBorders>
            <w:shd w:val="clear" w:color="auto" w:fill="auto"/>
            <w:noWrap/>
            <w:vAlign w:val="center"/>
            <w:hideMark/>
          </w:tcPr>
          <w:p w14:paraId="4C430645" w14:textId="77777777" w:rsidR="005D09BE" w:rsidRPr="00D44048" w:rsidRDefault="005D09BE" w:rsidP="00F4450D">
            <w:pPr>
              <w:jc w:val="center"/>
              <w:rPr>
                <w:rFonts w:ascii="Arial" w:hAnsi="Arial" w:cs="Arial"/>
                <w:sz w:val="16"/>
                <w:szCs w:val="16"/>
              </w:rPr>
            </w:pPr>
            <w:r w:rsidRPr="00D44048">
              <w:rPr>
                <w:rFonts w:ascii="Arial" w:hAnsi="Arial" w:cs="Arial"/>
                <w:w w:val="99"/>
                <w:sz w:val="16"/>
                <w:szCs w:val="16"/>
              </w:rPr>
              <w:t>1</w:t>
            </w:r>
          </w:p>
        </w:tc>
        <w:tc>
          <w:tcPr>
            <w:tcW w:w="1344" w:type="dxa"/>
            <w:tcBorders>
              <w:top w:val="nil"/>
              <w:left w:val="nil"/>
              <w:bottom w:val="single" w:sz="8" w:space="0" w:color="auto"/>
              <w:right w:val="single" w:sz="8" w:space="0" w:color="auto"/>
            </w:tcBorders>
            <w:shd w:val="clear" w:color="auto" w:fill="auto"/>
            <w:noWrap/>
            <w:vAlign w:val="center"/>
            <w:hideMark/>
          </w:tcPr>
          <w:p w14:paraId="42546FD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86.193,62</w:t>
            </w:r>
          </w:p>
        </w:tc>
        <w:tc>
          <w:tcPr>
            <w:tcW w:w="1230" w:type="dxa"/>
            <w:tcBorders>
              <w:top w:val="nil"/>
              <w:left w:val="nil"/>
              <w:bottom w:val="single" w:sz="8" w:space="0" w:color="auto"/>
              <w:right w:val="single" w:sz="8" w:space="0" w:color="auto"/>
            </w:tcBorders>
            <w:shd w:val="clear" w:color="auto" w:fill="auto"/>
            <w:noWrap/>
            <w:vAlign w:val="center"/>
            <w:hideMark/>
          </w:tcPr>
          <w:p w14:paraId="3C535EBA"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64,19</w:t>
            </w:r>
          </w:p>
        </w:tc>
        <w:tc>
          <w:tcPr>
            <w:tcW w:w="1253" w:type="dxa"/>
            <w:tcBorders>
              <w:top w:val="nil"/>
              <w:left w:val="nil"/>
              <w:bottom w:val="single" w:sz="8" w:space="0" w:color="auto"/>
              <w:right w:val="single" w:sz="8" w:space="0" w:color="auto"/>
            </w:tcBorders>
            <w:shd w:val="clear" w:color="auto" w:fill="auto"/>
            <w:noWrap/>
            <w:vAlign w:val="center"/>
            <w:hideMark/>
          </w:tcPr>
          <w:p w14:paraId="6565D45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17.022,10</w:t>
            </w:r>
          </w:p>
        </w:tc>
        <w:tc>
          <w:tcPr>
            <w:tcW w:w="1230" w:type="dxa"/>
            <w:tcBorders>
              <w:top w:val="nil"/>
              <w:left w:val="nil"/>
              <w:bottom w:val="single" w:sz="8" w:space="0" w:color="auto"/>
              <w:right w:val="single" w:sz="8" w:space="0" w:color="auto"/>
            </w:tcBorders>
            <w:shd w:val="clear" w:color="auto" w:fill="auto"/>
            <w:noWrap/>
            <w:vAlign w:val="center"/>
            <w:hideMark/>
          </w:tcPr>
          <w:p w14:paraId="0E8F23F6"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12,68</w:t>
            </w:r>
          </w:p>
        </w:tc>
        <w:tc>
          <w:tcPr>
            <w:tcW w:w="1230" w:type="dxa"/>
            <w:tcBorders>
              <w:top w:val="nil"/>
              <w:left w:val="nil"/>
              <w:bottom w:val="single" w:sz="8" w:space="0" w:color="auto"/>
              <w:right w:val="single" w:sz="8" w:space="0" w:color="auto"/>
            </w:tcBorders>
            <w:shd w:val="clear" w:color="auto" w:fill="auto"/>
            <w:noWrap/>
            <w:vAlign w:val="center"/>
            <w:hideMark/>
          </w:tcPr>
          <w:p w14:paraId="2463438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31.063,15</w:t>
            </w:r>
          </w:p>
        </w:tc>
        <w:tc>
          <w:tcPr>
            <w:tcW w:w="1230" w:type="dxa"/>
            <w:tcBorders>
              <w:top w:val="nil"/>
              <w:left w:val="nil"/>
              <w:bottom w:val="single" w:sz="8" w:space="0" w:color="auto"/>
              <w:right w:val="single" w:sz="8" w:space="0" w:color="auto"/>
            </w:tcBorders>
            <w:shd w:val="clear" w:color="auto" w:fill="auto"/>
            <w:noWrap/>
            <w:vAlign w:val="center"/>
            <w:hideMark/>
          </w:tcPr>
          <w:p w14:paraId="0F2142A5"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23,13</w:t>
            </w:r>
          </w:p>
        </w:tc>
        <w:tc>
          <w:tcPr>
            <w:tcW w:w="1230" w:type="dxa"/>
            <w:tcBorders>
              <w:top w:val="nil"/>
              <w:left w:val="nil"/>
              <w:bottom w:val="single" w:sz="8" w:space="0" w:color="auto"/>
              <w:right w:val="single" w:sz="8" w:space="0" w:color="auto"/>
            </w:tcBorders>
            <w:shd w:val="clear" w:color="auto" w:fill="auto"/>
            <w:noWrap/>
            <w:vAlign w:val="center"/>
            <w:hideMark/>
          </w:tcPr>
          <w:p w14:paraId="0A066FD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134.278,87</w:t>
            </w:r>
          </w:p>
        </w:tc>
      </w:tr>
      <w:tr w:rsidR="005D09BE" w:rsidRPr="00D44048" w14:paraId="18B53D12"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6DD912A3" w14:textId="77777777" w:rsidR="005D09BE" w:rsidRPr="00D44048"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3BACEF6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7469036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0,565</w:t>
            </w:r>
          </w:p>
        </w:tc>
        <w:tc>
          <w:tcPr>
            <w:tcW w:w="1667" w:type="dxa"/>
            <w:tcBorders>
              <w:top w:val="nil"/>
              <w:left w:val="nil"/>
              <w:bottom w:val="single" w:sz="8" w:space="0" w:color="auto"/>
              <w:right w:val="single" w:sz="8" w:space="0" w:color="auto"/>
            </w:tcBorders>
            <w:shd w:val="clear" w:color="auto" w:fill="auto"/>
            <w:noWrap/>
            <w:vAlign w:val="center"/>
            <w:hideMark/>
          </w:tcPr>
          <w:p w14:paraId="7BB38C95" w14:textId="77777777" w:rsidR="005D09BE" w:rsidRPr="00D44048" w:rsidRDefault="005D09BE" w:rsidP="00F4450D">
            <w:pPr>
              <w:jc w:val="center"/>
              <w:rPr>
                <w:rFonts w:ascii="Arial" w:hAnsi="Arial" w:cs="Arial"/>
                <w:sz w:val="16"/>
                <w:szCs w:val="16"/>
              </w:rPr>
            </w:pPr>
            <w:r w:rsidRPr="00D44048">
              <w:rPr>
                <w:rFonts w:ascii="Arial" w:hAnsi="Arial" w:cs="Arial"/>
                <w:w w:val="99"/>
                <w:sz w:val="16"/>
                <w:szCs w:val="16"/>
              </w:rPr>
              <w:t>1</w:t>
            </w:r>
          </w:p>
        </w:tc>
        <w:tc>
          <w:tcPr>
            <w:tcW w:w="1344" w:type="dxa"/>
            <w:tcBorders>
              <w:top w:val="nil"/>
              <w:left w:val="nil"/>
              <w:bottom w:val="single" w:sz="8" w:space="0" w:color="auto"/>
              <w:right w:val="single" w:sz="8" w:space="0" w:color="auto"/>
            </w:tcBorders>
            <w:shd w:val="clear" w:color="auto" w:fill="auto"/>
            <w:noWrap/>
            <w:vAlign w:val="center"/>
            <w:hideMark/>
          </w:tcPr>
          <w:p w14:paraId="32252325"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73.271,63</w:t>
            </w:r>
          </w:p>
        </w:tc>
        <w:tc>
          <w:tcPr>
            <w:tcW w:w="1230" w:type="dxa"/>
            <w:tcBorders>
              <w:top w:val="nil"/>
              <w:left w:val="nil"/>
              <w:bottom w:val="single" w:sz="8" w:space="0" w:color="auto"/>
              <w:right w:val="single" w:sz="8" w:space="0" w:color="auto"/>
            </w:tcBorders>
            <w:shd w:val="clear" w:color="auto" w:fill="auto"/>
            <w:noWrap/>
            <w:vAlign w:val="center"/>
            <w:hideMark/>
          </w:tcPr>
          <w:p w14:paraId="55C21563"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61,46</w:t>
            </w:r>
          </w:p>
        </w:tc>
        <w:tc>
          <w:tcPr>
            <w:tcW w:w="1253" w:type="dxa"/>
            <w:tcBorders>
              <w:top w:val="nil"/>
              <w:left w:val="nil"/>
              <w:bottom w:val="single" w:sz="8" w:space="0" w:color="auto"/>
              <w:right w:val="single" w:sz="8" w:space="0" w:color="auto"/>
            </w:tcBorders>
            <w:shd w:val="clear" w:color="auto" w:fill="auto"/>
            <w:noWrap/>
            <w:vAlign w:val="center"/>
            <w:hideMark/>
          </w:tcPr>
          <w:p w14:paraId="11BB53BB"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14.890,33</w:t>
            </w:r>
          </w:p>
        </w:tc>
        <w:tc>
          <w:tcPr>
            <w:tcW w:w="1230" w:type="dxa"/>
            <w:tcBorders>
              <w:top w:val="nil"/>
              <w:left w:val="nil"/>
              <w:bottom w:val="single" w:sz="8" w:space="0" w:color="auto"/>
              <w:right w:val="single" w:sz="8" w:space="0" w:color="auto"/>
            </w:tcBorders>
            <w:shd w:val="clear" w:color="auto" w:fill="auto"/>
            <w:noWrap/>
            <w:vAlign w:val="center"/>
            <w:hideMark/>
          </w:tcPr>
          <w:p w14:paraId="5A87DB76"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12,49</w:t>
            </w:r>
          </w:p>
        </w:tc>
        <w:tc>
          <w:tcPr>
            <w:tcW w:w="1230" w:type="dxa"/>
            <w:tcBorders>
              <w:top w:val="nil"/>
              <w:left w:val="nil"/>
              <w:bottom w:val="single" w:sz="8" w:space="0" w:color="auto"/>
              <w:right w:val="single" w:sz="8" w:space="0" w:color="auto"/>
            </w:tcBorders>
            <w:shd w:val="clear" w:color="auto" w:fill="auto"/>
            <w:noWrap/>
            <w:vAlign w:val="center"/>
            <w:hideMark/>
          </w:tcPr>
          <w:p w14:paraId="28FB365B"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31.063,15</w:t>
            </w:r>
          </w:p>
        </w:tc>
        <w:tc>
          <w:tcPr>
            <w:tcW w:w="1230" w:type="dxa"/>
            <w:tcBorders>
              <w:top w:val="nil"/>
              <w:left w:val="nil"/>
              <w:bottom w:val="single" w:sz="8" w:space="0" w:color="auto"/>
              <w:right w:val="single" w:sz="8" w:space="0" w:color="auto"/>
            </w:tcBorders>
            <w:shd w:val="clear" w:color="auto" w:fill="auto"/>
            <w:noWrap/>
            <w:vAlign w:val="center"/>
            <w:hideMark/>
          </w:tcPr>
          <w:p w14:paraId="4860F78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26,05</w:t>
            </w:r>
          </w:p>
        </w:tc>
        <w:tc>
          <w:tcPr>
            <w:tcW w:w="1230" w:type="dxa"/>
            <w:tcBorders>
              <w:top w:val="nil"/>
              <w:left w:val="nil"/>
              <w:bottom w:val="single" w:sz="8" w:space="0" w:color="auto"/>
              <w:right w:val="single" w:sz="8" w:space="0" w:color="auto"/>
            </w:tcBorders>
            <w:shd w:val="clear" w:color="auto" w:fill="auto"/>
            <w:noWrap/>
            <w:vAlign w:val="center"/>
            <w:hideMark/>
          </w:tcPr>
          <w:p w14:paraId="4B04F845"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119.225,11</w:t>
            </w:r>
          </w:p>
        </w:tc>
      </w:tr>
      <w:tr w:rsidR="005D09BE" w:rsidRPr="00D44048" w14:paraId="57566DF8"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7BF49262" w14:textId="77777777" w:rsidR="005D09BE" w:rsidRPr="00D44048" w:rsidRDefault="005D09BE" w:rsidP="00F4450D">
            <w:pPr>
              <w:jc w:val="both"/>
              <w:rPr>
                <w:rFonts w:ascii="Arial" w:hAnsi="Arial" w:cs="Arial"/>
                <w:sz w:val="16"/>
                <w:szCs w:val="16"/>
              </w:rPr>
            </w:pPr>
            <w:r w:rsidRPr="00D44048">
              <w:rPr>
                <w:rFonts w:ascii="Arial" w:hAnsi="Arial" w:cs="Arial"/>
                <w:sz w:val="16"/>
                <w:szCs w:val="16"/>
              </w:rPr>
              <w:t>8- C.F.M. FARMACIA Y PARAFARMACIA (LOE)</w:t>
            </w:r>
          </w:p>
        </w:tc>
        <w:tc>
          <w:tcPr>
            <w:tcW w:w="1070" w:type="dxa"/>
            <w:tcBorders>
              <w:top w:val="nil"/>
              <w:left w:val="nil"/>
              <w:bottom w:val="single" w:sz="8" w:space="0" w:color="auto"/>
              <w:right w:val="single" w:sz="8" w:space="0" w:color="auto"/>
            </w:tcBorders>
            <w:shd w:val="clear" w:color="auto" w:fill="auto"/>
            <w:noWrap/>
            <w:vAlign w:val="center"/>
            <w:hideMark/>
          </w:tcPr>
          <w:p w14:paraId="70A0B84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60CB682B"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0,652</w:t>
            </w:r>
          </w:p>
        </w:tc>
        <w:tc>
          <w:tcPr>
            <w:tcW w:w="1667" w:type="dxa"/>
            <w:tcBorders>
              <w:top w:val="nil"/>
              <w:left w:val="nil"/>
              <w:bottom w:val="single" w:sz="8" w:space="0" w:color="auto"/>
              <w:right w:val="single" w:sz="8" w:space="0" w:color="auto"/>
            </w:tcBorders>
            <w:shd w:val="clear" w:color="auto" w:fill="auto"/>
            <w:noWrap/>
            <w:vAlign w:val="center"/>
            <w:hideMark/>
          </w:tcPr>
          <w:p w14:paraId="76681FB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0,913</w:t>
            </w:r>
          </w:p>
        </w:tc>
        <w:tc>
          <w:tcPr>
            <w:tcW w:w="1344" w:type="dxa"/>
            <w:tcBorders>
              <w:top w:val="nil"/>
              <w:left w:val="nil"/>
              <w:bottom w:val="single" w:sz="8" w:space="0" w:color="auto"/>
              <w:right w:val="single" w:sz="8" w:space="0" w:color="auto"/>
            </w:tcBorders>
            <w:shd w:val="clear" w:color="auto" w:fill="auto"/>
            <w:noWrap/>
            <w:vAlign w:val="center"/>
            <w:hideMark/>
          </w:tcPr>
          <w:p w14:paraId="1396D255"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73.637,97</w:t>
            </w:r>
          </w:p>
        </w:tc>
        <w:tc>
          <w:tcPr>
            <w:tcW w:w="1230" w:type="dxa"/>
            <w:tcBorders>
              <w:top w:val="nil"/>
              <w:left w:val="nil"/>
              <w:bottom w:val="single" w:sz="8" w:space="0" w:color="auto"/>
              <w:right w:val="single" w:sz="8" w:space="0" w:color="auto"/>
            </w:tcBorders>
            <w:shd w:val="clear" w:color="auto" w:fill="auto"/>
            <w:noWrap/>
            <w:vAlign w:val="center"/>
            <w:hideMark/>
          </w:tcPr>
          <w:p w14:paraId="1C0FC8BE"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68,10</w:t>
            </w:r>
          </w:p>
        </w:tc>
        <w:tc>
          <w:tcPr>
            <w:tcW w:w="1253" w:type="dxa"/>
            <w:tcBorders>
              <w:top w:val="nil"/>
              <w:left w:val="nil"/>
              <w:bottom w:val="single" w:sz="8" w:space="0" w:color="auto"/>
              <w:right w:val="single" w:sz="8" w:space="0" w:color="auto"/>
            </w:tcBorders>
            <w:shd w:val="clear" w:color="auto" w:fill="auto"/>
            <w:noWrap/>
            <w:vAlign w:val="center"/>
            <w:hideMark/>
          </w:tcPr>
          <w:p w14:paraId="2494EDE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14.692,54</w:t>
            </w:r>
          </w:p>
        </w:tc>
        <w:tc>
          <w:tcPr>
            <w:tcW w:w="1230" w:type="dxa"/>
            <w:tcBorders>
              <w:top w:val="nil"/>
              <w:left w:val="nil"/>
              <w:bottom w:val="single" w:sz="8" w:space="0" w:color="auto"/>
              <w:right w:val="single" w:sz="8" w:space="0" w:color="auto"/>
            </w:tcBorders>
            <w:shd w:val="clear" w:color="auto" w:fill="auto"/>
            <w:noWrap/>
            <w:vAlign w:val="center"/>
            <w:hideMark/>
          </w:tcPr>
          <w:p w14:paraId="00777856"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13,59</w:t>
            </w:r>
          </w:p>
        </w:tc>
        <w:tc>
          <w:tcPr>
            <w:tcW w:w="1230" w:type="dxa"/>
            <w:tcBorders>
              <w:top w:val="nil"/>
              <w:left w:val="nil"/>
              <w:bottom w:val="single" w:sz="8" w:space="0" w:color="auto"/>
              <w:right w:val="single" w:sz="8" w:space="0" w:color="auto"/>
            </w:tcBorders>
            <w:shd w:val="clear" w:color="auto" w:fill="auto"/>
            <w:noWrap/>
            <w:vAlign w:val="center"/>
            <w:hideMark/>
          </w:tcPr>
          <w:p w14:paraId="02501E5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19.806,50</w:t>
            </w:r>
          </w:p>
        </w:tc>
        <w:tc>
          <w:tcPr>
            <w:tcW w:w="1230" w:type="dxa"/>
            <w:tcBorders>
              <w:top w:val="nil"/>
              <w:left w:val="nil"/>
              <w:bottom w:val="single" w:sz="8" w:space="0" w:color="auto"/>
              <w:right w:val="single" w:sz="8" w:space="0" w:color="auto"/>
            </w:tcBorders>
            <w:shd w:val="clear" w:color="auto" w:fill="auto"/>
            <w:noWrap/>
            <w:vAlign w:val="center"/>
            <w:hideMark/>
          </w:tcPr>
          <w:p w14:paraId="56A796D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18,31</w:t>
            </w:r>
          </w:p>
        </w:tc>
        <w:tc>
          <w:tcPr>
            <w:tcW w:w="1230" w:type="dxa"/>
            <w:tcBorders>
              <w:top w:val="nil"/>
              <w:left w:val="nil"/>
              <w:bottom w:val="single" w:sz="8" w:space="0" w:color="auto"/>
              <w:right w:val="single" w:sz="8" w:space="0" w:color="auto"/>
            </w:tcBorders>
            <w:shd w:val="clear" w:color="auto" w:fill="auto"/>
            <w:noWrap/>
            <w:vAlign w:val="center"/>
            <w:hideMark/>
          </w:tcPr>
          <w:p w14:paraId="765288C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108.137,01</w:t>
            </w:r>
          </w:p>
        </w:tc>
      </w:tr>
      <w:tr w:rsidR="005D09BE" w:rsidRPr="00D44048" w14:paraId="123F54CF"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29C5B31D" w14:textId="77777777" w:rsidR="005D09BE" w:rsidRPr="00D44048"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2075283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4994A72A"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0,652</w:t>
            </w:r>
          </w:p>
        </w:tc>
        <w:tc>
          <w:tcPr>
            <w:tcW w:w="1667" w:type="dxa"/>
            <w:tcBorders>
              <w:top w:val="nil"/>
              <w:left w:val="nil"/>
              <w:bottom w:val="single" w:sz="8" w:space="0" w:color="auto"/>
              <w:right w:val="single" w:sz="8" w:space="0" w:color="auto"/>
            </w:tcBorders>
            <w:shd w:val="clear" w:color="auto" w:fill="auto"/>
            <w:noWrap/>
            <w:vAlign w:val="center"/>
            <w:hideMark/>
          </w:tcPr>
          <w:p w14:paraId="66DDC04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0,717</w:t>
            </w:r>
          </w:p>
        </w:tc>
        <w:tc>
          <w:tcPr>
            <w:tcW w:w="1344" w:type="dxa"/>
            <w:tcBorders>
              <w:top w:val="nil"/>
              <w:left w:val="nil"/>
              <w:bottom w:val="single" w:sz="8" w:space="0" w:color="auto"/>
              <w:right w:val="single" w:sz="8" w:space="0" w:color="auto"/>
            </w:tcBorders>
            <w:shd w:val="clear" w:color="auto" w:fill="auto"/>
            <w:noWrap/>
            <w:vAlign w:val="center"/>
            <w:hideMark/>
          </w:tcPr>
          <w:p w14:paraId="64269C0A"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64.759,42</w:t>
            </w:r>
          </w:p>
        </w:tc>
        <w:tc>
          <w:tcPr>
            <w:tcW w:w="1230" w:type="dxa"/>
            <w:tcBorders>
              <w:top w:val="nil"/>
              <w:left w:val="nil"/>
              <w:bottom w:val="single" w:sz="8" w:space="0" w:color="auto"/>
              <w:right w:val="single" w:sz="8" w:space="0" w:color="auto"/>
            </w:tcBorders>
            <w:shd w:val="clear" w:color="auto" w:fill="auto"/>
            <w:noWrap/>
            <w:vAlign w:val="center"/>
            <w:hideMark/>
          </w:tcPr>
          <w:p w14:paraId="383D1E93"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66,29</w:t>
            </w:r>
          </w:p>
        </w:tc>
        <w:tc>
          <w:tcPr>
            <w:tcW w:w="1253" w:type="dxa"/>
            <w:tcBorders>
              <w:top w:val="nil"/>
              <w:left w:val="nil"/>
              <w:bottom w:val="single" w:sz="8" w:space="0" w:color="auto"/>
              <w:right w:val="single" w:sz="8" w:space="0" w:color="auto"/>
            </w:tcBorders>
            <w:shd w:val="clear" w:color="auto" w:fill="auto"/>
            <w:noWrap/>
            <w:vAlign w:val="center"/>
            <w:hideMark/>
          </w:tcPr>
          <w:p w14:paraId="1BCAB94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13.132,35</w:t>
            </w:r>
          </w:p>
        </w:tc>
        <w:tc>
          <w:tcPr>
            <w:tcW w:w="1230" w:type="dxa"/>
            <w:tcBorders>
              <w:top w:val="nil"/>
              <w:left w:val="nil"/>
              <w:bottom w:val="single" w:sz="8" w:space="0" w:color="auto"/>
              <w:right w:val="single" w:sz="8" w:space="0" w:color="auto"/>
            </w:tcBorders>
            <w:shd w:val="clear" w:color="auto" w:fill="auto"/>
            <w:noWrap/>
            <w:vAlign w:val="center"/>
            <w:hideMark/>
          </w:tcPr>
          <w:p w14:paraId="4B33BF4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13,44</w:t>
            </w:r>
          </w:p>
        </w:tc>
        <w:tc>
          <w:tcPr>
            <w:tcW w:w="1230" w:type="dxa"/>
            <w:tcBorders>
              <w:top w:val="nil"/>
              <w:left w:val="nil"/>
              <w:bottom w:val="single" w:sz="8" w:space="0" w:color="auto"/>
              <w:right w:val="single" w:sz="8" w:space="0" w:color="auto"/>
            </w:tcBorders>
            <w:shd w:val="clear" w:color="auto" w:fill="auto"/>
            <w:noWrap/>
            <w:vAlign w:val="center"/>
            <w:hideMark/>
          </w:tcPr>
          <w:p w14:paraId="1B3CD2E5"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19.806,50</w:t>
            </w:r>
          </w:p>
        </w:tc>
        <w:tc>
          <w:tcPr>
            <w:tcW w:w="1230" w:type="dxa"/>
            <w:tcBorders>
              <w:top w:val="nil"/>
              <w:left w:val="nil"/>
              <w:bottom w:val="single" w:sz="8" w:space="0" w:color="auto"/>
              <w:right w:val="single" w:sz="8" w:space="0" w:color="auto"/>
            </w:tcBorders>
            <w:shd w:val="clear" w:color="auto" w:fill="auto"/>
            <w:noWrap/>
            <w:vAlign w:val="center"/>
            <w:hideMark/>
          </w:tcPr>
          <w:p w14:paraId="07734A1A"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20,27</w:t>
            </w:r>
          </w:p>
        </w:tc>
        <w:tc>
          <w:tcPr>
            <w:tcW w:w="1230" w:type="dxa"/>
            <w:tcBorders>
              <w:top w:val="nil"/>
              <w:left w:val="nil"/>
              <w:bottom w:val="single" w:sz="8" w:space="0" w:color="auto"/>
              <w:right w:val="single" w:sz="8" w:space="0" w:color="auto"/>
            </w:tcBorders>
            <w:shd w:val="clear" w:color="auto" w:fill="auto"/>
            <w:noWrap/>
            <w:vAlign w:val="center"/>
            <w:hideMark/>
          </w:tcPr>
          <w:p w14:paraId="6CEE6FAE"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97.698,27</w:t>
            </w:r>
          </w:p>
        </w:tc>
      </w:tr>
      <w:tr w:rsidR="005D09BE" w:rsidRPr="00D44048" w14:paraId="5AA48DBE"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22A54093" w14:textId="77777777" w:rsidR="005D09BE" w:rsidRPr="00D44048" w:rsidRDefault="005D09BE" w:rsidP="00F4450D">
            <w:pPr>
              <w:jc w:val="both"/>
              <w:rPr>
                <w:rFonts w:ascii="Arial" w:hAnsi="Arial" w:cs="Arial"/>
                <w:sz w:val="16"/>
                <w:szCs w:val="16"/>
              </w:rPr>
            </w:pPr>
            <w:r w:rsidRPr="00D44048">
              <w:rPr>
                <w:rFonts w:ascii="Arial" w:hAnsi="Arial" w:cs="Arial"/>
                <w:sz w:val="16"/>
                <w:szCs w:val="16"/>
              </w:rPr>
              <w:t>9- C.F.M. INSTALACIONES ELÉCTRICAS Y AUTOMÁTICAS (LOE)</w:t>
            </w:r>
          </w:p>
        </w:tc>
        <w:tc>
          <w:tcPr>
            <w:tcW w:w="1070" w:type="dxa"/>
            <w:tcBorders>
              <w:top w:val="nil"/>
              <w:left w:val="nil"/>
              <w:bottom w:val="single" w:sz="8" w:space="0" w:color="auto"/>
              <w:right w:val="single" w:sz="8" w:space="0" w:color="auto"/>
            </w:tcBorders>
            <w:shd w:val="clear" w:color="auto" w:fill="auto"/>
            <w:noWrap/>
            <w:vAlign w:val="center"/>
            <w:hideMark/>
          </w:tcPr>
          <w:p w14:paraId="38AB03CC"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13BD6C06"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0,696</w:t>
            </w:r>
          </w:p>
        </w:tc>
        <w:tc>
          <w:tcPr>
            <w:tcW w:w="1667" w:type="dxa"/>
            <w:tcBorders>
              <w:top w:val="nil"/>
              <w:left w:val="nil"/>
              <w:bottom w:val="single" w:sz="8" w:space="0" w:color="auto"/>
              <w:right w:val="single" w:sz="8" w:space="0" w:color="auto"/>
            </w:tcBorders>
            <w:shd w:val="clear" w:color="auto" w:fill="auto"/>
            <w:noWrap/>
            <w:vAlign w:val="center"/>
            <w:hideMark/>
          </w:tcPr>
          <w:p w14:paraId="64E5DD85" w14:textId="77777777" w:rsidR="005D09BE" w:rsidRPr="00D44048" w:rsidRDefault="005D09BE" w:rsidP="00F4450D">
            <w:pPr>
              <w:jc w:val="center"/>
              <w:rPr>
                <w:rFonts w:ascii="Arial" w:hAnsi="Arial" w:cs="Arial"/>
                <w:sz w:val="16"/>
                <w:szCs w:val="16"/>
              </w:rPr>
            </w:pPr>
            <w:r w:rsidRPr="00D44048">
              <w:rPr>
                <w:rFonts w:ascii="Arial" w:hAnsi="Arial" w:cs="Arial"/>
                <w:w w:val="99"/>
                <w:sz w:val="16"/>
                <w:szCs w:val="16"/>
              </w:rPr>
              <w:t>1</w:t>
            </w:r>
          </w:p>
        </w:tc>
        <w:tc>
          <w:tcPr>
            <w:tcW w:w="1344" w:type="dxa"/>
            <w:tcBorders>
              <w:top w:val="nil"/>
              <w:left w:val="nil"/>
              <w:bottom w:val="single" w:sz="8" w:space="0" w:color="auto"/>
              <w:right w:val="single" w:sz="8" w:space="0" w:color="auto"/>
            </w:tcBorders>
            <w:shd w:val="clear" w:color="auto" w:fill="auto"/>
            <w:noWrap/>
            <w:vAlign w:val="center"/>
            <w:hideMark/>
          </w:tcPr>
          <w:p w14:paraId="6170321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79.757,38</w:t>
            </w:r>
          </w:p>
        </w:tc>
        <w:tc>
          <w:tcPr>
            <w:tcW w:w="1230" w:type="dxa"/>
            <w:tcBorders>
              <w:top w:val="nil"/>
              <w:left w:val="nil"/>
              <w:bottom w:val="single" w:sz="8" w:space="0" w:color="auto"/>
              <w:right w:val="single" w:sz="8" w:space="0" w:color="auto"/>
            </w:tcBorders>
            <w:shd w:val="clear" w:color="auto" w:fill="auto"/>
            <w:noWrap/>
            <w:vAlign w:val="center"/>
            <w:hideMark/>
          </w:tcPr>
          <w:p w14:paraId="283FC44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62,92</w:t>
            </w:r>
          </w:p>
        </w:tc>
        <w:tc>
          <w:tcPr>
            <w:tcW w:w="1253" w:type="dxa"/>
            <w:tcBorders>
              <w:top w:val="nil"/>
              <w:left w:val="nil"/>
              <w:bottom w:val="single" w:sz="8" w:space="0" w:color="auto"/>
              <w:right w:val="single" w:sz="8" w:space="0" w:color="auto"/>
            </w:tcBorders>
            <w:shd w:val="clear" w:color="auto" w:fill="auto"/>
            <w:noWrap/>
            <w:vAlign w:val="center"/>
            <w:hideMark/>
          </w:tcPr>
          <w:p w14:paraId="315A8D2C"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15.735,59</w:t>
            </w:r>
          </w:p>
        </w:tc>
        <w:tc>
          <w:tcPr>
            <w:tcW w:w="1230" w:type="dxa"/>
            <w:tcBorders>
              <w:top w:val="nil"/>
              <w:left w:val="nil"/>
              <w:bottom w:val="single" w:sz="8" w:space="0" w:color="auto"/>
              <w:right w:val="single" w:sz="8" w:space="0" w:color="auto"/>
            </w:tcBorders>
            <w:shd w:val="clear" w:color="auto" w:fill="auto"/>
            <w:noWrap/>
            <w:vAlign w:val="center"/>
            <w:hideMark/>
          </w:tcPr>
          <w:p w14:paraId="79E6AA9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12,41</w:t>
            </w:r>
          </w:p>
        </w:tc>
        <w:tc>
          <w:tcPr>
            <w:tcW w:w="1230" w:type="dxa"/>
            <w:tcBorders>
              <w:top w:val="nil"/>
              <w:left w:val="nil"/>
              <w:bottom w:val="single" w:sz="8" w:space="0" w:color="auto"/>
              <w:right w:val="single" w:sz="8" w:space="0" w:color="auto"/>
            </w:tcBorders>
            <w:shd w:val="clear" w:color="auto" w:fill="auto"/>
            <w:noWrap/>
            <w:vAlign w:val="center"/>
            <w:hideMark/>
          </w:tcPr>
          <w:p w14:paraId="212B92B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31.274,23</w:t>
            </w:r>
          </w:p>
        </w:tc>
        <w:tc>
          <w:tcPr>
            <w:tcW w:w="1230" w:type="dxa"/>
            <w:tcBorders>
              <w:top w:val="nil"/>
              <w:left w:val="nil"/>
              <w:bottom w:val="single" w:sz="8" w:space="0" w:color="auto"/>
              <w:right w:val="single" w:sz="8" w:space="0" w:color="auto"/>
            </w:tcBorders>
            <w:shd w:val="clear" w:color="auto" w:fill="auto"/>
            <w:noWrap/>
            <w:vAlign w:val="center"/>
            <w:hideMark/>
          </w:tcPr>
          <w:p w14:paraId="1FA835F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24,67</w:t>
            </w:r>
          </w:p>
        </w:tc>
        <w:tc>
          <w:tcPr>
            <w:tcW w:w="1230" w:type="dxa"/>
            <w:tcBorders>
              <w:top w:val="nil"/>
              <w:left w:val="nil"/>
              <w:bottom w:val="single" w:sz="8" w:space="0" w:color="auto"/>
              <w:right w:val="single" w:sz="8" w:space="0" w:color="auto"/>
            </w:tcBorders>
            <w:shd w:val="clear" w:color="auto" w:fill="auto"/>
            <w:noWrap/>
            <w:vAlign w:val="center"/>
            <w:hideMark/>
          </w:tcPr>
          <w:p w14:paraId="132A58F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126.767,20</w:t>
            </w:r>
          </w:p>
        </w:tc>
      </w:tr>
      <w:tr w:rsidR="005D09BE" w:rsidRPr="00D44048" w14:paraId="6D47D2C2"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75DE95D3" w14:textId="77777777" w:rsidR="005D09BE" w:rsidRPr="00D44048"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7726BDC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244A89EE"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0,652</w:t>
            </w:r>
          </w:p>
        </w:tc>
        <w:tc>
          <w:tcPr>
            <w:tcW w:w="1667" w:type="dxa"/>
            <w:tcBorders>
              <w:top w:val="nil"/>
              <w:left w:val="nil"/>
              <w:bottom w:val="single" w:sz="8" w:space="0" w:color="auto"/>
              <w:right w:val="single" w:sz="8" w:space="0" w:color="auto"/>
            </w:tcBorders>
            <w:shd w:val="clear" w:color="auto" w:fill="auto"/>
            <w:noWrap/>
            <w:vAlign w:val="center"/>
            <w:hideMark/>
          </w:tcPr>
          <w:p w14:paraId="5A9A29D4"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0,87</w:t>
            </w:r>
          </w:p>
        </w:tc>
        <w:tc>
          <w:tcPr>
            <w:tcW w:w="1344" w:type="dxa"/>
            <w:tcBorders>
              <w:top w:val="nil"/>
              <w:left w:val="nil"/>
              <w:bottom w:val="single" w:sz="8" w:space="0" w:color="auto"/>
              <w:right w:val="single" w:sz="8" w:space="0" w:color="auto"/>
            </w:tcBorders>
            <w:shd w:val="clear" w:color="auto" w:fill="auto"/>
            <w:noWrap/>
            <w:vAlign w:val="center"/>
            <w:hideMark/>
          </w:tcPr>
          <w:p w14:paraId="674396F6"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71.690,13</w:t>
            </w:r>
          </w:p>
        </w:tc>
        <w:tc>
          <w:tcPr>
            <w:tcW w:w="1230" w:type="dxa"/>
            <w:tcBorders>
              <w:top w:val="nil"/>
              <w:left w:val="nil"/>
              <w:bottom w:val="single" w:sz="8" w:space="0" w:color="auto"/>
              <w:right w:val="single" w:sz="8" w:space="0" w:color="auto"/>
            </w:tcBorders>
            <w:shd w:val="clear" w:color="auto" w:fill="auto"/>
            <w:noWrap/>
            <w:vAlign w:val="center"/>
            <w:hideMark/>
          </w:tcPr>
          <w:p w14:paraId="2703394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61,11</w:t>
            </w:r>
          </w:p>
        </w:tc>
        <w:tc>
          <w:tcPr>
            <w:tcW w:w="1253" w:type="dxa"/>
            <w:tcBorders>
              <w:top w:val="nil"/>
              <w:left w:val="nil"/>
              <w:bottom w:val="single" w:sz="8" w:space="0" w:color="auto"/>
              <w:right w:val="single" w:sz="8" w:space="0" w:color="auto"/>
            </w:tcBorders>
            <w:shd w:val="clear" w:color="auto" w:fill="auto"/>
            <w:noWrap/>
            <w:vAlign w:val="center"/>
            <w:hideMark/>
          </w:tcPr>
          <w:p w14:paraId="41B83CF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14.345,86</w:t>
            </w:r>
          </w:p>
        </w:tc>
        <w:tc>
          <w:tcPr>
            <w:tcW w:w="1230" w:type="dxa"/>
            <w:tcBorders>
              <w:top w:val="nil"/>
              <w:left w:val="nil"/>
              <w:bottom w:val="single" w:sz="8" w:space="0" w:color="auto"/>
              <w:right w:val="single" w:sz="8" w:space="0" w:color="auto"/>
            </w:tcBorders>
            <w:shd w:val="clear" w:color="auto" w:fill="auto"/>
            <w:noWrap/>
            <w:vAlign w:val="center"/>
            <w:hideMark/>
          </w:tcPr>
          <w:p w14:paraId="5406CA95"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12,23</w:t>
            </w:r>
          </w:p>
        </w:tc>
        <w:tc>
          <w:tcPr>
            <w:tcW w:w="1230" w:type="dxa"/>
            <w:tcBorders>
              <w:top w:val="nil"/>
              <w:left w:val="nil"/>
              <w:bottom w:val="single" w:sz="8" w:space="0" w:color="auto"/>
              <w:right w:val="single" w:sz="8" w:space="0" w:color="auto"/>
            </w:tcBorders>
            <w:shd w:val="clear" w:color="auto" w:fill="auto"/>
            <w:noWrap/>
            <w:vAlign w:val="center"/>
            <w:hideMark/>
          </w:tcPr>
          <w:p w14:paraId="23969896"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31.274,23</w:t>
            </w:r>
          </w:p>
        </w:tc>
        <w:tc>
          <w:tcPr>
            <w:tcW w:w="1230" w:type="dxa"/>
            <w:tcBorders>
              <w:top w:val="nil"/>
              <w:left w:val="nil"/>
              <w:bottom w:val="single" w:sz="8" w:space="0" w:color="auto"/>
              <w:right w:val="single" w:sz="8" w:space="0" w:color="auto"/>
            </w:tcBorders>
            <w:shd w:val="clear" w:color="auto" w:fill="auto"/>
            <w:noWrap/>
            <w:vAlign w:val="center"/>
            <w:hideMark/>
          </w:tcPr>
          <w:p w14:paraId="63687FE4"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26,66</w:t>
            </w:r>
          </w:p>
        </w:tc>
        <w:tc>
          <w:tcPr>
            <w:tcW w:w="1230" w:type="dxa"/>
            <w:tcBorders>
              <w:top w:val="nil"/>
              <w:left w:val="nil"/>
              <w:bottom w:val="single" w:sz="8" w:space="0" w:color="auto"/>
              <w:right w:val="single" w:sz="8" w:space="0" w:color="auto"/>
            </w:tcBorders>
            <w:shd w:val="clear" w:color="auto" w:fill="auto"/>
            <w:noWrap/>
            <w:vAlign w:val="center"/>
            <w:hideMark/>
          </w:tcPr>
          <w:p w14:paraId="3AFF4005"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117.310,22</w:t>
            </w:r>
          </w:p>
        </w:tc>
      </w:tr>
      <w:tr w:rsidR="005D09BE" w:rsidRPr="00D44048" w14:paraId="5BE3129C"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776D5F99" w14:textId="77777777" w:rsidR="005D09BE" w:rsidRPr="00D44048" w:rsidRDefault="005D09BE" w:rsidP="00F4450D">
            <w:pPr>
              <w:jc w:val="both"/>
              <w:rPr>
                <w:rFonts w:ascii="Arial" w:hAnsi="Arial" w:cs="Arial"/>
                <w:sz w:val="16"/>
                <w:szCs w:val="16"/>
              </w:rPr>
            </w:pPr>
            <w:r w:rsidRPr="00D44048">
              <w:rPr>
                <w:rFonts w:ascii="Arial" w:hAnsi="Arial" w:cs="Arial"/>
                <w:sz w:val="16"/>
                <w:szCs w:val="16"/>
              </w:rPr>
              <w:t>10- C.F.M. MECANIZADO (LOE)</w:t>
            </w:r>
          </w:p>
        </w:tc>
        <w:tc>
          <w:tcPr>
            <w:tcW w:w="1070" w:type="dxa"/>
            <w:tcBorders>
              <w:top w:val="nil"/>
              <w:left w:val="nil"/>
              <w:bottom w:val="single" w:sz="8" w:space="0" w:color="auto"/>
              <w:right w:val="single" w:sz="8" w:space="0" w:color="auto"/>
            </w:tcBorders>
            <w:shd w:val="clear" w:color="auto" w:fill="auto"/>
            <w:noWrap/>
            <w:vAlign w:val="center"/>
            <w:hideMark/>
          </w:tcPr>
          <w:p w14:paraId="39F96BF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30B0A90B"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0,522</w:t>
            </w:r>
          </w:p>
        </w:tc>
        <w:tc>
          <w:tcPr>
            <w:tcW w:w="1667" w:type="dxa"/>
            <w:tcBorders>
              <w:top w:val="nil"/>
              <w:left w:val="nil"/>
              <w:bottom w:val="single" w:sz="8" w:space="0" w:color="auto"/>
              <w:right w:val="single" w:sz="8" w:space="0" w:color="auto"/>
            </w:tcBorders>
            <w:shd w:val="clear" w:color="auto" w:fill="auto"/>
            <w:noWrap/>
            <w:vAlign w:val="center"/>
            <w:hideMark/>
          </w:tcPr>
          <w:p w14:paraId="0451E69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1,391</w:t>
            </w:r>
          </w:p>
        </w:tc>
        <w:tc>
          <w:tcPr>
            <w:tcW w:w="1344" w:type="dxa"/>
            <w:tcBorders>
              <w:top w:val="nil"/>
              <w:left w:val="nil"/>
              <w:bottom w:val="single" w:sz="8" w:space="0" w:color="auto"/>
              <w:right w:val="single" w:sz="8" w:space="0" w:color="auto"/>
            </w:tcBorders>
            <w:shd w:val="clear" w:color="auto" w:fill="auto"/>
            <w:noWrap/>
            <w:vAlign w:val="center"/>
            <w:hideMark/>
          </w:tcPr>
          <w:p w14:paraId="5506D47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88.854,54</w:t>
            </w:r>
          </w:p>
        </w:tc>
        <w:tc>
          <w:tcPr>
            <w:tcW w:w="1230" w:type="dxa"/>
            <w:tcBorders>
              <w:top w:val="nil"/>
              <w:left w:val="nil"/>
              <w:bottom w:val="single" w:sz="8" w:space="0" w:color="auto"/>
              <w:right w:val="single" w:sz="8" w:space="0" w:color="auto"/>
            </w:tcBorders>
            <w:shd w:val="clear" w:color="auto" w:fill="auto"/>
            <w:noWrap/>
            <w:vAlign w:val="center"/>
            <w:hideMark/>
          </w:tcPr>
          <w:p w14:paraId="0210BA63"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64,39</w:t>
            </w:r>
          </w:p>
        </w:tc>
        <w:tc>
          <w:tcPr>
            <w:tcW w:w="1253" w:type="dxa"/>
            <w:tcBorders>
              <w:top w:val="nil"/>
              <w:left w:val="nil"/>
              <w:bottom w:val="single" w:sz="8" w:space="0" w:color="auto"/>
              <w:right w:val="single" w:sz="8" w:space="0" w:color="auto"/>
            </w:tcBorders>
            <w:shd w:val="clear" w:color="auto" w:fill="auto"/>
            <w:noWrap/>
            <w:vAlign w:val="center"/>
            <w:hideMark/>
          </w:tcPr>
          <w:p w14:paraId="56CB187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17.706,94</w:t>
            </w:r>
          </w:p>
        </w:tc>
        <w:tc>
          <w:tcPr>
            <w:tcW w:w="1230" w:type="dxa"/>
            <w:tcBorders>
              <w:top w:val="nil"/>
              <w:left w:val="nil"/>
              <w:bottom w:val="single" w:sz="8" w:space="0" w:color="auto"/>
              <w:right w:val="single" w:sz="8" w:space="0" w:color="auto"/>
            </w:tcBorders>
            <w:shd w:val="clear" w:color="auto" w:fill="auto"/>
            <w:noWrap/>
            <w:vAlign w:val="center"/>
            <w:hideMark/>
          </w:tcPr>
          <w:p w14:paraId="487594E6"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12,83</w:t>
            </w:r>
          </w:p>
        </w:tc>
        <w:tc>
          <w:tcPr>
            <w:tcW w:w="1230" w:type="dxa"/>
            <w:tcBorders>
              <w:top w:val="nil"/>
              <w:left w:val="nil"/>
              <w:bottom w:val="single" w:sz="8" w:space="0" w:color="auto"/>
              <w:right w:val="single" w:sz="8" w:space="0" w:color="auto"/>
            </w:tcBorders>
            <w:shd w:val="clear" w:color="auto" w:fill="auto"/>
            <w:noWrap/>
            <w:vAlign w:val="center"/>
            <w:hideMark/>
          </w:tcPr>
          <w:p w14:paraId="61DE10F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31.429,05</w:t>
            </w:r>
          </w:p>
        </w:tc>
        <w:tc>
          <w:tcPr>
            <w:tcW w:w="1230" w:type="dxa"/>
            <w:tcBorders>
              <w:top w:val="nil"/>
              <w:left w:val="nil"/>
              <w:bottom w:val="single" w:sz="8" w:space="0" w:color="auto"/>
              <w:right w:val="single" w:sz="8" w:space="0" w:color="auto"/>
            </w:tcBorders>
            <w:shd w:val="clear" w:color="auto" w:fill="auto"/>
            <w:noWrap/>
            <w:vAlign w:val="center"/>
            <w:hideMark/>
          </w:tcPr>
          <w:p w14:paraId="1F3DFCF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22,78</w:t>
            </w:r>
          </w:p>
        </w:tc>
        <w:tc>
          <w:tcPr>
            <w:tcW w:w="1230" w:type="dxa"/>
            <w:tcBorders>
              <w:top w:val="nil"/>
              <w:left w:val="nil"/>
              <w:bottom w:val="single" w:sz="8" w:space="0" w:color="auto"/>
              <w:right w:val="single" w:sz="8" w:space="0" w:color="auto"/>
            </w:tcBorders>
            <w:shd w:val="clear" w:color="auto" w:fill="auto"/>
            <w:noWrap/>
            <w:vAlign w:val="center"/>
            <w:hideMark/>
          </w:tcPr>
          <w:p w14:paraId="281F82A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137.990,53</w:t>
            </w:r>
          </w:p>
        </w:tc>
      </w:tr>
      <w:tr w:rsidR="005D09BE" w:rsidRPr="00D44048" w14:paraId="6FBEF45D"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314DC663" w14:textId="77777777" w:rsidR="005D09BE" w:rsidRPr="00D44048"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0FC0840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6795E5FE"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0,696</w:t>
            </w:r>
          </w:p>
        </w:tc>
        <w:tc>
          <w:tcPr>
            <w:tcW w:w="1667" w:type="dxa"/>
            <w:tcBorders>
              <w:top w:val="nil"/>
              <w:left w:val="nil"/>
              <w:bottom w:val="single" w:sz="8" w:space="0" w:color="auto"/>
              <w:right w:val="single" w:sz="8" w:space="0" w:color="auto"/>
            </w:tcBorders>
            <w:shd w:val="clear" w:color="auto" w:fill="auto"/>
            <w:noWrap/>
            <w:vAlign w:val="center"/>
            <w:hideMark/>
          </w:tcPr>
          <w:p w14:paraId="7CA53F3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0,826</w:t>
            </w:r>
          </w:p>
        </w:tc>
        <w:tc>
          <w:tcPr>
            <w:tcW w:w="1344" w:type="dxa"/>
            <w:tcBorders>
              <w:top w:val="nil"/>
              <w:left w:val="nil"/>
              <w:bottom w:val="single" w:sz="8" w:space="0" w:color="auto"/>
              <w:right w:val="single" w:sz="8" w:space="0" w:color="auto"/>
            </w:tcBorders>
            <w:shd w:val="clear" w:color="auto" w:fill="auto"/>
            <w:noWrap/>
            <w:vAlign w:val="center"/>
            <w:hideMark/>
          </w:tcPr>
          <w:p w14:paraId="6A777AD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71.875,40</w:t>
            </w:r>
          </w:p>
        </w:tc>
        <w:tc>
          <w:tcPr>
            <w:tcW w:w="1230" w:type="dxa"/>
            <w:tcBorders>
              <w:top w:val="nil"/>
              <w:left w:val="nil"/>
              <w:bottom w:val="single" w:sz="8" w:space="0" w:color="auto"/>
              <w:right w:val="single" w:sz="8" w:space="0" w:color="auto"/>
            </w:tcBorders>
            <w:shd w:val="clear" w:color="auto" w:fill="auto"/>
            <w:noWrap/>
            <w:vAlign w:val="center"/>
            <w:hideMark/>
          </w:tcPr>
          <w:p w14:paraId="04B19EF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60,99</w:t>
            </w:r>
          </w:p>
        </w:tc>
        <w:tc>
          <w:tcPr>
            <w:tcW w:w="1253" w:type="dxa"/>
            <w:tcBorders>
              <w:top w:val="nil"/>
              <w:left w:val="nil"/>
              <w:bottom w:val="single" w:sz="8" w:space="0" w:color="auto"/>
              <w:right w:val="single" w:sz="8" w:space="0" w:color="auto"/>
            </w:tcBorders>
            <w:shd w:val="clear" w:color="auto" w:fill="auto"/>
            <w:noWrap/>
            <w:vAlign w:val="center"/>
            <w:hideMark/>
          </w:tcPr>
          <w:p w14:paraId="2D2B6CE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14.546,51</w:t>
            </w:r>
          </w:p>
        </w:tc>
        <w:tc>
          <w:tcPr>
            <w:tcW w:w="1230" w:type="dxa"/>
            <w:tcBorders>
              <w:top w:val="nil"/>
              <w:left w:val="nil"/>
              <w:bottom w:val="single" w:sz="8" w:space="0" w:color="auto"/>
              <w:right w:val="single" w:sz="8" w:space="0" w:color="auto"/>
            </w:tcBorders>
            <w:shd w:val="clear" w:color="auto" w:fill="auto"/>
            <w:noWrap/>
            <w:vAlign w:val="center"/>
            <w:hideMark/>
          </w:tcPr>
          <w:p w14:paraId="75FD9C3A"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12,34</w:t>
            </w:r>
          </w:p>
        </w:tc>
        <w:tc>
          <w:tcPr>
            <w:tcW w:w="1230" w:type="dxa"/>
            <w:tcBorders>
              <w:top w:val="nil"/>
              <w:left w:val="nil"/>
              <w:bottom w:val="single" w:sz="8" w:space="0" w:color="auto"/>
              <w:right w:val="single" w:sz="8" w:space="0" w:color="auto"/>
            </w:tcBorders>
            <w:shd w:val="clear" w:color="auto" w:fill="auto"/>
            <w:noWrap/>
            <w:vAlign w:val="center"/>
            <w:hideMark/>
          </w:tcPr>
          <w:p w14:paraId="1D5F53C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31.429,05</w:t>
            </w:r>
          </w:p>
        </w:tc>
        <w:tc>
          <w:tcPr>
            <w:tcW w:w="1230" w:type="dxa"/>
            <w:tcBorders>
              <w:top w:val="nil"/>
              <w:left w:val="nil"/>
              <w:bottom w:val="single" w:sz="8" w:space="0" w:color="auto"/>
              <w:right w:val="single" w:sz="8" w:space="0" w:color="auto"/>
            </w:tcBorders>
            <w:shd w:val="clear" w:color="auto" w:fill="auto"/>
            <w:noWrap/>
            <w:vAlign w:val="center"/>
            <w:hideMark/>
          </w:tcPr>
          <w:p w14:paraId="6D1D0886"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26,67</w:t>
            </w:r>
          </w:p>
        </w:tc>
        <w:tc>
          <w:tcPr>
            <w:tcW w:w="1230" w:type="dxa"/>
            <w:tcBorders>
              <w:top w:val="nil"/>
              <w:left w:val="nil"/>
              <w:bottom w:val="single" w:sz="8" w:space="0" w:color="auto"/>
              <w:right w:val="single" w:sz="8" w:space="0" w:color="auto"/>
            </w:tcBorders>
            <w:shd w:val="clear" w:color="auto" w:fill="auto"/>
            <w:noWrap/>
            <w:vAlign w:val="center"/>
            <w:hideMark/>
          </w:tcPr>
          <w:p w14:paraId="0DDCEEB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117.850,96</w:t>
            </w:r>
          </w:p>
        </w:tc>
      </w:tr>
      <w:tr w:rsidR="005D09BE" w:rsidRPr="00D44048" w14:paraId="1F44F562"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0BB186BB" w14:textId="77777777" w:rsidR="005D09BE" w:rsidRPr="00D44048" w:rsidRDefault="005D09BE" w:rsidP="00F4450D">
            <w:pPr>
              <w:jc w:val="both"/>
              <w:rPr>
                <w:rFonts w:ascii="Arial" w:hAnsi="Arial" w:cs="Arial"/>
                <w:sz w:val="16"/>
                <w:szCs w:val="16"/>
              </w:rPr>
            </w:pPr>
            <w:r w:rsidRPr="00D44048">
              <w:rPr>
                <w:rFonts w:ascii="Arial" w:hAnsi="Arial" w:cs="Arial"/>
                <w:sz w:val="16"/>
                <w:szCs w:val="16"/>
              </w:rPr>
              <w:t>11- C.F.M. COMERCIO</w:t>
            </w:r>
          </w:p>
        </w:tc>
        <w:tc>
          <w:tcPr>
            <w:tcW w:w="1070" w:type="dxa"/>
            <w:tcBorders>
              <w:top w:val="nil"/>
              <w:left w:val="nil"/>
              <w:bottom w:val="single" w:sz="8" w:space="0" w:color="auto"/>
              <w:right w:val="single" w:sz="8" w:space="0" w:color="auto"/>
            </w:tcBorders>
            <w:shd w:val="clear" w:color="auto" w:fill="auto"/>
            <w:noWrap/>
            <w:vAlign w:val="center"/>
            <w:hideMark/>
          </w:tcPr>
          <w:p w14:paraId="348A59A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3A9D109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1,043</w:t>
            </w:r>
          </w:p>
        </w:tc>
        <w:tc>
          <w:tcPr>
            <w:tcW w:w="1667" w:type="dxa"/>
            <w:tcBorders>
              <w:top w:val="nil"/>
              <w:left w:val="nil"/>
              <w:bottom w:val="single" w:sz="8" w:space="0" w:color="auto"/>
              <w:right w:val="single" w:sz="8" w:space="0" w:color="auto"/>
            </w:tcBorders>
            <w:shd w:val="clear" w:color="auto" w:fill="auto"/>
            <w:noWrap/>
            <w:vAlign w:val="center"/>
            <w:hideMark/>
          </w:tcPr>
          <w:p w14:paraId="3693276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0,696</w:t>
            </w:r>
          </w:p>
        </w:tc>
        <w:tc>
          <w:tcPr>
            <w:tcW w:w="1344" w:type="dxa"/>
            <w:tcBorders>
              <w:top w:val="nil"/>
              <w:left w:val="nil"/>
              <w:bottom w:val="single" w:sz="8" w:space="0" w:color="auto"/>
              <w:right w:val="single" w:sz="8" w:space="0" w:color="auto"/>
            </w:tcBorders>
            <w:shd w:val="clear" w:color="auto" w:fill="auto"/>
            <w:noWrap/>
            <w:vAlign w:val="center"/>
            <w:hideMark/>
          </w:tcPr>
          <w:p w14:paraId="465CA35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83.166,36</w:t>
            </w:r>
          </w:p>
        </w:tc>
        <w:tc>
          <w:tcPr>
            <w:tcW w:w="1230" w:type="dxa"/>
            <w:tcBorders>
              <w:top w:val="nil"/>
              <w:left w:val="nil"/>
              <w:bottom w:val="single" w:sz="8" w:space="0" w:color="auto"/>
              <w:right w:val="single" w:sz="8" w:space="0" w:color="auto"/>
            </w:tcBorders>
            <w:shd w:val="clear" w:color="auto" w:fill="auto"/>
            <w:noWrap/>
            <w:vAlign w:val="center"/>
            <w:hideMark/>
          </w:tcPr>
          <w:p w14:paraId="6AF32E86"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68,68</w:t>
            </w:r>
          </w:p>
        </w:tc>
        <w:tc>
          <w:tcPr>
            <w:tcW w:w="1253" w:type="dxa"/>
            <w:tcBorders>
              <w:top w:val="nil"/>
              <w:left w:val="nil"/>
              <w:bottom w:val="single" w:sz="8" w:space="0" w:color="auto"/>
              <w:right w:val="single" w:sz="8" w:space="0" w:color="auto"/>
            </w:tcBorders>
            <w:shd w:val="clear" w:color="auto" w:fill="auto"/>
            <w:noWrap/>
            <w:vAlign w:val="center"/>
            <w:hideMark/>
          </w:tcPr>
          <w:p w14:paraId="0E4CB66E"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16.331,55</w:t>
            </w:r>
          </w:p>
        </w:tc>
        <w:tc>
          <w:tcPr>
            <w:tcW w:w="1230" w:type="dxa"/>
            <w:tcBorders>
              <w:top w:val="nil"/>
              <w:left w:val="nil"/>
              <w:bottom w:val="single" w:sz="8" w:space="0" w:color="auto"/>
              <w:right w:val="single" w:sz="8" w:space="0" w:color="auto"/>
            </w:tcBorders>
            <w:shd w:val="clear" w:color="auto" w:fill="auto"/>
            <w:noWrap/>
            <w:vAlign w:val="center"/>
            <w:hideMark/>
          </w:tcPr>
          <w:p w14:paraId="2FFF553B"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13,49</w:t>
            </w:r>
          </w:p>
        </w:tc>
        <w:tc>
          <w:tcPr>
            <w:tcW w:w="1230" w:type="dxa"/>
            <w:tcBorders>
              <w:top w:val="nil"/>
              <w:left w:val="nil"/>
              <w:bottom w:val="single" w:sz="8" w:space="0" w:color="auto"/>
              <w:right w:val="single" w:sz="8" w:space="0" w:color="auto"/>
            </w:tcBorders>
            <w:shd w:val="clear" w:color="auto" w:fill="auto"/>
            <w:noWrap/>
            <w:vAlign w:val="center"/>
            <w:hideMark/>
          </w:tcPr>
          <w:p w14:paraId="717585E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21.596,62</w:t>
            </w:r>
          </w:p>
        </w:tc>
        <w:tc>
          <w:tcPr>
            <w:tcW w:w="1230" w:type="dxa"/>
            <w:tcBorders>
              <w:top w:val="nil"/>
              <w:left w:val="nil"/>
              <w:bottom w:val="single" w:sz="8" w:space="0" w:color="auto"/>
              <w:right w:val="single" w:sz="8" w:space="0" w:color="auto"/>
            </w:tcBorders>
            <w:shd w:val="clear" w:color="auto" w:fill="auto"/>
            <w:noWrap/>
            <w:vAlign w:val="center"/>
            <w:hideMark/>
          </w:tcPr>
          <w:p w14:paraId="449F0E7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17,83</w:t>
            </w:r>
          </w:p>
        </w:tc>
        <w:tc>
          <w:tcPr>
            <w:tcW w:w="1230" w:type="dxa"/>
            <w:tcBorders>
              <w:top w:val="nil"/>
              <w:left w:val="nil"/>
              <w:bottom w:val="single" w:sz="8" w:space="0" w:color="auto"/>
              <w:right w:val="single" w:sz="8" w:space="0" w:color="auto"/>
            </w:tcBorders>
            <w:shd w:val="clear" w:color="auto" w:fill="auto"/>
            <w:noWrap/>
            <w:vAlign w:val="center"/>
            <w:hideMark/>
          </w:tcPr>
          <w:p w14:paraId="24F9D3F4"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121.094,53</w:t>
            </w:r>
          </w:p>
        </w:tc>
      </w:tr>
      <w:tr w:rsidR="005D09BE" w:rsidRPr="00D44048" w14:paraId="5CB6CB61"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33867DDB" w14:textId="77777777" w:rsidR="005D09BE" w:rsidRPr="00D44048"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4996F873"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3FC62EF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0,261</w:t>
            </w:r>
          </w:p>
        </w:tc>
        <w:tc>
          <w:tcPr>
            <w:tcW w:w="1667" w:type="dxa"/>
            <w:tcBorders>
              <w:top w:val="nil"/>
              <w:left w:val="nil"/>
              <w:bottom w:val="single" w:sz="8" w:space="0" w:color="auto"/>
              <w:right w:val="single" w:sz="8" w:space="0" w:color="auto"/>
            </w:tcBorders>
            <w:shd w:val="clear" w:color="auto" w:fill="auto"/>
            <w:noWrap/>
            <w:vAlign w:val="center"/>
            <w:hideMark/>
          </w:tcPr>
          <w:p w14:paraId="310495BE" w14:textId="77777777" w:rsidR="005D09BE" w:rsidRPr="00D44048" w:rsidRDefault="005D09BE" w:rsidP="00F4450D">
            <w:pPr>
              <w:jc w:val="center"/>
              <w:rPr>
                <w:rFonts w:ascii="Arial" w:hAnsi="Arial" w:cs="Arial"/>
                <w:sz w:val="16"/>
                <w:szCs w:val="16"/>
              </w:rPr>
            </w:pPr>
            <w:r w:rsidRPr="00D44048">
              <w:rPr>
                <w:rFonts w:ascii="Arial" w:hAnsi="Arial" w:cs="Arial"/>
                <w:w w:val="99"/>
                <w:sz w:val="16"/>
                <w:szCs w:val="16"/>
              </w:rPr>
              <w:t>0</w:t>
            </w:r>
          </w:p>
        </w:tc>
        <w:tc>
          <w:tcPr>
            <w:tcW w:w="1344" w:type="dxa"/>
            <w:tcBorders>
              <w:top w:val="nil"/>
              <w:left w:val="nil"/>
              <w:bottom w:val="single" w:sz="8" w:space="0" w:color="auto"/>
              <w:right w:val="single" w:sz="8" w:space="0" w:color="auto"/>
            </w:tcBorders>
            <w:shd w:val="clear" w:color="auto" w:fill="auto"/>
            <w:noWrap/>
            <w:vAlign w:val="center"/>
            <w:hideMark/>
          </w:tcPr>
          <w:p w14:paraId="17F175F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12.921,99</w:t>
            </w:r>
          </w:p>
        </w:tc>
        <w:tc>
          <w:tcPr>
            <w:tcW w:w="1230" w:type="dxa"/>
            <w:tcBorders>
              <w:top w:val="nil"/>
              <w:left w:val="nil"/>
              <w:bottom w:val="single" w:sz="8" w:space="0" w:color="auto"/>
              <w:right w:val="single" w:sz="8" w:space="0" w:color="auto"/>
            </w:tcBorders>
            <w:shd w:val="clear" w:color="auto" w:fill="auto"/>
            <w:noWrap/>
            <w:vAlign w:val="center"/>
            <w:hideMark/>
          </w:tcPr>
          <w:p w14:paraId="25473356"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63,49</w:t>
            </w:r>
          </w:p>
        </w:tc>
        <w:tc>
          <w:tcPr>
            <w:tcW w:w="1253" w:type="dxa"/>
            <w:tcBorders>
              <w:top w:val="nil"/>
              <w:left w:val="nil"/>
              <w:bottom w:val="single" w:sz="8" w:space="0" w:color="auto"/>
              <w:right w:val="single" w:sz="8" w:space="0" w:color="auto"/>
            </w:tcBorders>
            <w:shd w:val="clear" w:color="auto" w:fill="auto"/>
            <w:noWrap/>
            <w:vAlign w:val="center"/>
            <w:hideMark/>
          </w:tcPr>
          <w:p w14:paraId="37894355"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3.629,50</w:t>
            </w:r>
          </w:p>
        </w:tc>
        <w:tc>
          <w:tcPr>
            <w:tcW w:w="1230" w:type="dxa"/>
            <w:tcBorders>
              <w:top w:val="nil"/>
              <w:left w:val="nil"/>
              <w:bottom w:val="single" w:sz="8" w:space="0" w:color="auto"/>
              <w:right w:val="single" w:sz="8" w:space="0" w:color="auto"/>
            </w:tcBorders>
            <w:shd w:val="clear" w:color="auto" w:fill="auto"/>
            <w:noWrap/>
            <w:vAlign w:val="center"/>
            <w:hideMark/>
          </w:tcPr>
          <w:p w14:paraId="27E8EC9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17,83</w:t>
            </w:r>
          </w:p>
        </w:tc>
        <w:tc>
          <w:tcPr>
            <w:tcW w:w="1230" w:type="dxa"/>
            <w:tcBorders>
              <w:top w:val="nil"/>
              <w:left w:val="nil"/>
              <w:bottom w:val="single" w:sz="8" w:space="0" w:color="auto"/>
              <w:right w:val="single" w:sz="8" w:space="0" w:color="auto"/>
            </w:tcBorders>
            <w:shd w:val="clear" w:color="auto" w:fill="auto"/>
            <w:noWrap/>
            <w:vAlign w:val="center"/>
            <w:hideMark/>
          </w:tcPr>
          <w:p w14:paraId="2DC95F75"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3.800,12</w:t>
            </w:r>
          </w:p>
        </w:tc>
        <w:tc>
          <w:tcPr>
            <w:tcW w:w="1230" w:type="dxa"/>
            <w:tcBorders>
              <w:top w:val="nil"/>
              <w:left w:val="nil"/>
              <w:bottom w:val="single" w:sz="8" w:space="0" w:color="auto"/>
              <w:right w:val="single" w:sz="8" w:space="0" w:color="auto"/>
            </w:tcBorders>
            <w:shd w:val="clear" w:color="auto" w:fill="auto"/>
            <w:noWrap/>
            <w:vAlign w:val="center"/>
            <w:hideMark/>
          </w:tcPr>
          <w:p w14:paraId="215FD5FC"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18,68</w:t>
            </w:r>
          </w:p>
        </w:tc>
        <w:tc>
          <w:tcPr>
            <w:tcW w:w="1230" w:type="dxa"/>
            <w:tcBorders>
              <w:top w:val="nil"/>
              <w:left w:val="nil"/>
              <w:bottom w:val="single" w:sz="8" w:space="0" w:color="auto"/>
              <w:right w:val="single" w:sz="8" w:space="0" w:color="auto"/>
            </w:tcBorders>
            <w:shd w:val="clear" w:color="auto" w:fill="auto"/>
            <w:noWrap/>
            <w:vAlign w:val="center"/>
            <w:hideMark/>
          </w:tcPr>
          <w:p w14:paraId="74A0ED26"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20.351,61</w:t>
            </w:r>
          </w:p>
        </w:tc>
      </w:tr>
      <w:tr w:rsidR="005D09BE" w:rsidRPr="00D44048" w14:paraId="299C03FD"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6BA53CC0" w14:textId="77777777" w:rsidR="005D09BE" w:rsidRPr="00D44048" w:rsidRDefault="005D09BE" w:rsidP="00F4450D">
            <w:pPr>
              <w:jc w:val="both"/>
              <w:rPr>
                <w:rFonts w:ascii="Arial" w:hAnsi="Arial" w:cs="Arial"/>
                <w:sz w:val="16"/>
                <w:szCs w:val="16"/>
              </w:rPr>
            </w:pPr>
            <w:r w:rsidRPr="00D44048">
              <w:rPr>
                <w:rFonts w:ascii="Arial" w:hAnsi="Arial" w:cs="Arial"/>
                <w:sz w:val="16"/>
                <w:szCs w:val="16"/>
              </w:rPr>
              <w:t>11- C.F.M. ACTIVIDADES COMERCIALES</w:t>
            </w:r>
          </w:p>
        </w:tc>
        <w:tc>
          <w:tcPr>
            <w:tcW w:w="1070" w:type="dxa"/>
            <w:tcBorders>
              <w:top w:val="nil"/>
              <w:left w:val="nil"/>
              <w:bottom w:val="single" w:sz="8" w:space="0" w:color="auto"/>
              <w:right w:val="single" w:sz="8" w:space="0" w:color="auto"/>
            </w:tcBorders>
            <w:shd w:val="clear" w:color="auto" w:fill="auto"/>
            <w:noWrap/>
            <w:vAlign w:val="center"/>
            <w:hideMark/>
          </w:tcPr>
          <w:p w14:paraId="3D187CE6"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6F7C53C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0,87</w:t>
            </w:r>
          </w:p>
        </w:tc>
        <w:tc>
          <w:tcPr>
            <w:tcW w:w="1667" w:type="dxa"/>
            <w:tcBorders>
              <w:top w:val="nil"/>
              <w:left w:val="nil"/>
              <w:bottom w:val="single" w:sz="8" w:space="0" w:color="auto"/>
              <w:right w:val="single" w:sz="8" w:space="0" w:color="auto"/>
            </w:tcBorders>
            <w:shd w:val="clear" w:color="auto" w:fill="auto"/>
            <w:noWrap/>
            <w:vAlign w:val="center"/>
            <w:hideMark/>
          </w:tcPr>
          <w:p w14:paraId="0FA7CDEC"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0,87</w:t>
            </w:r>
          </w:p>
        </w:tc>
        <w:tc>
          <w:tcPr>
            <w:tcW w:w="1344" w:type="dxa"/>
            <w:tcBorders>
              <w:top w:val="nil"/>
              <w:left w:val="nil"/>
              <w:bottom w:val="single" w:sz="8" w:space="0" w:color="auto"/>
              <w:right w:val="single" w:sz="8" w:space="0" w:color="auto"/>
            </w:tcBorders>
            <w:shd w:val="clear" w:color="auto" w:fill="auto"/>
            <w:noWrap/>
            <w:vAlign w:val="center"/>
            <w:hideMark/>
          </w:tcPr>
          <w:p w14:paraId="3393805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82.483,21</w:t>
            </w:r>
          </w:p>
        </w:tc>
        <w:tc>
          <w:tcPr>
            <w:tcW w:w="1230" w:type="dxa"/>
            <w:tcBorders>
              <w:top w:val="nil"/>
              <w:left w:val="nil"/>
              <w:bottom w:val="single" w:sz="8" w:space="0" w:color="auto"/>
              <w:right w:val="single" w:sz="8" w:space="0" w:color="auto"/>
            </w:tcBorders>
            <w:shd w:val="clear" w:color="auto" w:fill="auto"/>
            <w:noWrap/>
            <w:vAlign w:val="center"/>
            <w:hideMark/>
          </w:tcPr>
          <w:p w14:paraId="3CAE9C5C"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68,40</w:t>
            </w:r>
          </w:p>
        </w:tc>
        <w:tc>
          <w:tcPr>
            <w:tcW w:w="1253" w:type="dxa"/>
            <w:tcBorders>
              <w:top w:val="nil"/>
              <w:left w:val="nil"/>
              <w:bottom w:val="single" w:sz="8" w:space="0" w:color="auto"/>
              <w:right w:val="single" w:sz="8" w:space="0" w:color="auto"/>
            </w:tcBorders>
            <w:shd w:val="clear" w:color="auto" w:fill="auto"/>
            <w:noWrap/>
            <w:vAlign w:val="center"/>
            <w:hideMark/>
          </w:tcPr>
          <w:p w14:paraId="11B155B5"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16.504,38</w:t>
            </w:r>
          </w:p>
        </w:tc>
        <w:tc>
          <w:tcPr>
            <w:tcW w:w="1230" w:type="dxa"/>
            <w:tcBorders>
              <w:top w:val="nil"/>
              <w:left w:val="nil"/>
              <w:bottom w:val="single" w:sz="8" w:space="0" w:color="auto"/>
              <w:right w:val="single" w:sz="8" w:space="0" w:color="auto"/>
            </w:tcBorders>
            <w:shd w:val="clear" w:color="auto" w:fill="auto"/>
            <w:noWrap/>
            <w:vAlign w:val="center"/>
            <w:hideMark/>
          </w:tcPr>
          <w:p w14:paraId="5B31C3E3"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13,69</w:t>
            </w:r>
          </w:p>
        </w:tc>
        <w:tc>
          <w:tcPr>
            <w:tcW w:w="1230" w:type="dxa"/>
            <w:tcBorders>
              <w:top w:val="nil"/>
              <w:left w:val="nil"/>
              <w:bottom w:val="single" w:sz="8" w:space="0" w:color="auto"/>
              <w:right w:val="single" w:sz="8" w:space="0" w:color="auto"/>
            </w:tcBorders>
            <w:shd w:val="clear" w:color="auto" w:fill="auto"/>
            <w:noWrap/>
            <w:vAlign w:val="center"/>
            <w:hideMark/>
          </w:tcPr>
          <w:p w14:paraId="1F34D214"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21.596,62</w:t>
            </w:r>
          </w:p>
        </w:tc>
        <w:tc>
          <w:tcPr>
            <w:tcW w:w="1230" w:type="dxa"/>
            <w:tcBorders>
              <w:top w:val="nil"/>
              <w:left w:val="nil"/>
              <w:bottom w:val="single" w:sz="8" w:space="0" w:color="auto"/>
              <w:right w:val="single" w:sz="8" w:space="0" w:color="auto"/>
            </w:tcBorders>
            <w:shd w:val="clear" w:color="auto" w:fill="auto"/>
            <w:noWrap/>
            <w:vAlign w:val="center"/>
            <w:hideMark/>
          </w:tcPr>
          <w:p w14:paraId="486C115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17,91</w:t>
            </w:r>
          </w:p>
        </w:tc>
        <w:tc>
          <w:tcPr>
            <w:tcW w:w="1230" w:type="dxa"/>
            <w:tcBorders>
              <w:top w:val="nil"/>
              <w:left w:val="nil"/>
              <w:bottom w:val="single" w:sz="8" w:space="0" w:color="auto"/>
              <w:right w:val="single" w:sz="8" w:space="0" w:color="auto"/>
            </w:tcBorders>
            <w:shd w:val="clear" w:color="auto" w:fill="auto"/>
            <w:noWrap/>
            <w:vAlign w:val="center"/>
            <w:hideMark/>
          </w:tcPr>
          <w:p w14:paraId="74E2532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120.584,21</w:t>
            </w:r>
          </w:p>
        </w:tc>
      </w:tr>
      <w:tr w:rsidR="005D09BE" w:rsidRPr="00D44048" w14:paraId="7DE61095"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6151C312" w14:textId="77777777" w:rsidR="005D09BE" w:rsidRPr="00D44048"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18B5724B"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03EE582E"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1,044</w:t>
            </w:r>
          </w:p>
        </w:tc>
        <w:tc>
          <w:tcPr>
            <w:tcW w:w="1667" w:type="dxa"/>
            <w:tcBorders>
              <w:top w:val="nil"/>
              <w:left w:val="nil"/>
              <w:bottom w:val="single" w:sz="8" w:space="0" w:color="auto"/>
              <w:right w:val="single" w:sz="8" w:space="0" w:color="auto"/>
            </w:tcBorders>
            <w:shd w:val="clear" w:color="auto" w:fill="auto"/>
            <w:noWrap/>
            <w:vAlign w:val="center"/>
            <w:hideMark/>
          </w:tcPr>
          <w:p w14:paraId="69B98146"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0,479</w:t>
            </w:r>
          </w:p>
        </w:tc>
        <w:tc>
          <w:tcPr>
            <w:tcW w:w="1344" w:type="dxa"/>
            <w:tcBorders>
              <w:top w:val="nil"/>
              <w:left w:val="nil"/>
              <w:bottom w:val="single" w:sz="8" w:space="0" w:color="auto"/>
              <w:right w:val="single" w:sz="8" w:space="0" w:color="auto"/>
            </w:tcBorders>
            <w:shd w:val="clear" w:color="auto" w:fill="auto"/>
            <w:noWrap/>
            <w:vAlign w:val="center"/>
            <w:hideMark/>
          </w:tcPr>
          <w:p w14:paraId="0CA14CD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73.386,04</w:t>
            </w:r>
          </w:p>
        </w:tc>
        <w:tc>
          <w:tcPr>
            <w:tcW w:w="1230" w:type="dxa"/>
            <w:tcBorders>
              <w:top w:val="nil"/>
              <w:left w:val="nil"/>
              <w:bottom w:val="single" w:sz="8" w:space="0" w:color="auto"/>
              <w:right w:val="single" w:sz="8" w:space="0" w:color="auto"/>
            </w:tcBorders>
            <w:shd w:val="clear" w:color="auto" w:fill="auto"/>
            <w:noWrap/>
            <w:vAlign w:val="center"/>
            <w:hideMark/>
          </w:tcPr>
          <w:p w14:paraId="230DE25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66,82</w:t>
            </w:r>
          </w:p>
        </w:tc>
        <w:tc>
          <w:tcPr>
            <w:tcW w:w="1253" w:type="dxa"/>
            <w:tcBorders>
              <w:top w:val="nil"/>
              <w:left w:val="nil"/>
              <w:bottom w:val="single" w:sz="8" w:space="0" w:color="auto"/>
              <w:right w:val="single" w:sz="8" w:space="0" w:color="auto"/>
            </w:tcBorders>
            <w:shd w:val="clear" w:color="auto" w:fill="auto"/>
            <w:noWrap/>
            <w:vAlign w:val="center"/>
            <w:hideMark/>
          </w:tcPr>
          <w:p w14:paraId="66B0342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14.849,28</w:t>
            </w:r>
          </w:p>
        </w:tc>
        <w:tc>
          <w:tcPr>
            <w:tcW w:w="1230" w:type="dxa"/>
            <w:tcBorders>
              <w:top w:val="nil"/>
              <w:left w:val="nil"/>
              <w:bottom w:val="single" w:sz="8" w:space="0" w:color="auto"/>
              <w:right w:val="single" w:sz="8" w:space="0" w:color="auto"/>
            </w:tcBorders>
            <w:shd w:val="clear" w:color="auto" w:fill="auto"/>
            <w:noWrap/>
            <w:vAlign w:val="center"/>
            <w:hideMark/>
          </w:tcPr>
          <w:p w14:paraId="10CEEB75"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13,52</w:t>
            </w:r>
          </w:p>
        </w:tc>
        <w:tc>
          <w:tcPr>
            <w:tcW w:w="1230" w:type="dxa"/>
            <w:tcBorders>
              <w:top w:val="nil"/>
              <w:left w:val="nil"/>
              <w:bottom w:val="single" w:sz="8" w:space="0" w:color="auto"/>
              <w:right w:val="single" w:sz="8" w:space="0" w:color="auto"/>
            </w:tcBorders>
            <w:shd w:val="clear" w:color="auto" w:fill="auto"/>
            <w:noWrap/>
            <w:vAlign w:val="center"/>
            <w:hideMark/>
          </w:tcPr>
          <w:p w14:paraId="6D2BAF0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21.596,62</w:t>
            </w:r>
          </w:p>
        </w:tc>
        <w:tc>
          <w:tcPr>
            <w:tcW w:w="1230" w:type="dxa"/>
            <w:tcBorders>
              <w:top w:val="nil"/>
              <w:left w:val="nil"/>
              <w:bottom w:val="single" w:sz="8" w:space="0" w:color="auto"/>
              <w:right w:val="single" w:sz="8" w:space="0" w:color="auto"/>
            </w:tcBorders>
            <w:shd w:val="clear" w:color="auto" w:fill="auto"/>
            <w:noWrap/>
            <w:vAlign w:val="center"/>
            <w:hideMark/>
          </w:tcPr>
          <w:p w14:paraId="3FE7BE3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19,66</w:t>
            </w:r>
          </w:p>
        </w:tc>
        <w:tc>
          <w:tcPr>
            <w:tcW w:w="1230" w:type="dxa"/>
            <w:tcBorders>
              <w:top w:val="nil"/>
              <w:left w:val="nil"/>
              <w:bottom w:val="single" w:sz="8" w:space="0" w:color="auto"/>
              <w:right w:val="single" w:sz="8" w:space="0" w:color="auto"/>
            </w:tcBorders>
            <w:shd w:val="clear" w:color="auto" w:fill="auto"/>
            <w:noWrap/>
            <w:vAlign w:val="center"/>
            <w:hideMark/>
          </w:tcPr>
          <w:p w14:paraId="387865CC"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109.831,94</w:t>
            </w:r>
          </w:p>
        </w:tc>
      </w:tr>
      <w:tr w:rsidR="005D09BE" w:rsidRPr="00D44048" w14:paraId="0F7EEFCF"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7E171D49" w14:textId="0E8E3BD7" w:rsidR="005D09BE" w:rsidRPr="00D44048" w:rsidRDefault="005D09BE" w:rsidP="00F4450D">
            <w:pPr>
              <w:jc w:val="both"/>
              <w:rPr>
                <w:rFonts w:ascii="Arial" w:hAnsi="Arial" w:cs="Arial"/>
                <w:sz w:val="16"/>
                <w:szCs w:val="16"/>
              </w:rPr>
            </w:pPr>
            <w:r w:rsidRPr="00D44048">
              <w:rPr>
                <w:rFonts w:ascii="Arial" w:hAnsi="Arial" w:cs="Arial"/>
                <w:sz w:val="16"/>
                <w:szCs w:val="16"/>
              </w:rPr>
              <w:t>12- C.F.M.</w:t>
            </w:r>
            <w:r w:rsidR="001236A3">
              <w:rPr>
                <w:rFonts w:ascii="Arial" w:hAnsi="Arial" w:cs="Arial"/>
                <w:sz w:val="16"/>
                <w:szCs w:val="16"/>
              </w:rPr>
              <w:t xml:space="preserve"> </w:t>
            </w:r>
            <w:r w:rsidRPr="00D44048">
              <w:rPr>
                <w:rFonts w:ascii="Arial" w:hAnsi="Arial" w:cs="Arial"/>
                <w:sz w:val="16"/>
                <w:szCs w:val="16"/>
              </w:rPr>
              <w:t>ATENCIÓN A PERSONAS EN SITUACIÓN DE DEPENDENCIA (LOE)</w:t>
            </w:r>
          </w:p>
        </w:tc>
        <w:tc>
          <w:tcPr>
            <w:tcW w:w="1070" w:type="dxa"/>
            <w:tcBorders>
              <w:top w:val="nil"/>
              <w:left w:val="nil"/>
              <w:bottom w:val="single" w:sz="8" w:space="0" w:color="auto"/>
              <w:right w:val="single" w:sz="8" w:space="0" w:color="auto"/>
            </w:tcBorders>
            <w:shd w:val="clear" w:color="auto" w:fill="auto"/>
            <w:noWrap/>
            <w:vAlign w:val="center"/>
            <w:hideMark/>
          </w:tcPr>
          <w:p w14:paraId="57CB6EC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3265D2D6"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0,739</w:t>
            </w:r>
          </w:p>
        </w:tc>
        <w:tc>
          <w:tcPr>
            <w:tcW w:w="1667" w:type="dxa"/>
            <w:tcBorders>
              <w:top w:val="nil"/>
              <w:left w:val="nil"/>
              <w:bottom w:val="single" w:sz="8" w:space="0" w:color="auto"/>
              <w:right w:val="single" w:sz="8" w:space="0" w:color="auto"/>
            </w:tcBorders>
            <w:shd w:val="clear" w:color="auto" w:fill="auto"/>
            <w:noWrap/>
            <w:vAlign w:val="center"/>
            <w:hideMark/>
          </w:tcPr>
          <w:p w14:paraId="07562FF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0,826</w:t>
            </w:r>
          </w:p>
        </w:tc>
        <w:tc>
          <w:tcPr>
            <w:tcW w:w="1344" w:type="dxa"/>
            <w:tcBorders>
              <w:top w:val="nil"/>
              <w:left w:val="nil"/>
              <w:bottom w:val="single" w:sz="8" w:space="0" w:color="auto"/>
              <w:right w:val="single" w:sz="8" w:space="0" w:color="auto"/>
            </w:tcBorders>
            <w:shd w:val="clear" w:color="auto" w:fill="auto"/>
            <w:noWrap/>
            <w:vAlign w:val="center"/>
            <w:hideMark/>
          </w:tcPr>
          <w:p w14:paraId="107AD08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74.004,31</w:t>
            </w:r>
          </w:p>
        </w:tc>
        <w:tc>
          <w:tcPr>
            <w:tcW w:w="1230" w:type="dxa"/>
            <w:tcBorders>
              <w:top w:val="nil"/>
              <w:left w:val="nil"/>
              <w:bottom w:val="single" w:sz="8" w:space="0" w:color="auto"/>
              <w:right w:val="single" w:sz="8" w:space="0" w:color="auto"/>
            </w:tcBorders>
            <w:shd w:val="clear" w:color="auto" w:fill="auto"/>
            <w:noWrap/>
            <w:vAlign w:val="center"/>
            <w:hideMark/>
          </w:tcPr>
          <w:p w14:paraId="529D9A1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67,30</w:t>
            </w:r>
          </w:p>
        </w:tc>
        <w:tc>
          <w:tcPr>
            <w:tcW w:w="1253" w:type="dxa"/>
            <w:tcBorders>
              <w:top w:val="nil"/>
              <w:left w:val="nil"/>
              <w:bottom w:val="single" w:sz="8" w:space="0" w:color="auto"/>
              <w:right w:val="single" w:sz="8" w:space="0" w:color="auto"/>
            </w:tcBorders>
            <w:shd w:val="clear" w:color="auto" w:fill="auto"/>
            <w:noWrap/>
            <w:vAlign w:val="center"/>
            <w:hideMark/>
          </w:tcPr>
          <w:p w14:paraId="032C304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14.804,64</w:t>
            </w:r>
          </w:p>
        </w:tc>
        <w:tc>
          <w:tcPr>
            <w:tcW w:w="1230" w:type="dxa"/>
            <w:tcBorders>
              <w:top w:val="nil"/>
              <w:left w:val="nil"/>
              <w:bottom w:val="single" w:sz="8" w:space="0" w:color="auto"/>
              <w:right w:val="single" w:sz="8" w:space="0" w:color="auto"/>
            </w:tcBorders>
            <w:shd w:val="clear" w:color="auto" w:fill="auto"/>
            <w:noWrap/>
            <w:vAlign w:val="center"/>
            <w:hideMark/>
          </w:tcPr>
          <w:p w14:paraId="5145E7AB"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13,46</w:t>
            </w:r>
          </w:p>
        </w:tc>
        <w:tc>
          <w:tcPr>
            <w:tcW w:w="1230" w:type="dxa"/>
            <w:tcBorders>
              <w:top w:val="nil"/>
              <w:left w:val="nil"/>
              <w:bottom w:val="single" w:sz="8" w:space="0" w:color="auto"/>
              <w:right w:val="single" w:sz="8" w:space="0" w:color="auto"/>
            </w:tcBorders>
            <w:shd w:val="clear" w:color="auto" w:fill="auto"/>
            <w:noWrap/>
            <w:vAlign w:val="center"/>
            <w:hideMark/>
          </w:tcPr>
          <w:p w14:paraId="01D561F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21.153,27</w:t>
            </w:r>
          </w:p>
        </w:tc>
        <w:tc>
          <w:tcPr>
            <w:tcW w:w="1230" w:type="dxa"/>
            <w:tcBorders>
              <w:top w:val="nil"/>
              <w:left w:val="nil"/>
              <w:bottom w:val="single" w:sz="8" w:space="0" w:color="auto"/>
              <w:right w:val="single" w:sz="8" w:space="0" w:color="auto"/>
            </w:tcBorders>
            <w:shd w:val="clear" w:color="auto" w:fill="auto"/>
            <w:noWrap/>
            <w:vAlign w:val="center"/>
            <w:hideMark/>
          </w:tcPr>
          <w:p w14:paraId="721C1F36"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19,24</w:t>
            </w:r>
          </w:p>
        </w:tc>
        <w:tc>
          <w:tcPr>
            <w:tcW w:w="1230" w:type="dxa"/>
            <w:tcBorders>
              <w:top w:val="nil"/>
              <w:left w:val="nil"/>
              <w:bottom w:val="single" w:sz="8" w:space="0" w:color="auto"/>
              <w:right w:val="single" w:sz="8" w:space="0" w:color="auto"/>
            </w:tcBorders>
            <w:shd w:val="clear" w:color="auto" w:fill="auto"/>
            <w:noWrap/>
            <w:vAlign w:val="center"/>
            <w:hideMark/>
          </w:tcPr>
          <w:p w14:paraId="3BE65CB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109.962,22</w:t>
            </w:r>
          </w:p>
        </w:tc>
      </w:tr>
      <w:tr w:rsidR="005D09BE" w:rsidRPr="00D44048" w14:paraId="407121A6"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13C29532" w14:textId="77777777" w:rsidR="005D09BE" w:rsidRPr="00D44048"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2AE24D1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46B478D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0,739</w:t>
            </w:r>
          </w:p>
        </w:tc>
        <w:tc>
          <w:tcPr>
            <w:tcW w:w="1667" w:type="dxa"/>
            <w:tcBorders>
              <w:top w:val="nil"/>
              <w:left w:val="nil"/>
              <w:bottom w:val="single" w:sz="8" w:space="0" w:color="auto"/>
              <w:right w:val="single" w:sz="8" w:space="0" w:color="auto"/>
            </w:tcBorders>
            <w:shd w:val="clear" w:color="auto" w:fill="auto"/>
            <w:noWrap/>
            <w:vAlign w:val="center"/>
            <w:hideMark/>
          </w:tcPr>
          <w:p w14:paraId="148BE7BC"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0,696</w:t>
            </w:r>
          </w:p>
        </w:tc>
        <w:tc>
          <w:tcPr>
            <w:tcW w:w="1344" w:type="dxa"/>
            <w:tcBorders>
              <w:top w:val="nil"/>
              <w:left w:val="nil"/>
              <w:bottom w:val="single" w:sz="8" w:space="0" w:color="auto"/>
              <w:right w:val="single" w:sz="8" w:space="0" w:color="auto"/>
            </w:tcBorders>
            <w:shd w:val="clear" w:color="auto" w:fill="auto"/>
            <w:noWrap/>
            <w:vAlign w:val="center"/>
            <w:hideMark/>
          </w:tcPr>
          <w:p w14:paraId="5645C9CC"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68.115,47</w:t>
            </w:r>
          </w:p>
        </w:tc>
        <w:tc>
          <w:tcPr>
            <w:tcW w:w="1230" w:type="dxa"/>
            <w:tcBorders>
              <w:top w:val="nil"/>
              <w:left w:val="nil"/>
              <w:bottom w:val="single" w:sz="8" w:space="0" w:color="auto"/>
              <w:right w:val="single" w:sz="8" w:space="0" w:color="auto"/>
            </w:tcBorders>
            <w:shd w:val="clear" w:color="auto" w:fill="auto"/>
            <w:noWrap/>
            <w:vAlign w:val="center"/>
            <w:hideMark/>
          </w:tcPr>
          <w:p w14:paraId="4E5B814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66,12</w:t>
            </w:r>
          </w:p>
        </w:tc>
        <w:tc>
          <w:tcPr>
            <w:tcW w:w="1253" w:type="dxa"/>
            <w:tcBorders>
              <w:top w:val="nil"/>
              <w:left w:val="nil"/>
              <w:bottom w:val="single" w:sz="8" w:space="0" w:color="auto"/>
              <w:right w:val="single" w:sz="8" w:space="0" w:color="auto"/>
            </w:tcBorders>
            <w:shd w:val="clear" w:color="auto" w:fill="auto"/>
            <w:noWrap/>
            <w:vAlign w:val="center"/>
            <w:hideMark/>
          </w:tcPr>
          <w:p w14:paraId="277B8FC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13.742,36</w:t>
            </w:r>
          </w:p>
        </w:tc>
        <w:tc>
          <w:tcPr>
            <w:tcW w:w="1230" w:type="dxa"/>
            <w:tcBorders>
              <w:top w:val="nil"/>
              <w:left w:val="nil"/>
              <w:bottom w:val="single" w:sz="8" w:space="0" w:color="auto"/>
              <w:right w:val="single" w:sz="8" w:space="0" w:color="auto"/>
            </w:tcBorders>
            <w:shd w:val="clear" w:color="auto" w:fill="auto"/>
            <w:noWrap/>
            <w:vAlign w:val="center"/>
            <w:hideMark/>
          </w:tcPr>
          <w:p w14:paraId="4A46CED5"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13,34</w:t>
            </w:r>
          </w:p>
        </w:tc>
        <w:tc>
          <w:tcPr>
            <w:tcW w:w="1230" w:type="dxa"/>
            <w:tcBorders>
              <w:top w:val="nil"/>
              <w:left w:val="nil"/>
              <w:bottom w:val="single" w:sz="8" w:space="0" w:color="auto"/>
              <w:right w:val="single" w:sz="8" w:space="0" w:color="auto"/>
            </w:tcBorders>
            <w:shd w:val="clear" w:color="auto" w:fill="auto"/>
            <w:noWrap/>
            <w:vAlign w:val="center"/>
            <w:hideMark/>
          </w:tcPr>
          <w:p w14:paraId="1979948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21.153,27</w:t>
            </w:r>
          </w:p>
        </w:tc>
        <w:tc>
          <w:tcPr>
            <w:tcW w:w="1230" w:type="dxa"/>
            <w:tcBorders>
              <w:top w:val="nil"/>
              <w:left w:val="nil"/>
              <w:bottom w:val="single" w:sz="8" w:space="0" w:color="auto"/>
              <w:right w:val="single" w:sz="8" w:space="0" w:color="auto"/>
            </w:tcBorders>
            <w:shd w:val="clear" w:color="auto" w:fill="auto"/>
            <w:noWrap/>
            <w:vAlign w:val="center"/>
            <w:hideMark/>
          </w:tcPr>
          <w:p w14:paraId="6844B086"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20,54</w:t>
            </w:r>
          </w:p>
        </w:tc>
        <w:tc>
          <w:tcPr>
            <w:tcW w:w="1230" w:type="dxa"/>
            <w:tcBorders>
              <w:top w:val="nil"/>
              <w:left w:val="nil"/>
              <w:bottom w:val="single" w:sz="8" w:space="0" w:color="auto"/>
              <w:right w:val="single" w:sz="8" w:space="0" w:color="auto"/>
            </w:tcBorders>
            <w:shd w:val="clear" w:color="auto" w:fill="auto"/>
            <w:noWrap/>
            <w:vAlign w:val="center"/>
            <w:hideMark/>
          </w:tcPr>
          <w:p w14:paraId="2E34F393"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103.011,10</w:t>
            </w:r>
          </w:p>
        </w:tc>
      </w:tr>
      <w:tr w:rsidR="005D09BE" w:rsidRPr="00D44048" w14:paraId="188AB9E7"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4F24AF93" w14:textId="77777777" w:rsidR="005D09BE" w:rsidRPr="00D44048" w:rsidRDefault="005D09BE" w:rsidP="00F4450D">
            <w:pPr>
              <w:jc w:val="both"/>
              <w:rPr>
                <w:rFonts w:ascii="Arial" w:hAnsi="Arial" w:cs="Arial"/>
                <w:sz w:val="16"/>
                <w:szCs w:val="16"/>
              </w:rPr>
            </w:pPr>
            <w:r w:rsidRPr="00D44048">
              <w:rPr>
                <w:rFonts w:ascii="Arial" w:hAnsi="Arial" w:cs="Arial"/>
                <w:sz w:val="16"/>
                <w:szCs w:val="16"/>
              </w:rPr>
              <w:t>13- C.F.M. OPERACIÓN Y MANTENIMIENTO DE MAQUINARIA DE CONSTRUCCIÓN</w:t>
            </w:r>
          </w:p>
        </w:tc>
        <w:tc>
          <w:tcPr>
            <w:tcW w:w="1070" w:type="dxa"/>
            <w:tcBorders>
              <w:top w:val="nil"/>
              <w:left w:val="nil"/>
              <w:bottom w:val="single" w:sz="8" w:space="0" w:color="auto"/>
              <w:right w:val="single" w:sz="8" w:space="0" w:color="auto"/>
            </w:tcBorders>
            <w:shd w:val="clear" w:color="auto" w:fill="auto"/>
            <w:noWrap/>
            <w:vAlign w:val="center"/>
            <w:hideMark/>
          </w:tcPr>
          <w:p w14:paraId="4D70852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70B1E2F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0,826</w:t>
            </w:r>
          </w:p>
        </w:tc>
        <w:tc>
          <w:tcPr>
            <w:tcW w:w="1667" w:type="dxa"/>
            <w:tcBorders>
              <w:top w:val="nil"/>
              <w:left w:val="nil"/>
              <w:bottom w:val="single" w:sz="8" w:space="0" w:color="auto"/>
              <w:right w:val="single" w:sz="8" w:space="0" w:color="auto"/>
            </w:tcBorders>
            <w:shd w:val="clear" w:color="auto" w:fill="auto"/>
            <w:noWrap/>
            <w:vAlign w:val="center"/>
            <w:hideMark/>
          </w:tcPr>
          <w:p w14:paraId="735D12D7" w14:textId="77777777" w:rsidR="005D09BE" w:rsidRPr="00D44048" w:rsidRDefault="005D09BE" w:rsidP="00F4450D">
            <w:pPr>
              <w:jc w:val="center"/>
              <w:rPr>
                <w:rFonts w:ascii="Arial" w:hAnsi="Arial" w:cs="Arial"/>
                <w:sz w:val="16"/>
                <w:szCs w:val="16"/>
              </w:rPr>
            </w:pPr>
            <w:r w:rsidRPr="00D44048">
              <w:rPr>
                <w:rFonts w:ascii="Arial" w:hAnsi="Arial" w:cs="Arial"/>
                <w:w w:val="99"/>
                <w:sz w:val="16"/>
                <w:szCs w:val="16"/>
              </w:rPr>
              <w:t>1</w:t>
            </w:r>
          </w:p>
        </w:tc>
        <w:tc>
          <w:tcPr>
            <w:tcW w:w="1344" w:type="dxa"/>
            <w:tcBorders>
              <w:top w:val="nil"/>
              <w:left w:val="nil"/>
              <w:bottom w:val="single" w:sz="8" w:space="0" w:color="auto"/>
              <w:right w:val="single" w:sz="8" w:space="0" w:color="auto"/>
            </w:tcBorders>
            <w:shd w:val="clear" w:color="auto" w:fill="auto"/>
            <w:noWrap/>
            <w:vAlign w:val="center"/>
            <w:hideMark/>
          </w:tcPr>
          <w:p w14:paraId="54A8BEB6"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86.193,62</w:t>
            </w:r>
          </w:p>
        </w:tc>
        <w:tc>
          <w:tcPr>
            <w:tcW w:w="1230" w:type="dxa"/>
            <w:tcBorders>
              <w:top w:val="nil"/>
              <w:left w:val="nil"/>
              <w:bottom w:val="single" w:sz="8" w:space="0" w:color="auto"/>
              <w:right w:val="single" w:sz="8" w:space="0" w:color="auto"/>
            </w:tcBorders>
            <w:shd w:val="clear" w:color="auto" w:fill="auto"/>
            <w:noWrap/>
            <w:vAlign w:val="center"/>
            <w:hideMark/>
          </w:tcPr>
          <w:p w14:paraId="68A928A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61,88</w:t>
            </w:r>
          </w:p>
        </w:tc>
        <w:tc>
          <w:tcPr>
            <w:tcW w:w="1253" w:type="dxa"/>
            <w:tcBorders>
              <w:top w:val="nil"/>
              <w:left w:val="nil"/>
              <w:bottom w:val="single" w:sz="8" w:space="0" w:color="auto"/>
              <w:right w:val="single" w:sz="8" w:space="0" w:color="auto"/>
            </w:tcBorders>
            <w:shd w:val="clear" w:color="auto" w:fill="auto"/>
            <w:noWrap/>
            <w:vAlign w:val="center"/>
            <w:hideMark/>
          </w:tcPr>
          <w:p w14:paraId="3C897505"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16.784,43</w:t>
            </w:r>
          </w:p>
        </w:tc>
        <w:tc>
          <w:tcPr>
            <w:tcW w:w="1230" w:type="dxa"/>
            <w:tcBorders>
              <w:top w:val="nil"/>
              <w:left w:val="nil"/>
              <w:bottom w:val="single" w:sz="8" w:space="0" w:color="auto"/>
              <w:right w:val="single" w:sz="8" w:space="0" w:color="auto"/>
            </w:tcBorders>
            <w:shd w:val="clear" w:color="auto" w:fill="auto"/>
            <w:noWrap/>
            <w:vAlign w:val="center"/>
            <w:hideMark/>
          </w:tcPr>
          <w:p w14:paraId="005B1F4E"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12,05</w:t>
            </w:r>
          </w:p>
        </w:tc>
        <w:tc>
          <w:tcPr>
            <w:tcW w:w="1230" w:type="dxa"/>
            <w:tcBorders>
              <w:top w:val="nil"/>
              <w:left w:val="nil"/>
              <w:bottom w:val="single" w:sz="8" w:space="0" w:color="auto"/>
              <w:right w:val="single" w:sz="8" w:space="0" w:color="auto"/>
            </w:tcBorders>
            <w:shd w:val="clear" w:color="auto" w:fill="auto"/>
            <w:noWrap/>
            <w:vAlign w:val="center"/>
            <w:hideMark/>
          </w:tcPr>
          <w:p w14:paraId="42CCA8A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36.309,26</w:t>
            </w:r>
          </w:p>
        </w:tc>
        <w:tc>
          <w:tcPr>
            <w:tcW w:w="1230" w:type="dxa"/>
            <w:tcBorders>
              <w:top w:val="nil"/>
              <w:left w:val="nil"/>
              <w:bottom w:val="single" w:sz="8" w:space="0" w:color="auto"/>
              <w:right w:val="single" w:sz="8" w:space="0" w:color="auto"/>
            </w:tcBorders>
            <w:shd w:val="clear" w:color="auto" w:fill="auto"/>
            <w:noWrap/>
            <w:vAlign w:val="center"/>
            <w:hideMark/>
          </w:tcPr>
          <w:p w14:paraId="4070280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26,07</w:t>
            </w:r>
          </w:p>
        </w:tc>
        <w:tc>
          <w:tcPr>
            <w:tcW w:w="1230" w:type="dxa"/>
            <w:tcBorders>
              <w:top w:val="nil"/>
              <w:left w:val="nil"/>
              <w:bottom w:val="single" w:sz="8" w:space="0" w:color="auto"/>
              <w:right w:val="single" w:sz="8" w:space="0" w:color="auto"/>
            </w:tcBorders>
            <w:shd w:val="clear" w:color="auto" w:fill="auto"/>
            <w:noWrap/>
            <w:vAlign w:val="center"/>
            <w:hideMark/>
          </w:tcPr>
          <w:p w14:paraId="29BB7BD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139.287,31</w:t>
            </w:r>
          </w:p>
        </w:tc>
      </w:tr>
      <w:tr w:rsidR="005D09BE" w:rsidRPr="00D44048" w14:paraId="321BE2A9"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1D0AA1BF" w14:textId="77777777" w:rsidR="005D09BE" w:rsidRPr="00D44048"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3BEBD32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61109D44"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0,739</w:t>
            </w:r>
          </w:p>
        </w:tc>
        <w:tc>
          <w:tcPr>
            <w:tcW w:w="1667" w:type="dxa"/>
            <w:tcBorders>
              <w:top w:val="nil"/>
              <w:left w:val="nil"/>
              <w:bottom w:val="single" w:sz="8" w:space="0" w:color="auto"/>
              <w:right w:val="single" w:sz="8" w:space="0" w:color="auto"/>
            </w:tcBorders>
            <w:shd w:val="clear" w:color="auto" w:fill="auto"/>
            <w:noWrap/>
            <w:vAlign w:val="center"/>
            <w:hideMark/>
          </w:tcPr>
          <w:p w14:paraId="556E1D95"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0,783</w:t>
            </w:r>
          </w:p>
        </w:tc>
        <w:tc>
          <w:tcPr>
            <w:tcW w:w="1344" w:type="dxa"/>
            <w:tcBorders>
              <w:top w:val="nil"/>
              <w:left w:val="nil"/>
              <w:bottom w:val="single" w:sz="8" w:space="0" w:color="auto"/>
              <w:right w:val="single" w:sz="8" w:space="0" w:color="auto"/>
            </w:tcBorders>
            <w:shd w:val="clear" w:color="auto" w:fill="auto"/>
            <w:noWrap/>
            <w:vAlign w:val="center"/>
            <w:hideMark/>
          </w:tcPr>
          <w:p w14:paraId="7C71BBD6"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72.056,46</w:t>
            </w:r>
          </w:p>
        </w:tc>
        <w:tc>
          <w:tcPr>
            <w:tcW w:w="1230" w:type="dxa"/>
            <w:tcBorders>
              <w:top w:val="nil"/>
              <w:left w:val="nil"/>
              <w:bottom w:val="single" w:sz="8" w:space="0" w:color="auto"/>
              <w:right w:val="single" w:sz="8" w:space="0" w:color="auto"/>
            </w:tcBorders>
            <w:shd w:val="clear" w:color="auto" w:fill="auto"/>
            <w:noWrap/>
            <w:vAlign w:val="center"/>
            <w:hideMark/>
          </w:tcPr>
          <w:p w14:paraId="323FF15C"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58,72</w:t>
            </w:r>
          </w:p>
        </w:tc>
        <w:tc>
          <w:tcPr>
            <w:tcW w:w="1253" w:type="dxa"/>
            <w:tcBorders>
              <w:top w:val="nil"/>
              <w:left w:val="nil"/>
              <w:bottom w:val="single" w:sz="8" w:space="0" w:color="auto"/>
              <w:right w:val="single" w:sz="8" w:space="0" w:color="auto"/>
            </w:tcBorders>
            <w:shd w:val="clear" w:color="auto" w:fill="auto"/>
            <w:noWrap/>
            <w:vAlign w:val="center"/>
            <w:hideMark/>
          </w:tcPr>
          <w:p w14:paraId="5A1B308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14.350,97</w:t>
            </w:r>
          </w:p>
        </w:tc>
        <w:tc>
          <w:tcPr>
            <w:tcW w:w="1230" w:type="dxa"/>
            <w:tcBorders>
              <w:top w:val="nil"/>
              <w:left w:val="nil"/>
              <w:bottom w:val="single" w:sz="8" w:space="0" w:color="auto"/>
              <w:right w:val="single" w:sz="8" w:space="0" w:color="auto"/>
            </w:tcBorders>
            <w:shd w:val="clear" w:color="auto" w:fill="auto"/>
            <w:noWrap/>
            <w:vAlign w:val="center"/>
            <w:hideMark/>
          </w:tcPr>
          <w:p w14:paraId="6022CB7E"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11,69</w:t>
            </w:r>
          </w:p>
        </w:tc>
        <w:tc>
          <w:tcPr>
            <w:tcW w:w="1230" w:type="dxa"/>
            <w:tcBorders>
              <w:top w:val="nil"/>
              <w:left w:val="nil"/>
              <w:bottom w:val="single" w:sz="8" w:space="0" w:color="auto"/>
              <w:right w:val="single" w:sz="8" w:space="0" w:color="auto"/>
            </w:tcBorders>
            <w:shd w:val="clear" w:color="auto" w:fill="auto"/>
            <w:noWrap/>
            <w:vAlign w:val="center"/>
            <w:hideMark/>
          </w:tcPr>
          <w:p w14:paraId="31E5900B"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36.309,26</w:t>
            </w:r>
          </w:p>
        </w:tc>
        <w:tc>
          <w:tcPr>
            <w:tcW w:w="1230" w:type="dxa"/>
            <w:tcBorders>
              <w:top w:val="nil"/>
              <w:left w:val="nil"/>
              <w:bottom w:val="single" w:sz="8" w:space="0" w:color="auto"/>
              <w:right w:val="single" w:sz="8" w:space="0" w:color="auto"/>
            </w:tcBorders>
            <w:shd w:val="clear" w:color="auto" w:fill="auto"/>
            <w:noWrap/>
            <w:vAlign w:val="center"/>
            <w:hideMark/>
          </w:tcPr>
          <w:p w14:paraId="4ED3C5B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29,59</w:t>
            </w:r>
          </w:p>
        </w:tc>
        <w:tc>
          <w:tcPr>
            <w:tcW w:w="1230" w:type="dxa"/>
            <w:tcBorders>
              <w:top w:val="nil"/>
              <w:left w:val="nil"/>
              <w:bottom w:val="single" w:sz="8" w:space="0" w:color="auto"/>
              <w:right w:val="single" w:sz="8" w:space="0" w:color="auto"/>
            </w:tcBorders>
            <w:shd w:val="clear" w:color="auto" w:fill="auto"/>
            <w:noWrap/>
            <w:vAlign w:val="center"/>
            <w:hideMark/>
          </w:tcPr>
          <w:p w14:paraId="2D5507E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122.716,69</w:t>
            </w:r>
          </w:p>
        </w:tc>
      </w:tr>
      <w:tr w:rsidR="005D09BE" w:rsidRPr="00D44048" w14:paraId="1B365A94"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72D32F67" w14:textId="77777777" w:rsidR="005D09BE" w:rsidRPr="00D44048" w:rsidRDefault="005D09BE" w:rsidP="00F4450D">
            <w:pPr>
              <w:jc w:val="both"/>
              <w:rPr>
                <w:rFonts w:ascii="Arial" w:hAnsi="Arial" w:cs="Arial"/>
                <w:sz w:val="16"/>
                <w:szCs w:val="16"/>
              </w:rPr>
            </w:pPr>
            <w:r w:rsidRPr="00D44048">
              <w:rPr>
                <w:rFonts w:ascii="Arial" w:hAnsi="Arial" w:cs="Arial"/>
                <w:sz w:val="16"/>
                <w:szCs w:val="16"/>
              </w:rPr>
              <w:t>14- C.F.M. EXCAVACIONES Y SONDEOS</w:t>
            </w:r>
          </w:p>
        </w:tc>
        <w:tc>
          <w:tcPr>
            <w:tcW w:w="1070" w:type="dxa"/>
            <w:tcBorders>
              <w:top w:val="nil"/>
              <w:left w:val="nil"/>
              <w:bottom w:val="single" w:sz="8" w:space="0" w:color="auto"/>
              <w:right w:val="single" w:sz="8" w:space="0" w:color="auto"/>
            </w:tcBorders>
            <w:shd w:val="clear" w:color="auto" w:fill="auto"/>
            <w:noWrap/>
            <w:vAlign w:val="center"/>
            <w:hideMark/>
          </w:tcPr>
          <w:p w14:paraId="2ACE839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4F9B3DC0" w14:textId="77777777" w:rsidR="005D09BE" w:rsidRPr="00D44048" w:rsidRDefault="005D09BE" w:rsidP="00F4450D">
            <w:pPr>
              <w:jc w:val="center"/>
              <w:rPr>
                <w:rFonts w:ascii="Arial" w:hAnsi="Arial" w:cs="Arial"/>
                <w:sz w:val="16"/>
                <w:szCs w:val="16"/>
              </w:rPr>
            </w:pPr>
            <w:r w:rsidRPr="00D44048">
              <w:rPr>
                <w:rFonts w:ascii="Arial" w:hAnsi="Arial" w:cs="Arial"/>
                <w:w w:val="99"/>
                <w:sz w:val="16"/>
                <w:szCs w:val="16"/>
              </w:rPr>
              <w:t>1</w:t>
            </w:r>
          </w:p>
        </w:tc>
        <w:tc>
          <w:tcPr>
            <w:tcW w:w="1667" w:type="dxa"/>
            <w:tcBorders>
              <w:top w:val="nil"/>
              <w:left w:val="nil"/>
              <w:bottom w:val="single" w:sz="8" w:space="0" w:color="auto"/>
              <w:right w:val="single" w:sz="8" w:space="0" w:color="auto"/>
            </w:tcBorders>
            <w:shd w:val="clear" w:color="auto" w:fill="auto"/>
            <w:noWrap/>
            <w:vAlign w:val="center"/>
            <w:hideMark/>
          </w:tcPr>
          <w:p w14:paraId="119CDF4C"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0,827</w:t>
            </w:r>
          </w:p>
        </w:tc>
        <w:tc>
          <w:tcPr>
            <w:tcW w:w="1344" w:type="dxa"/>
            <w:tcBorders>
              <w:top w:val="nil"/>
              <w:left w:val="nil"/>
              <w:bottom w:val="single" w:sz="8" w:space="0" w:color="auto"/>
              <w:right w:val="single" w:sz="8" w:space="0" w:color="auto"/>
            </w:tcBorders>
            <w:shd w:val="clear" w:color="auto" w:fill="auto"/>
            <w:noWrap/>
            <w:vAlign w:val="center"/>
            <w:hideMark/>
          </w:tcPr>
          <w:p w14:paraId="4A2F135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86.971,59</w:t>
            </w:r>
          </w:p>
        </w:tc>
        <w:tc>
          <w:tcPr>
            <w:tcW w:w="1230" w:type="dxa"/>
            <w:tcBorders>
              <w:top w:val="nil"/>
              <w:left w:val="nil"/>
              <w:bottom w:val="single" w:sz="8" w:space="0" w:color="auto"/>
              <w:right w:val="single" w:sz="8" w:space="0" w:color="auto"/>
            </w:tcBorders>
            <w:shd w:val="clear" w:color="auto" w:fill="auto"/>
            <w:noWrap/>
            <w:vAlign w:val="center"/>
            <w:hideMark/>
          </w:tcPr>
          <w:p w14:paraId="0B05DB4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61,86</w:t>
            </w:r>
          </w:p>
        </w:tc>
        <w:tc>
          <w:tcPr>
            <w:tcW w:w="1253" w:type="dxa"/>
            <w:tcBorders>
              <w:top w:val="nil"/>
              <w:left w:val="nil"/>
              <w:bottom w:val="single" w:sz="8" w:space="0" w:color="auto"/>
              <w:right w:val="single" w:sz="8" w:space="0" w:color="auto"/>
            </w:tcBorders>
            <w:shd w:val="clear" w:color="auto" w:fill="auto"/>
            <w:noWrap/>
            <w:vAlign w:val="center"/>
            <w:hideMark/>
          </w:tcPr>
          <w:p w14:paraId="7ABB0BFC"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17.320,99</w:t>
            </w:r>
          </w:p>
        </w:tc>
        <w:tc>
          <w:tcPr>
            <w:tcW w:w="1230" w:type="dxa"/>
            <w:tcBorders>
              <w:top w:val="nil"/>
              <w:left w:val="nil"/>
              <w:bottom w:val="single" w:sz="8" w:space="0" w:color="auto"/>
              <w:right w:val="single" w:sz="8" w:space="0" w:color="auto"/>
            </w:tcBorders>
            <w:shd w:val="clear" w:color="auto" w:fill="auto"/>
            <w:noWrap/>
            <w:vAlign w:val="center"/>
            <w:hideMark/>
          </w:tcPr>
          <w:p w14:paraId="74C7BBC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12,32</w:t>
            </w:r>
          </w:p>
        </w:tc>
        <w:tc>
          <w:tcPr>
            <w:tcW w:w="1230" w:type="dxa"/>
            <w:tcBorders>
              <w:top w:val="nil"/>
              <w:left w:val="nil"/>
              <w:bottom w:val="single" w:sz="8" w:space="0" w:color="auto"/>
              <w:right w:val="single" w:sz="8" w:space="0" w:color="auto"/>
            </w:tcBorders>
            <w:shd w:val="clear" w:color="auto" w:fill="auto"/>
            <w:noWrap/>
            <w:vAlign w:val="center"/>
            <w:hideMark/>
          </w:tcPr>
          <w:p w14:paraId="2D7BBD9A"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36.309,26</w:t>
            </w:r>
          </w:p>
        </w:tc>
        <w:tc>
          <w:tcPr>
            <w:tcW w:w="1230" w:type="dxa"/>
            <w:tcBorders>
              <w:top w:val="nil"/>
              <w:left w:val="nil"/>
              <w:bottom w:val="single" w:sz="8" w:space="0" w:color="auto"/>
              <w:right w:val="single" w:sz="8" w:space="0" w:color="auto"/>
            </w:tcBorders>
            <w:shd w:val="clear" w:color="auto" w:fill="auto"/>
            <w:noWrap/>
            <w:vAlign w:val="center"/>
            <w:hideMark/>
          </w:tcPr>
          <w:p w14:paraId="7F257D9B"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25,82</w:t>
            </w:r>
          </w:p>
        </w:tc>
        <w:tc>
          <w:tcPr>
            <w:tcW w:w="1230" w:type="dxa"/>
            <w:tcBorders>
              <w:top w:val="nil"/>
              <w:left w:val="nil"/>
              <w:bottom w:val="single" w:sz="8" w:space="0" w:color="auto"/>
              <w:right w:val="single" w:sz="8" w:space="0" w:color="auto"/>
            </w:tcBorders>
            <w:shd w:val="clear" w:color="auto" w:fill="auto"/>
            <w:noWrap/>
            <w:vAlign w:val="center"/>
            <w:hideMark/>
          </w:tcPr>
          <w:p w14:paraId="5C509A25"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140.601,84</w:t>
            </w:r>
          </w:p>
        </w:tc>
      </w:tr>
      <w:tr w:rsidR="005D09BE" w:rsidRPr="00D44048" w14:paraId="38073997"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0F3DB124" w14:textId="77777777" w:rsidR="005D09BE" w:rsidRPr="00D44048"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4CC16F9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33E2F8EE"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0,74</w:t>
            </w:r>
          </w:p>
        </w:tc>
        <w:tc>
          <w:tcPr>
            <w:tcW w:w="1667" w:type="dxa"/>
            <w:tcBorders>
              <w:top w:val="nil"/>
              <w:left w:val="nil"/>
              <w:bottom w:val="single" w:sz="8" w:space="0" w:color="auto"/>
              <w:right w:val="single" w:sz="8" w:space="0" w:color="auto"/>
            </w:tcBorders>
            <w:shd w:val="clear" w:color="auto" w:fill="auto"/>
            <w:noWrap/>
            <w:vAlign w:val="center"/>
            <w:hideMark/>
          </w:tcPr>
          <w:p w14:paraId="25748CB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0,783</w:t>
            </w:r>
          </w:p>
        </w:tc>
        <w:tc>
          <w:tcPr>
            <w:tcW w:w="1344" w:type="dxa"/>
            <w:tcBorders>
              <w:top w:val="nil"/>
              <w:left w:val="nil"/>
              <w:bottom w:val="single" w:sz="8" w:space="0" w:color="auto"/>
              <w:right w:val="single" w:sz="8" w:space="0" w:color="auto"/>
            </w:tcBorders>
            <w:shd w:val="clear" w:color="auto" w:fill="auto"/>
            <w:noWrap/>
            <w:vAlign w:val="center"/>
            <w:hideMark/>
          </w:tcPr>
          <w:p w14:paraId="0347228C"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72.105,97</w:t>
            </w:r>
          </w:p>
        </w:tc>
        <w:tc>
          <w:tcPr>
            <w:tcW w:w="1230" w:type="dxa"/>
            <w:tcBorders>
              <w:top w:val="nil"/>
              <w:left w:val="nil"/>
              <w:bottom w:val="single" w:sz="8" w:space="0" w:color="auto"/>
              <w:right w:val="single" w:sz="8" w:space="0" w:color="auto"/>
            </w:tcBorders>
            <w:shd w:val="clear" w:color="auto" w:fill="auto"/>
            <w:noWrap/>
            <w:vAlign w:val="center"/>
            <w:hideMark/>
          </w:tcPr>
          <w:p w14:paraId="5B05151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58,61</w:t>
            </w:r>
          </w:p>
        </w:tc>
        <w:tc>
          <w:tcPr>
            <w:tcW w:w="1253" w:type="dxa"/>
            <w:tcBorders>
              <w:top w:val="nil"/>
              <w:left w:val="nil"/>
              <w:bottom w:val="single" w:sz="8" w:space="0" w:color="auto"/>
              <w:right w:val="single" w:sz="8" w:space="0" w:color="auto"/>
            </w:tcBorders>
            <w:shd w:val="clear" w:color="auto" w:fill="auto"/>
            <w:noWrap/>
            <w:vAlign w:val="center"/>
            <w:hideMark/>
          </w:tcPr>
          <w:p w14:paraId="6D0646EE"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14.616,39</w:t>
            </w:r>
          </w:p>
        </w:tc>
        <w:tc>
          <w:tcPr>
            <w:tcW w:w="1230" w:type="dxa"/>
            <w:tcBorders>
              <w:top w:val="nil"/>
              <w:left w:val="nil"/>
              <w:bottom w:val="single" w:sz="8" w:space="0" w:color="auto"/>
              <w:right w:val="single" w:sz="8" w:space="0" w:color="auto"/>
            </w:tcBorders>
            <w:shd w:val="clear" w:color="auto" w:fill="auto"/>
            <w:noWrap/>
            <w:vAlign w:val="center"/>
            <w:hideMark/>
          </w:tcPr>
          <w:p w14:paraId="24DBFED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11,88</w:t>
            </w:r>
          </w:p>
        </w:tc>
        <w:tc>
          <w:tcPr>
            <w:tcW w:w="1230" w:type="dxa"/>
            <w:tcBorders>
              <w:top w:val="nil"/>
              <w:left w:val="nil"/>
              <w:bottom w:val="single" w:sz="8" w:space="0" w:color="auto"/>
              <w:right w:val="single" w:sz="8" w:space="0" w:color="auto"/>
            </w:tcBorders>
            <w:shd w:val="clear" w:color="auto" w:fill="auto"/>
            <w:noWrap/>
            <w:vAlign w:val="center"/>
            <w:hideMark/>
          </w:tcPr>
          <w:p w14:paraId="26CB5033"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36.309,26</w:t>
            </w:r>
          </w:p>
        </w:tc>
        <w:tc>
          <w:tcPr>
            <w:tcW w:w="1230" w:type="dxa"/>
            <w:tcBorders>
              <w:top w:val="nil"/>
              <w:left w:val="nil"/>
              <w:bottom w:val="single" w:sz="8" w:space="0" w:color="auto"/>
              <w:right w:val="single" w:sz="8" w:space="0" w:color="auto"/>
            </w:tcBorders>
            <w:shd w:val="clear" w:color="auto" w:fill="auto"/>
            <w:noWrap/>
            <w:vAlign w:val="center"/>
            <w:hideMark/>
          </w:tcPr>
          <w:p w14:paraId="60D077D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29,51</w:t>
            </w:r>
          </w:p>
        </w:tc>
        <w:tc>
          <w:tcPr>
            <w:tcW w:w="1230" w:type="dxa"/>
            <w:tcBorders>
              <w:top w:val="nil"/>
              <w:left w:val="nil"/>
              <w:bottom w:val="single" w:sz="8" w:space="0" w:color="auto"/>
              <w:right w:val="single" w:sz="8" w:space="0" w:color="auto"/>
            </w:tcBorders>
            <w:shd w:val="clear" w:color="auto" w:fill="auto"/>
            <w:noWrap/>
            <w:vAlign w:val="center"/>
            <w:hideMark/>
          </w:tcPr>
          <w:p w14:paraId="389144C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123.031,62</w:t>
            </w:r>
          </w:p>
        </w:tc>
      </w:tr>
      <w:tr w:rsidR="005D09BE" w:rsidRPr="00D44048" w14:paraId="75BF6ABC"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08392668" w14:textId="77777777" w:rsidR="005D09BE" w:rsidRPr="00D44048" w:rsidRDefault="005D09BE" w:rsidP="00F4450D">
            <w:pPr>
              <w:jc w:val="both"/>
              <w:rPr>
                <w:rFonts w:ascii="Arial" w:hAnsi="Arial" w:cs="Arial"/>
                <w:sz w:val="16"/>
                <w:szCs w:val="16"/>
              </w:rPr>
            </w:pPr>
            <w:r w:rsidRPr="00D44048">
              <w:rPr>
                <w:rFonts w:ascii="Arial" w:hAnsi="Arial" w:cs="Arial"/>
                <w:sz w:val="16"/>
                <w:szCs w:val="16"/>
              </w:rPr>
              <w:t>15- C.F.M. SISTEMAS MICROINFORMÁTICOS Y REDES</w:t>
            </w:r>
          </w:p>
        </w:tc>
        <w:tc>
          <w:tcPr>
            <w:tcW w:w="1070" w:type="dxa"/>
            <w:tcBorders>
              <w:top w:val="nil"/>
              <w:left w:val="nil"/>
              <w:bottom w:val="single" w:sz="8" w:space="0" w:color="auto"/>
              <w:right w:val="single" w:sz="8" w:space="0" w:color="auto"/>
            </w:tcBorders>
            <w:shd w:val="clear" w:color="auto" w:fill="auto"/>
            <w:noWrap/>
            <w:vAlign w:val="center"/>
            <w:hideMark/>
          </w:tcPr>
          <w:p w14:paraId="1383216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28A41F3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0,74</w:t>
            </w:r>
          </w:p>
        </w:tc>
        <w:tc>
          <w:tcPr>
            <w:tcW w:w="1667" w:type="dxa"/>
            <w:tcBorders>
              <w:top w:val="nil"/>
              <w:left w:val="nil"/>
              <w:bottom w:val="single" w:sz="8" w:space="0" w:color="auto"/>
              <w:right w:val="single" w:sz="8" w:space="0" w:color="auto"/>
            </w:tcBorders>
            <w:shd w:val="clear" w:color="auto" w:fill="auto"/>
            <w:noWrap/>
            <w:vAlign w:val="center"/>
            <w:hideMark/>
          </w:tcPr>
          <w:p w14:paraId="3B4D60E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1,305</w:t>
            </w:r>
          </w:p>
        </w:tc>
        <w:tc>
          <w:tcPr>
            <w:tcW w:w="1344" w:type="dxa"/>
            <w:tcBorders>
              <w:top w:val="nil"/>
              <w:left w:val="nil"/>
              <w:bottom w:val="single" w:sz="8" w:space="0" w:color="auto"/>
              <w:right w:val="single" w:sz="8" w:space="0" w:color="auto"/>
            </w:tcBorders>
            <w:shd w:val="clear" w:color="auto" w:fill="auto"/>
            <w:noWrap/>
            <w:vAlign w:val="center"/>
            <w:hideMark/>
          </w:tcPr>
          <w:p w14:paraId="228C8B44"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95.751,92</w:t>
            </w:r>
          </w:p>
        </w:tc>
        <w:tc>
          <w:tcPr>
            <w:tcW w:w="1230" w:type="dxa"/>
            <w:tcBorders>
              <w:top w:val="nil"/>
              <w:left w:val="nil"/>
              <w:bottom w:val="single" w:sz="8" w:space="0" w:color="auto"/>
              <w:right w:val="single" w:sz="8" w:space="0" w:color="auto"/>
            </w:tcBorders>
            <w:shd w:val="clear" w:color="auto" w:fill="auto"/>
            <w:noWrap/>
            <w:vAlign w:val="center"/>
            <w:hideMark/>
          </w:tcPr>
          <w:p w14:paraId="04C76C66"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70,15</w:t>
            </w:r>
          </w:p>
        </w:tc>
        <w:tc>
          <w:tcPr>
            <w:tcW w:w="1253" w:type="dxa"/>
            <w:tcBorders>
              <w:top w:val="nil"/>
              <w:left w:val="nil"/>
              <w:bottom w:val="single" w:sz="8" w:space="0" w:color="auto"/>
              <w:right w:val="single" w:sz="8" w:space="0" w:color="auto"/>
            </w:tcBorders>
            <w:shd w:val="clear" w:color="auto" w:fill="auto"/>
            <w:noWrap/>
            <w:vAlign w:val="center"/>
            <w:hideMark/>
          </w:tcPr>
          <w:p w14:paraId="71963D7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18.918,46</w:t>
            </w:r>
          </w:p>
        </w:tc>
        <w:tc>
          <w:tcPr>
            <w:tcW w:w="1230" w:type="dxa"/>
            <w:tcBorders>
              <w:top w:val="nil"/>
              <w:left w:val="nil"/>
              <w:bottom w:val="single" w:sz="8" w:space="0" w:color="auto"/>
              <w:right w:val="single" w:sz="8" w:space="0" w:color="auto"/>
            </w:tcBorders>
            <w:shd w:val="clear" w:color="auto" w:fill="auto"/>
            <w:noWrap/>
            <w:vAlign w:val="center"/>
            <w:hideMark/>
          </w:tcPr>
          <w:p w14:paraId="2BC1428B"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13,86</w:t>
            </w:r>
          </w:p>
        </w:tc>
        <w:tc>
          <w:tcPr>
            <w:tcW w:w="1230" w:type="dxa"/>
            <w:tcBorders>
              <w:top w:val="nil"/>
              <w:left w:val="nil"/>
              <w:bottom w:val="single" w:sz="8" w:space="0" w:color="auto"/>
              <w:right w:val="single" w:sz="8" w:space="0" w:color="auto"/>
            </w:tcBorders>
            <w:shd w:val="clear" w:color="auto" w:fill="auto"/>
            <w:noWrap/>
            <w:vAlign w:val="center"/>
            <w:hideMark/>
          </w:tcPr>
          <w:p w14:paraId="3022A47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21.818,27</w:t>
            </w:r>
          </w:p>
        </w:tc>
        <w:tc>
          <w:tcPr>
            <w:tcW w:w="1230" w:type="dxa"/>
            <w:tcBorders>
              <w:top w:val="nil"/>
              <w:left w:val="nil"/>
              <w:bottom w:val="single" w:sz="8" w:space="0" w:color="auto"/>
              <w:right w:val="single" w:sz="8" w:space="0" w:color="auto"/>
            </w:tcBorders>
            <w:shd w:val="clear" w:color="auto" w:fill="auto"/>
            <w:noWrap/>
            <w:vAlign w:val="center"/>
            <w:hideMark/>
          </w:tcPr>
          <w:p w14:paraId="3C0B43A4"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15,99</w:t>
            </w:r>
          </w:p>
        </w:tc>
        <w:tc>
          <w:tcPr>
            <w:tcW w:w="1230" w:type="dxa"/>
            <w:tcBorders>
              <w:top w:val="nil"/>
              <w:left w:val="nil"/>
              <w:bottom w:val="single" w:sz="8" w:space="0" w:color="auto"/>
              <w:right w:val="single" w:sz="8" w:space="0" w:color="auto"/>
            </w:tcBorders>
            <w:shd w:val="clear" w:color="auto" w:fill="auto"/>
            <w:noWrap/>
            <w:vAlign w:val="center"/>
            <w:hideMark/>
          </w:tcPr>
          <w:p w14:paraId="172EB416"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136.488,65</w:t>
            </w:r>
          </w:p>
        </w:tc>
      </w:tr>
      <w:tr w:rsidR="005D09BE" w:rsidRPr="00D44048" w14:paraId="675D3A47"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4B6E97B8" w14:textId="77777777" w:rsidR="005D09BE" w:rsidRPr="00D44048"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6CBF5D8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0475307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1,175</w:t>
            </w:r>
          </w:p>
        </w:tc>
        <w:tc>
          <w:tcPr>
            <w:tcW w:w="1667" w:type="dxa"/>
            <w:tcBorders>
              <w:top w:val="nil"/>
              <w:left w:val="nil"/>
              <w:bottom w:val="single" w:sz="8" w:space="0" w:color="auto"/>
              <w:right w:val="single" w:sz="8" w:space="0" w:color="auto"/>
            </w:tcBorders>
            <w:shd w:val="clear" w:color="auto" w:fill="auto"/>
            <w:noWrap/>
            <w:vAlign w:val="center"/>
            <w:hideMark/>
          </w:tcPr>
          <w:p w14:paraId="1ED1D08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0,261</w:t>
            </w:r>
          </w:p>
        </w:tc>
        <w:tc>
          <w:tcPr>
            <w:tcW w:w="1344" w:type="dxa"/>
            <w:tcBorders>
              <w:top w:val="nil"/>
              <w:left w:val="nil"/>
              <w:bottom w:val="single" w:sz="8" w:space="0" w:color="auto"/>
              <w:right w:val="single" w:sz="8" w:space="0" w:color="auto"/>
            </w:tcBorders>
            <w:shd w:val="clear" w:color="auto" w:fill="auto"/>
            <w:noWrap/>
            <w:vAlign w:val="center"/>
            <w:hideMark/>
          </w:tcPr>
          <w:p w14:paraId="723894F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69.996,66</w:t>
            </w:r>
          </w:p>
        </w:tc>
        <w:tc>
          <w:tcPr>
            <w:tcW w:w="1230" w:type="dxa"/>
            <w:tcBorders>
              <w:top w:val="nil"/>
              <w:left w:val="nil"/>
              <w:bottom w:val="single" w:sz="8" w:space="0" w:color="auto"/>
              <w:right w:val="single" w:sz="8" w:space="0" w:color="auto"/>
            </w:tcBorders>
            <w:shd w:val="clear" w:color="auto" w:fill="auto"/>
            <w:noWrap/>
            <w:vAlign w:val="center"/>
            <w:hideMark/>
          </w:tcPr>
          <w:p w14:paraId="7FB7B91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66,00</w:t>
            </w:r>
          </w:p>
        </w:tc>
        <w:tc>
          <w:tcPr>
            <w:tcW w:w="1253" w:type="dxa"/>
            <w:tcBorders>
              <w:top w:val="nil"/>
              <w:left w:val="nil"/>
              <w:bottom w:val="single" w:sz="8" w:space="0" w:color="auto"/>
              <w:right w:val="single" w:sz="8" w:space="0" w:color="auto"/>
            </w:tcBorders>
            <w:shd w:val="clear" w:color="auto" w:fill="auto"/>
            <w:noWrap/>
            <w:vAlign w:val="center"/>
            <w:hideMark/>
          </w:tcPr>
          <w:p w14:paraId="4644C72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14.232,64</w:t>
            </w:r>
          </w:p>
        </w:tc>
        <w:tc>
          <w:tcPr>
            <w:tcW w:w="1230" w:type="dxa"/>
            <w:tcBorders>
              <w:top w:val="nil"/>
              <w:left w:val="nil"/>
              <w:bottom w:val="single" w:sz="8" w:space="0" w:color="auto"/>
              <w:right w:val="single" w:sz="8" w:space="0" w:color="auto"/>
            </w:tcBorders>
            <w:shd w:val="clear" w:color="auto" w:fill="auto"/>
            <w:noWrap/>
            <w:vAlign w:val="center"/>
            <w:hideMark/>
          </w:tcPr>
          <w:p w14:paraId="5799F41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13,42</w:t>
            </w:r>
          </w:p>
        </w:tc>
        <w:tc>
          <w:tcPr>
            <w:tcW w:w="1230" w:type="dxa"/>
            <w:tcBorders>
              <w:top w:val="nil"/>
              <w:left w:val="nil"/>
              <w:bottom w:val="single" w:sz="8" w:space="0" w:color="auto"/>
              <w:right w:val="single" w:sz="8" w:space="0" w:color="auto"/>
            </w:tcBorders>
            <w:shd w:val="clear" w:color="auto" w:fill="auto"/>
            <w:noWrap/>
            <w:vAlign w:val="center"/>
            <w:hideMark/>
          </w:tcPr>
          <w:p w14:paraId="48371CE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21.818,27</w:t>
            </w:r>
          </w:p>
        </w:tc>
        <w:tc>
          <w:tcPr>
            <w:tcW w:w="1230" w:type="dxa"/>
            <w:tcBorders>
              <w:top w:val="nil"/>
              <w:left w:val="nil"/>
              <w:bottom w:val="single" w:sz="8" w:space="0" w:color="auto"/>
              <w:right w:val="single" w:sz="8" w:space="0" w:color="auto"/>
            </w:tcBorders>
            <w:shd w:val="clear" w:color="auto" w:fill="auto"/>
            <w:noWrap/>
            <w:vAlign w:val="center"/>
            <w:hideMark/>
          </w:tcPr>
          <w:p w14:paraId="055BD8DB"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20,58</w:t>
            </w:r>
          </w:p>
        </w:tc>
        <w:tc>
          <w:tcPr>
            <w:tcW w:w="1230" w:type="dxa"/>
            <w:tcBorders>
              <w:top w:val="nil"/>
              <w:left w:val="nil"/>
              <w:bottom w:val="single" w:sz="8" w:space="0" w:color="auto"/>
              <w:right w:val="single" w:sz="8" w:space="0" w:color="auto"/>
            </w:tcBorders>
            <w:shd w:val="clear" w:color="auto" w:fill="auto"/>
            <w:noWrap/>
            <w:vAlign w:val="center"/>
            <w:hideMark/>
          </w:tcPr>
          <w:p w14:paraId="2F9AF95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106.047,57</w:t>
            </w:r>
          </w:p>
        </w:tc>
      </w:tr>
    </w:tbl>
    <w:p w14:paraId="1935DBF1" w14:textId="77777777" w:rsidR="001236A3" w:rsidRDefault="001236A3" w:rsidP="005D09BE">
      <w:pPr>
        <w:pStyle w:val="DICTA-TEXTO"/>
        <w:tabs>
          <w:tab w:val="clear" w:pos="992"/>
        </w:tabs>
        <w:spacing w:after="0" w:line="240" w:lineRule="auto"/>
        <w:ind w:firstLine="0"/>
        <w:rPr>
          <w:rFonts w:cs="Arial"/>
          <w:sz w:val="20"/>
          <w:lang w:val="es-ES_tradnl"/>
        </w:rPr>
      </w:pPr>
    </w:p>
    <w:p w14:paraId="303A6D86" w14:textId="77777777" w:rsidR="001236A3" w:rsidRDefault="001236A3" w:rsidP="005D09BE">
      <w:pPr>
        <w:pStyle w:val="DICTA-TEXTO"/>
        <w:tabs>
          <w:tab w:val="clear" w:pos="992"/>
        </w:tabs>
        <w:spacing w:after="0" w:line="240" w:lineRule="auto"/>
        <w:ind w:firstLine="0"/>
        <w:rPr>
          <w:rFonts w:cs="Arial"/>
          <w:sz w:val="20"/>
          <w:lang w:val="es-ES_tradnl"/>
        </w:rPr>
      </w:pPr>
    </w:p>
    <w:p w14:paraId="7E91994B" w14:textId="4243705D" w:rsidR="005D09BE" w:rsidRPr="00D44048" w:rsidRDefault="005D09BE" w:rsidP="005D09BE">
      <w:pPr>
        <w:pStyle w:val="DICTA-TEXTO"/>
        <w:tabs>
          <w:tab w:val="clear" w:pos="992"/>
        </w:tabs>
        <w:spacing w:after="0" w:line="240" w:lineRule="auto"/>
        <w:ind w:firstLine="0"/>
        <w:rPr>
          <w:rFonts w:cs="Arial"/>
          <w:sz w:val="20"/>
          <w:lang w:val="es-ES_tradnl"/>
        </w:rPr>
      </w:pPr>
      <w:r w:rsidRPr="00D44048">
        <w:rPr>
          <w:rFonts w:cs="Arial"/>
          <w:sz w:val="20"/>
          <w:lang w:val="es-ES_tradnl"/>
        </w:rPr>
        <w:lastRenderedPageBreak/>
        <w:t>CICLOS FORMATIVOS GRADO SUPERIOR</w:t>
      </w:r>
    </w:p>
    <w:tbl>
      <w:tblPr>
        <w:tblW w:w="15907" w:type="dxa"/>
        <w:tblCellMar>
          <w:left w:w="70" w:type="dxa"/>
          <w:right w:w="70" w:type="dxa"/>
        </w:tblCellMar>
        <w:tblLook w:val="04A0" w:firstRow="1" w:lastRow="0" w:firstColumn="1" w:lastColumn="0" w:noHBand="0" w:noVBand="1"/>
      </w:tblPr>
      <w:tblGrid>
        <w:gridCol w:w="3208"/>
        <w:gridCol w:w="878"/>
        <w:gridCol w:w="1601"/>
        <w:gridCol w:w="1264"/>
        <w:gridCol w:w="1405"/>
        <w:gridCol w:w="1264"/>
        <w:gridCol w:w="1264"/>
        <w:gridCol w:w="1436"/>
        <w:gridCol w:w="1190"/>
        <w:gridCol w:w="1182"/>
        <w:gridCol w:w="1215"/>
      </w:tblGrid>
      <w:tr w:rsidR="005D09BE" w:rsidRPr="00D44048" w14:paraId="5959822B" w14:textId="77777777" w:rsidTr="00F4450D">
        <w:trPr>
          <w:cantSplit/>
          <w:trHeight w:val="227"/>
          <w:tblHeader/>
        </w:trPr>
        <w:tc>
          <w:tcPr>
            <w:tcW w:w="3208" w:type="dxa"/>
            <w:vMerge w:val="restart"/>
            <w:tcBorders>
              <w:top w:val="single" w:sz="4" w:space="0" w:color="auto"/>
              <w:left w:val="single" w:sz="4" w:space="0" w:color="auto"/>
              <w:right w:val="single" w:sz="4" w:space="0" w:color="auto"/>
            </w:tcBorders>
            <w:shd w:val="clear" w:color="auto" w:fill="auto"/>
            <w:vAlign w:val="center"/>
            <w:hideMark/>
          </w:tcPr>
          <w:p w14:paraId="32B2DAD7" w14:textId="77777777" w:rsidR="005D09BE" w:rsidRPr="00D44048" w:rsidRDefault="005D09BE" w:rsidP="00F4450D">
            <w:pPr>
              <w:jc w:val="both"/>
              <w:rPr>
                <w:rFonts w:ascii="Arial" w:hAnsi="Arial" w:cs="Arial"/>
                <w:bCs/>
                <w:sz w:val="16"/>
                <w:szCs w:val="16"/>
              </w:rPr>
            </w:pPr>
            <w:r w:rsidRPr="00D44048">
              <w:rPr>
                <w:rFonts w:ascii="Arial" w:hAnsi="Arial" w:cs="Arial"/>
                <w:bCs/>
                <w:sz w:val="16"/>
                <w:szCs w:val="16"/>
              </w:rPr>
              <w:t>CICLOS FORMATIVOS GRADO SUPERIOR</w:t>
            </w:r>
          </w:p>
        </w:tc>
        <w:tc>
          <w:tcPr>
            <w:tcW w:w="878" w:type="dxa"/>
            <w:vMerge w:val="restart"/>
            <w:tcBorders>
              <w:top w:val="single" w:sz="4" w:space="0" w:color="auto"/>
              <w:left w:val="nil"/>
              <w:right w:val="single" w:sz="4" w:space="0" w:color="auto"/>
            </w:tcBorders>
            <w:shd w:val="clear" w:color="auto" w:fill="auto"/>
            <w:vAlign w:val="center"/>
            <w:hideMark/>
          </w:tcPr>
          <w:p w14:paraId="1282490B" w14:textId="77777777" w:rsidR="005D09BE" w:rsidRPr="00D44048" w:rsidRDefault="005D09BE" w:rsidP="00F4450D">
            <w:pPr>
              <w:jc w:val="center"/>
              <w:rPr>
                <w:rFonts w:ascii="Arial" w:hAnsi="Arial" w:cs="Arial"/>
                <w:bCs/>
                <w:sz w:val="16"/>
                <w:szCs w:val="16"/>
              </w:rPr>
            </w:pPr>
            <w:r w:rsidRPr="00D44048">
              <w:rPr>
                <w:rFonts w:ascii="Arial" w:hAnsi="Arial" w:cs="Arial"/>
                <w:bCs/>
                <w:sz w:val="16"/>
                <w:szCs w:val="16"/>
              </w:rPr>
              <w:t>CURSO</w:t>
            </w:r>
          </w:p>
        </w:tc>
        <w:tc>
          <w:tcPr>
            <w:tcW w:w="2865" w:type="dxa"/>
            <w:gridSpan w:val="2"/>
            <w:tcBorders>
              <w:top w:val="single" w:sz="4" w:space="0" w:color="auto"/>
              <w:left w:val="nil"/>
              <w:bottom w:val="single" w:sz="4" w:space="0" w:color="auto"/>
              <w:right w:val="single" w:sz="4" w:space="0" w:color="auto"/>
            </w:tcBorders>
            <w:shd w:val="clear" w:color="auto" w:fill="auto"/>
            <w:vAlign w:val="center"/>
            <w:hideMark/>
          </w:tcPr>
          <w:p w14:paraId="2B38E3CB" w14:textId="77777777" w:rsidR="005D09BE" w:rsidRPr="00D44048" w:rsidRDefault="005D09BE" w:rsidP="00F4450D">
            <w:pPr>
              <w:ind w:firstLineChars="300" w:firstLine="480"/>
              <w:jc w:val="center"/>
              <w:rPr>
                <w:rFonts w:ascii="Arial" w:hAnsi="Arial" w:cs="Arial"/>
                <w:bCs/>
                <w:sz w:val="16"/>
                <w:szCs w:val="16"/>
              </w:rPr>
            </w:pPr>
            <w:r w:rsidRPr="00D44048">
              <w:rPr>
                <w:rFonts w:ascii="Arial" w:hAnsi="Arial" w:cs="Arial"/>
                <w:bCs/>
                <w:sz w:val="16"/>
                <w:szCs w:val="16"/>
              </w:rPr>
              <w:t>RATIO PROFESOR</w:t>
            </w:r>
          </w:p>
        </w:tc>
        <w:tc>
          <w:tcPr>
            <w:tcW w:w="14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87B072" w14:textId="77777777" w:rsidR="005D09BE" w:rsidRPr="00D44048" w:rsidRDefault="005D09BE" w:rsidP="00F4450D">
            <w:pPr>
              <w:jc w:val="center"/>
              <w:rPr>
                <w:rFonts w:ascii="Arial" w:hAnsi="Arial" w:cs="Arial"/>
                <w:bCs/>
                <w:sz w:val="16"/>
                <w:szCs w:val="16"/>
              </w:rPr>
            </w:pPr>
            <w:r w:rsidRPr="00D44048">
              <w:rPr>
                <w:rFonts w:ascii="Arial" w:hAnsi="Arial" w:cs="Arial"/>
                <w:bCs/>
                <w:sz w:val="16"/>
                <w:szCs w:val="16"/>
              </w:rPr>
              <w:t>SALARIOS PERSONAL</w:t>
            </w:r>
          </w:p>
        </w:tc>
        <w:tc>
          <w:tcPr>
            <w:tcW w:w="1264" w:type="dxa"/>
            <w:vMerge w:val="restart"/>
            <w:tcBorders>
              <w:top w:val="single" w:sz="4" w:space="0" w:color="auto"/>
              <w:left w:val="nil"/>
              <w:right w:val="single" w:sz="4" w:space="0" w:color="auto"/>
            </w:tcBorders>
            <w:shd w:val="clear" w:color="auto" w:fill="auto"/>
            <w:vAlign w:val="center"/>
            <w:hideMark/>
          </w:tcPr>
          <w:p w14:paraId="3088ED1E" w14:textId="77777777" w:rsidR="005D09BE" w:rsidRPr="00D44048" w:rsidRDefault="005D09BE" w:rsidP="00F4450D">
            <w:pPr>
              <w:jc w:val="center"/>
              <w:rPr>
                <w:rFonts w:ascii="Arial" w:hAnsi="Arial" w:cs="Arial"/>
                <w:bCs/>
                <w:sz w:val="16"/>
                <w:szCs w:val="16"/>
              </w:rPr>
            </w:pPr>
            <w:r w:rsidRPr="00D44048">
              <w:rPr>
                <w:rFonts w:ascii="Arial" w:hAnsi="Arial" w:cs="Arial"/>
                <w:bCs/>
                <w:sz w:val="16"/>
                <w:szCs w:val="16"/>
              </w:rPr>
              <w:t>% MÓDULO</w:t>
            </w:r>
          </w:p>
        </w:tc>
        <w:tc>
          <w:tcPr>
            <w:tcW w:w="12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FD5A5D" w14:textId="77777777" w:rsidR="005D09BE" w:rsidRPr="00D44048" w:rsidRDefault="005D09BE" w:rsidP="00F4450D">
            <w:pPr>
              <w:jc w:val="center"/>
              <w:rPr>
                <w:rFonts w:ascii="Arial" w:hAnsi="Arial" w:cs="Arial"/>
                <w:bCs/>
                <w:sz w:val="16"/>
                <w:szCs w:val="16"/>
              </w:rPr>
            </w:pPr>
            <w:r w:rsidRPr="00D44048">
              <w:rPr>
                <w:rFonts w:ascii="Arial" w:hAnsi="Arial" w:cs="Arial"/>
                <w:bCs/>
                <w:sz w:val="16"/>
                <w:szCs w:val="16"/>
              </w:rPr>
              <w:t>GASTOS VARIABLES</w:t>
            </w:r>
          </w:p>
        </w:tc>
        <w:tc>
          <w:tcPr>
            <w:tcW w:w="1436" w:type="dxa"/>
            <w:vMerge w:val="restart"/>
            <w:tcBorders>
              <w:top w:val="single" w:sz="4" w:space="0" w:color="auto"/>
              <w:left w:val="nil"/>
              <w:right w:val="single" w:sz="4" w:space="0" w:color="auto"/>
            </w:tcBorders>
            <w:shd w:val="clear" w:color="auto" w:fill="auto"/>
            <w:vAlign w:val="center"/>
            <w:hideMark/>
          </w:tcPr>
          <w:p w14:paraId="058059B0" w14:textId="77777777" w:rsidR="005D09BE" w:rsidRPr="00D44048" w:rsidRDefault="005D09BE" w:rsidP="00F4450D">
            <w:pPr>
              <w:jc w:val="center"/>
              <w:rPr>
                <w:rFonts w:ascii="Arial" w:hAnsi="Arial" w:cs="Arial"/>
                <w:bCs/>
                <w:sz w:val="16"/>
                <w:szCs w:val="16"/>
              </w:rPr>
            </w:pPr>
            <w:r w:rsidRPr="00D44048">
              <w:rPr>
                <w:rFonts w:ascii="Arial" w:hAnsi="Arial" w:cs="Arial"/>
                <w:bCs/>
                <w:sz w:val="16"/>
                <w:szCs w:val="16"/>
              </w:rPr>
              <w:t>% MÓDULO</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FD5562" w14:textId="77777777" w:rsidR="005D09BE" w:rsidRPr="00D44048" w:rsidRDefault="005D09BE" w:rsidP="00F4450D">
            <w:pPr>
              <w:jc w:val="center"/>
              <w:rPr>
                <w:rFonts w:ascii="Arial" w:hAnsi="Arial" w:cs="Arial"/>
                <w:bCs/>
                <w:sz w:val="16"/>
                <w:szCs w:val="16"/>
              </w:rPr>
            </w:pPr>
            <w:r w:rsidRPr="00D44048">
              <w:rPr>
                <w:rFonts w:ascii="Arial" w:hAnsi="Arial" w:cs="Arial"/>
                <w:bCs/>
                <w:sz w:val="16"/>
                <w:szCs w:val="16"/>
              </w:rPr>
              <w:t>OTROS GASTOS</w:t>
            </w:r>
          </w:p>
        </w:tc>
        <w:tc>
          <w:tcPr>
            <w:tcW w:w="1182" w:type="dxa"/>
            <w:vMerge w:val="restart"/>
            <w:tcBorders>
              <w:top w:val="single" w:sz="4" w:space="0" w:color="auto"/>
              <w:left w:val="nil"/>
              <w:right w:val="single" w:sz="4" w:space="0" w:color="auto"/>
            </w:tcBorders>
            <w:shd w:val="clear" w:color="auto" w:fill="auto"/>
            <w:vAlign w:val="center"/>
            <w:hideMark/>
          </w:tcPr>
          <w:p w14:paraId="3CC15D07" w14:textId="77777777" w:rsidR="005D09BE" w:rsidRPr="00D44048" w:rsidRDefault="005D09BE" w:rsidP="00F4450D">
            <w:pPr>
              <w:jc w:val="center"/>
              <w:rPr>
                <w:rFonts w:ascii="Arial" w:hAnsi="Arial" w:cs="Arial"/>
                <w:bCs/>
                <w:sz w:val="16"/>
                <w:szCs w:val="16"/>
              </w:rPr>
            </w:pPr>
            <w:r w:rsidRPr="00D44048">
              <w:rPr>
                <w:rFonts w:ascii="Arial" w:hAnsi="Arial" w:cs="Arial"/>
                <w:bCs/>
                <w:sz w:val="16"/>
                <w:szCs w:val="16"/>
              </w:rPr>
              <w:t>% MÓDULO</w:t>
            </w:r>
          </w:p>
        </w:tc>
        <w:tc>
          <w:tcPr>
            <w:tcW w:w="12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1AB9DF" w14:textId="77777777" w:rsidR="005D09BE" w:rsidRPr="00D44048" w:rsidRDefault="005D09BE" w:rsidP="00F4450D">
            <w:pPr>
              <w:jc w:val="center"/>
              <w:rPr>
                <w:rFonts w:ascii="Arial" w:hAnsi="Arial" w:cs="Arial"/>
                <w:bCs/>
                <w:sz w:val="16"/>
                <w:szCs w:val="16"/>
              </w:rPr>
            </w:pPr>
            <w:proofErr w:type="gramStart"/>
            <w:r w:rsidRPr="00D44048">
              <w:rPr>
                <w:rFonts w:ascii="Arial" w:hAnsi="Arial" w:cs="Arial"/>
                <w:bCs/>
                <w:sz w:val="16"/>
                <w:szCs w:val="16"/>
              </w:rPr>
              <w:t>TOTAL</w:t>
            </w:r>
            <w:proofErr w:type="gramEnd"/>
            <w:r w:rsidRPr="00D44048">
              <w:rPr>
                <w:rFonts w:ascii="Arial" w:hAnsi="Arial" w:cs="Arial"/>
                <w:bCs/>
                <w:sz w:val="16"/>
                <w:szCs w:val="16"/>
              </w:rPr>
              <w:t xml:space="preserve"> MÓDULO</w:t>
            </w:r>
          </w:p>
        </w:tc>
      </w:tr>
      <w:tr w:rsidR="005D09BE" w:rsidRPr="00D44048" w14:paraId="6CA6684E" w14:textId="77777777" w:rsidTr="00F4450D">
        <w:trPr>
          <w:cantSplit/>
          <w:trHeight w:val="227"/>
          <w:tblHeader/>
        </w:trPr>
        <w:tc>
          <w:tcPr>
            <w:tcW w:w="3208" w:type="dxa"/>
            <w:vMerge/>
            <w:tcBorders>
              <w:left w:val="single" w:sz="4" w:space="0" w:color="auto"/>
              <w:bottom w:val="single" w:sz="4" w:space="0" w:color="auto"/>
              <w:right w:val="single" w:sz="4" w:space="0" w:color="auto"/>
            </w:tcBorders>
            <w:shd w:val="clear" w:color="auto" w:fill="auto"/>
            <w:vAlign w:val="center"/>
            <w:hideMark/>
          </w:tcPr>
          <w:p w14:paraId="59E38383" w14:textId="77777777" w:rsidR="005D09BE" w:rsidRPr="00D44048" w:rsidRDefault="005D09BE" w:rsidP="00F4450D">
            <w:pPr>
              <w:ind w:firstLineChars="200" w:firstLine="320"/>
              <w:jc w:val="both"/>
              <w:rPr>
                <w:rFonts w:ascii="Arial" w:hAnsi="Arial" w:cs="Arial"/>
                <w:bCs/>
                <w:sz w:val="16"/>
                <w:szCs w:val="16"/>
              </w:rPr>
            </w:pPr>
          </w:p>
        </w:tc>
        <w:tc>
          <w:tcPr>
            <w:tcW w:w="878" w:type="dxa"/>
            <w:vMerge/>
            <w:tcBorders>
              <w:left w:val="nil"/>
              <w:bottom w:val="single" w:sz="4" w:space="0" w:color="auto"/>
              <w:right w:val="single" w:sz="4" w:space="0" w:color="auto"/>
            </w:tcBorders>
            <w:shd w:val="clear" w:color="auto" w:fill="auto"/>
            <w:vAlign w:val="center"/>
            <w:hideMark/>
          </w:tcPr>
          <w:p w14:paraId="083914E8" w14:textId="77777777" w:rsidR="005D09BE" w:rsidRPr="00D44048" w:rsidRDefault="005D09BE" w:rsidP="00F4450D">
            <w:pPr>
              <w:ind w:firstLineChars="100" w:firstLine="160"/>
              <w:jc w:val="center"/>
              <w:rPr>
                <w:rFonts w:ascii="Arial" w:hAnsi="Arial" w:cs="Arial"/>
                <w:bCs/>
                <w:sz w:val="16"/>
                <w:szCs w:val="16"/>
              </w:rPr>
            </w:pPr>
          </w:p>
        </w:tc>
        <w:tc>
          <w:tcPr>
            <w:tcW w:w="1601" w:type="dxa"/>
            <w:tcBorders>
              <w:top w:val="nil"/>
              <w:left w:val="nil"/>
              <w:bottom w:val="single" w:sz="4" w:space="0" w:color="auto"/>
              <w:right w:val="single" w:sz="4" w:space="0" w:color="auto"/>
            </w:tcBorders>
            <w:shd w:val="clear" w:color="auto" w:fill="auto"/>
            <w:vAlign w:val="center"/>
            <w:hideMark/>
          </w:tcPr>
          <w:p w14:paraId="10E3B35E" w14:textId="77777777" w:rsidR="005D09BE" w:rsidRPr="00D44048" w:rsidRDefault="005D09BE" w:rsidP="00F4450D">
            <w:pPr>
              <w:jc w:val="center"/>
              <w:rPr>
                <w:rFonts w:ascii="Arial" w:hAnsi="Arial" w:cs="Arial"/>
                <w:bCs/>
                <w:sz w:val="16"/>
                <w:szCs w:val="16"/>
              </w:rPr>
            </w:pPr>
            <w:r w:rsidRPr="00D44048">
              <w:rPr>
                <w:rFonts w:ascii="Arial" w:hAnsi="Arial" w:cs="Arial"/>
                <w:bCs/>
                <w:sz w:val="16"/>
                <w:szCs w:val="16"/>
              </w:rPr>
              <w:t>TITULAR</w:t>
            </w:r>
          </w:p>
        </w:tc>
        <w:tc>
          <w:tcPr>
            <w:tcW w:w="1264" w:type="dxa"/>
            <w:tcBorders>
              <w:top w:val="nil"/>
              <w:left w:val="nil"/>
              <w:bottom w:val="single" w:sz="4" w:space="0" w:color="auto"/>
              <w:right w:val="single" w:sz="4" w:space="0" w:color="auto"/>
            </w:tcBorders>
            <w:shd w:val="clear" w:color="auto" w:fill="auto"/>
            <w:vAlign w:val="center"/>
            <w:hideMark/>
          </w:tcPr>
          <w:p w14:paraId="0A64E1A3" w14:textId="77777777" w:rsidR="005D09BE" w:rsidRPr="00D44048" w:rsidRDefault="005D09BE" w:rsidP="00F4450D">
            <w:pPr>
              <w:jc w:val="center"/>
              <w:rPr>
                <w:rFonts w:ascii="Arial" w:hAnsi="Arial" w:cs="Arial"/>
                <w:bCs/>
                <w:sz w:val="16"/>
                <w:szCs w:val="16"/>
              </w:rPr>
            </w:pPr>
            <w:r w:rsidRPr="00D44048">
              <w:rPr>
                <w:rFonts w:ascii="Arial" w:hAnsi="Arial" w:cs="Arial"/>
                <w:bCs/>
                <w:sz w:val="16"/>
                <w:szCs w:val="16"/>
              </w:rPr>
              <w:t>AGREGADO</w:t>
            </w:r>
          </w:p>
        </w:tc>
        <w:tc>
          <w:tcPr>
            <w:tcW w:w="1405" w:type="dxa"/>
            <w:vMerge/>
            <w:tcBorders>
              <w:top w:val="single" w:sz="4" w:space="0" w:color="auto"/>
              <w:left w:val="single" w:sz="4" w:space="0" w:color="auto"/>
              <w:bottom w:val="single" w:sz="4" w:space="0" w:color="auto"/>
              <w:right w:val="single" w:sz="4" w:space="0" w:color="auto"/>
            </w:tcBorders>
            <w:vAlign w:val="center"/>
            <w:hideMark/>
          </w:tcPr>
          <w:p w14:paraId="5B30DE70" w14:textId="77777777" w:rsidR="005D09BE" w:rsidRPr="00D44048" w:rsidRDefault="005D09BE" w:rsidP="00F4450D">
            <w:pPr>
              <w:jc w:val="center"/>
              <w:rPr>
                <w:rFonts w:ascii="Arial" w:hAnsi="Arial" w:cs="Arial"/>
                <w:bCs/>
                <w:sz w:val="16"/>
                <w:szCs w:val="16"/>
              </w:rPr>
            </w:pPr>
          </w:p>
        </w:tc>
        <w:tc>
          <w:tcPr>
            <w:tcW w:w="1264" w:type="dxa"/>
            <w:vMerge/>
            <w:tcBorders>
              <w:left w:val="nil"/>
              <w:bottom w:val="single" w:sz="4" w:space="0" w:color="auto"/>
              <w:right w:val="single" w:sz="4" w:space="0" w:color="auto"/>
            </w:tcBorders>
            <w:shd w:val="clear" w:color="auto" w:fill="auto"/>
            <w:vAlign w:val="center"/>
            <w:hideMark/>
          </w:tcPr>
          <w:p w14:paraId="7CD25FAD" w14:textId="77777777" w:rsidR="005D09BE" w:rsidRPr="00D44048" w:rsidRDefault="005D09BE" w:rsidP="00F4450D">
            <w:pPr>
              <w:jc w:val="center"/>
              <w:rPr>
                <w:rFonts w:ascii="Arial" w:hAnsi="Arial" w:cs="Arial"/>
                <w:bCs/>
                <w:sz w:val="16"/>
                <w:szCs w:val="16"/>
              </w:rPr>
            </w:pPr>
          </w:p>
        </w:tc>
        <w:tc>
          <w:tcPr>
            <w:tcW w:w="1264" w:type="dxa"/>
            <w:vMerge/>
            <w:tcBorders>
              <w:top w:val="single" w:sz="4" w:space="0" w:color="auto"/>
              <w:left w:val="single" w:sz="4" w:space="0" w:color="auto"/>
              <w:bottom w:val="single" w:sz="4" w:space="0" w:color="auto"/>
              <w:right w:val="single" w:sz="4" w:space="0" w:color="auto"/>
            </w:tcBorders>
            <w:vAlign w:val="center"/>
            <w:hideMark/>
          </w:tcPr>
          <w:p w14:paraId="2DAD6CC1" w14:textId="77777777" w:rsidR="005D09BE" w:rsidRPr="00D44048" w:rsidRDefault="005D09BE" w:rsidP="00F4450D">
            <w:pPr>
              <w:jc w:val="center"/>
              <w:rPr>
                <w:rFonts w:ascii="Arial" w:hAnsi="Arial" w:cs="Arial"/>
                <w:bCs/>
                <w:sz w:val="16"/>
                <w:szCs w:val="16"/>
              </w:rPr>
            </w:pPr>
          </w:p>
        </w:tc>
        <w:tc>
          <w:tcPr>
            <w:tcW w:w="1436" w:type="dxa"/>
            <w:vMerge/>
            <w:tcBorders>
              <w:left w:val="nil"/>
              <w:bottom w:val="single" w:sz="4" w:space="0" w:color="auto"/>
              <w:right w:val="single" w:sz="4" w:space="0" w:color="auto"/>
            </w:tcBorders>
            <w:shd w:val="clear" w:color="auto" w:fill="auto"/>
            <w:vAlign w:val="center"/>
            <w:hideMark/>
          </w:tcPr>
          <w:p w14:paraId="7131FA28" w14:textId="77777777" w:rsidR="005D09BE" w:rsidRPr="00D44048" w:rsidRDefault="005D09BE" w:rsidP="00F4450D">
            <w:pPr>
              <w:jc w:val="center"/>
              <w:rPr>
                <w:rFonts w:ascii="Arial" w:hAnsi="Arial" w:cs="Arial"/>
                <w:bCs/>
                <w:sz w:val="16"/>
                <w:szCs w:val="16"/>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2556CCC4" w14:textId="77777777" w:rsidR="005D09BE" w:rsidRPr="00D44048" w:rsidRDefault="005D09BE" w:rsidP="00F4450D">
            <w:pPr>
              <w:jc w:val="center"/>
              <w:rPr>
                <w:rFonts w:ascii="Arial" w:hAnsi="Arial" w:cs="Arial"/>
                <w:bCs/>
                <w:sz w:val="16"/>
                <w:szCs w:val="16"/>
              </w:rPr>
            </w:pPr>
          </w:p>
        </w:tc>
        <w:tc>
          <w:tcPr>
            <w:tcW w:w="1182" w:type="dxa"/>
            <w:vMerge/>
            <w:tcBorders>
              <w:left w:val="nil"/>
              <w:bottom w:val="single" w:sz="4" w:space="0" w:color="auto"/>
              <w:right w:val="single" w:sz="4" w:space="0" w:color="auto"/>
            </w:tcBorders>
            <w:shd w:val="clear" w:color="auto" w:fill="auto"/>
            <w:vAlign w:val="center"/>
            <w:hideMark/>
          </w:tcPr>
          <w:p w14:paraId="0DFA34FA" w14:textId="77777777" w:rsidR="005D09BE" w:rsidRPr="00D44048" w:rsidRDefault="005D09BE" w:rsidP="00F4450D">
            <w:pPr>
              <w:jc w:val="center"/>
              <w:rPr>
                <w:rFonts w:ascii="Arial" w:hAnsi="Arial" w:cs="Arial"/>
                <w:bCs/>
                <w:sz w:val="16"/>
                <w:szCs w:val="16"/>
              </w:rPr>
            </w:pPr>
          </w:p>
        </w:tc>
        <w:tc>
          <w:tcPr>
            <w:tcW w:w="1215" w:type="dxa"/>
            <w:vMerge/>
            <w:tcBorders>
              <w:top w:val="single" w:sz="4" w:space="0" w:color="auto"/>
              <w:left w:val="single" w:sz="4" w:space="0" w:color="auto"/>
              <w:bottom w:val="single" w:sz="4" w:space="0" w:color="auto"/>
              <w:right w:val="single" w:sz="4" w:space="0" w:color="auto"/>
            </w:tcBorders>
            <w:vAlign w:val="center"/>
            <w:hideMark/>
          </w:tcPr>
          <w:p w14:paraId="52CF1005" w14:textId="77777777" w:rsidR="005D09BE" w:rsidRPr="00D44048" w:rsidRDefault="005D09BE" w:rsidP="00F4450D">
            <w:pPr>
              <w:jc w:val="center"/>
              <w:rPr>
                <w:rFonts w:ascii="Arial" w:hAnsi="Arial" w:cs="Arial"/>
                <w:bCs/>
                <w:sz w:val="16"/>
                <w:szCs w:val="16"/>
              </w:rPr>
            </w:pPr>
          </w:p>
        </w:tc>
      </w:tr>
      <w:tr w:rsidR="005D09BE" w:rsidRPr="00D44048" w14:paraId="698EA814"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46FC6608" w14:textId="77777777" w:rsidR="005D09BE" w:rsidRPr="00D44048" w:rsidRDefault="005D09BE" w:rsidP="00F4450D">
            <w:pPr>
              <w:jc w:val="both"/>
              <w:rPr>
                <w:rFonts w:ascii="Arial" w:hAnsi="Arial" w:cs="Arial"/>
                <w:sz w:val="16"/>
                <w:szCs w:val="16"/>
              </w:rPr>
            </w:pPr>
            <w:r w:rsidRPr="00D44048">
              <w:rPr>
                <w:rFonts w:ascii="Arial" w:hAnsi="Arial" w:cs="Arial"/>
                <w:sz w:val="16"/>
                <w:szCs w:val="16"/>
              </w:rPr>
              <w:t>1-C.F.S. DE COMERCIO INTERNACIONAL</w:t>
            </w:r>
          </w:p>
        </w:tc>
        <w:tc>
          <w:tcPr>
            <w:tcW w:w="878" w:type="dxa"/>
            <w:tcBorders>
              <w:top w:val="nil"/>
              <w:left w:val="nil"/>
              <w:bottom w:val="single" w:sz="4" w:space="0" w:color="auto"/>
              <w:right w:val="single" w:sz="4" w:space="0" w:color="auto"/>
            </w:tcBorders>
            <w:shd w:val="clear" w:color="auto" w:fill="auto"/>
            <w:vAlign w:val="center"/>
            <w:hideMark/>
          </w:tcPr>
          <w:p w14:paraId="5BE317B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1º</w:t>
            </w:r>
          </w:p>
        </w:tc>
        <w:tc>
          <w:tcPr>
            <w:tcW w:w="1601" w:type="dxa"/>
            <w:tcBorders>
              <w:top w:val="nil"/>
              <w:left w:val="nil"/>
              <w:bottom w:val="single" w:sz="4" w:space="0" w:color="auto"/>
              <w:right w:val="single" w:sz="4" w:space="0" w:color="auto"/>
            </w:tcBorders>
            <w:shd w:val="clear" w:color="auto" w:fill="auto"/>
            <w:vAlign w:val="center"/>
            <w:hideMark/>
          </w:tcPr>
          <w:p w14:paraId="3212E83C"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1,174</w:t>
            </w:r>
          </w:p>
        </w:tc>
        <w:tc>
          <w:tcPr>
            <w:tcW w:w="1264" w:type="dxa"/>
            <w:tcBorders>
              <w:top w:val="nil"/>
              <w:left w:val="nil"/>
              <w:bottom w:val="single" w:sz="4" w:space="0" w:color="auto"/>
              <w:right w:val="single" w:sz="4" w:space="0" w:color="auto"/>
            </w:tcBorders>
            <w:shd w:val="clear" w:color="auto" w:fill="auto"/>
            <w:vAlign w:val="center"/>
            <w:hideMark/>
          </w:tcPr>
          <w:p w14:paraId="1A64043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0,348</w:t>
            </w:r>
          </w:p>
        </w:tc>
        <w:tc>
          <w:tcPr>
            <w:tcW w:w="1405" w:type="dxa"/>
            <w:tcBorders>
              <w:top w:val="nil"/>
              <w:left w:val="nil"/>
              <w:bottom w:val="single" w:sz="4" w:space="0" w:color="auto"/>
              <w:right w:val="single" w:sz="4" w:space="0" w:color="auto"/>
            </w:tcBorders>
            <w:shd w:val="clear" w:color="auto" w:fill="auto"/>
            <w:vAlign w:val="center"/>
            <w:hideMark/>
          </w:tcPr>
          <w:p w14:paraId="0A02713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73.888,15</w:t>
            </w:r>
          </w:p>
        </w:tc>
        <w:tc>
          <w:tcPr>
            <w:tcW w:w="1264" w:type="dxa"/>
            <w:tcBorders>
              <w:top w:val="nil"/>
              <w:left w:val="nil"/>
              <w:bottom w:val="single" w:sz="4" w:space="0" w:color="auto"/>
              <w:right w:val="single" w:sz="4" w:space="0" w:color="auto"/>
            </w:tcBorders>
            <w:shd w:val="clear" w:color="auto" w:fill="auto"/>
            <w:vAlign w:val="center"/>
            <w:hideMark/>
          </w:tcPr>
          <w:p w14:paraId="1ABE56E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68,19</w:t>
            </w:r>
          </w:p>
        </w:tc>
        <w:tc>
          <w:tcPr>
            <w:tcW w:w="1264" w:type="dxa"/>
            <w:tcBorders>
              <w:top w:val="nil"/>
              <w:left w:val="nil"/>
              <w:bottom w:val="single" w:sz="4" w:space="0" w:color="auto"/>
              <w:right w:val="single" w:sz="4" w:space="0" w:color="auto"/>
            </w:tcBorders>
            <w:shd w:val="clear" w:color="auto" w:fill="auto"/>
            <w:vAlign w:val="center"/>
            <w:hideMark/>
          </w:tcPr>
          <w:p w14:paraId="13178793"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14.578,06</w:t>
            </w:r>
          </w:p>
        </w:tc>
        <w:tc>
          <w:tcPr>
            <w:tcW w:w="1436" w:type="dxa"/>
            <w:tcBorders>
              <w:top w:val="nil"/>
              <w:left w:val="nil"/>
              <w:bottom w:val="single" w:sz="4" w:space="0" w:color="auto"/>
              <w:right w:val="single" w:sz="4" w:space="0" w:color="auto"/>
            </w:tcBorders>
            <w:shd w:val="clear" w:color="auto" w:fill="auto"/>
            <w:vAlign w:val="center"/>
            <w:hideMark/>
          </w:tcPr>
          <w:p w14:paraId="08B8CEB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13,45</w:t>
            </w:r>
          </w:p>
        </w:tc>
        <w:tc>
          <w:tcPr>
            <w:tcW w:w="1190" w:type="dxa"/>
            <w:tcBorders>
              <w:top w:val="nil"/>
              <w:left w:val="nil"/>
              <w:bottom w:val="single" w:sz="4" w:space="0" w:color="auto"/>
              <w:right w:val="single" w:sz="4" w:space="0" w:color="auto"/>
            </w:tcBorders>
            <w:shd w:val="clear" w:color="auto" w:fill="auto"/>
            <w:vAlign w:val="center"/>
            <w:hideMark/>
          </w:tcPr>
          <w:p w14:paraId="34DF4B2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19.886,54</w:t>
            </w:r>
          </w:p>
        </w:tc>
        <w:tc>
          <w:tcPr>
            <w:tcW w:w="1182" w:type="dxa"/>
            <w:tcBorders>
              <w:top w:val="nil"/>
              <w:left w:val="nil"/>
              <w:bottom w:val="single" w:sz="4" w:space="0" w:color="auto"/>
              <w:right w:val="single" w:sz="4" w:space="0" w:color="auto"/>
            </w:tcBorders>
            <w:shd w:val="clear" w:color="auto" w:fill="auto"/>
            <w:vAlign w:val="center"/>
            <w:hideMark/>
          </w:tcPr>
          <w:p w14:paraId="7552D6A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18,36</w:t>
            </w:r>
          </w:p>
        </w:tc>
        <w:tc>
          <w:tcPr>
            <w:tcW w:w="1215" w:type="dxa"/>
            <w:tcBorders>
              <w:top w:val="nil"/>
              <w:left w:val="nil"/>
              <w:bottom w:val="single" w:sz="4" w:space="0" w:color="auto"/>
              <w:right w:val="single" w:sz="4" w:space="0" w:color="auto"/>
            </w:tcBorders>
            <w:shd w:val="clear" w:color="auto" w:fill="auto"/>
            <w:vAlign w:val="center"/>
            <w:hideMark/>
          </w:tcPr>
          <w:p w14:paraId="0600D8E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108.352,75</w:t>
            </w:r>
          </w:p>
        </w:tc>
      </w:tr>
      <w:tr w:rsidR="005D09BE" w:rsidRPr="00D44048" w14:paraId="3576C176"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20D2F902" w14:textId="77777777" w:rsidR="005D09BE" w:rsidRPr="00D44048"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58A7913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2º</w:t>
            </w:r>
          </w:p>
        </w:tc>
        <w:tc>
          <w:tcPr>
            <w:tcW w:w="1601" w:type="dxa"/>
            <w:tcBorders>
              <w:top w:val="nil"/>
              <w:left w:val="nil"/>
              <w:bottom w:val="single" w:sz="4" w:space="0" w:color="auto"/>
              <w:right w:val="single" w:sz="4" w:space="0" w:color="auto"/>
            </w:tcBorders>
            <w:shd w:val="clear" w:color="auto" w:fill="auto"/>
            <w:vAlign w:val="center"/>
            <w:hideMark/>
          </w:tcPr>
          <w:p w14:paraId="2F7B2D3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1,217</w:t>
            </w:r>
          </w:p>
        </w:tc>
        <w:tc>
          <w:tcPr>
            <w:tcW w:w="1264" w:type="dxa"/>
            <w:tcBorders>
              <w:top w:val="nil"/>
              <w:left w:val="nil"/>
              <w:bottom w:val="single" w:sz="4" w:space="0" w:color="auto"/>
              <w:right w:val="single" w:sz="4" w:space="0" w:color="auto"/>
            </w:tcBorders>
            <w:shd w:val="clear" w:color="auto" w:fill="auto"/>
            <w:vAlign w:val="center"/>
            <w:hideMark/>
          </w:tcPr>
          <w:p w14:paraId="2381A9D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0,217</w:t>
            </w:r>
          </w:p>
        </w:tc>
        <w:tc>
          <w:tcPr>
            <w:tcW w:w="1405" w:type="dxa"/>
            <w:tcBorders>
              <w:top w:val="nil"/>
              <w:left w:val="nil"/>
              <w:bottom w:val="single" w:sz="4" w:space="0" w:color="auto"/>
              <w:right w:val="single" w:sz="4" w:space="0" w:color="auto"/>
            </w:tcBorders>
            <w:shd w:val="clear" w:color="auto" w:fill="auto"/>
            <w:vAlign w:val="center"/>
            <w:hideMark/>
          </w:tcPr>
          <w:p w14:paraId="405C5173"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70.082,92</w:t>
            </w:r>
          </w:p>
        </w:tc>
        <w:tc>
          <w:tcPr>
            <w:tcW w:w="1264" w:type="dxa"/>
            <w:tcBorders>
              <w:top w:val="nil"/>
              <w:left w:val="nil"/>
              <w:bottom w:val="single" w:sz="4" w:space="0" w:color="auto"/>
              <w:right w:val="single" w:sz="4" w:space="0" w:color="auto"/>
            </w:tcBorders>
            <w:shd w:val="clear" w:color="auto" w:fill="auto"/>
            <w:vAlign w:val="center"/>
            <w:hideMark/>
          </w:tcPr>
          <w:p w14:paraId="30AD8E2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67,49</w:t>
            </w:r>
          </w:p>
        </w:tc>
        <w:tc>
          <w:tcPr>
            <w:tcW w:w="1264" w:type="dxa"/>
            <w:tcBorders>
              <w:top w:val="nil"/>
              <w:left w:val="nil"/>
              <w:bottom w:val="single" w:sz="4" w:space="0" w:color="auto"/>
              <w:right w:val="single" w:sz="4" w:space="0" w:color="auto"/>
            </w:tcBorders>
            <w:shd w:val="clear" w:color="auto" w:fill="auto"/>
            <w:vAlign w:val="center"/>
            <w:hideMark/>
          </w:tcPr>
          <w:p w14:paraId="0D33652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13.876,05</w:t>
            </w:r>
          </w:p>
        </w:tc>
        <w:tc>
          <w:tcPr>
            <w:tcW w:w="1436" w:type="dxa"/>
            <w:tcBorders>
              <w:top w:val="nil"/>
              <w:left w:val="nil"/>
              <w:bottom w:val="single" w:sz="4" w:space="0" w:color="auto"/>
              <w:right w:val="single" w:sz="4" w:space="0" w:color="auto"/>
            </w:tcBorders>
            <w:shd w:val="clear" w:color="auto" w:fill="auto"/>
            <w:vAlign w:val="center"/>
            <w:hideMark/>
          </w:tcPr>
          <w:p w14:paraId="07BC741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13,36</w:t>
            </w:r>
          </w:p>
        </w:tc>
        <w:tc>
          <w:tcPr>
            <w:tcW w:w="1190" w:type="dxa"/>
            <w:tcBorders>
              <w:top w:val="nil"/>
              <w:left w:val="nil"/>
              <w:bottom w:val="single" w:sz="4" w:space="0" w:color="auto"/>
              <w:right w:val="single" w:sz="4" w:space="0" w:color="auto"/>
            </w:tcBorders>
            <w:shd w:val="clear" w:color="auto" w:fill="auto"/>
            <w:vAlign w:val="center"/>
            <w:hideMark/>
          </w:tcPr>
          <w:p w14:paraId="63BE77E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19.886,54</w:t>
            </w:r>
          </w:p>
        </w:tc>
        <w:tc>
          <w:tcPr>
            <w:tcW w:w="1182" w:type="dxa"/>
            <w:tcBorders>
              <w:top w:val="nil"/>
              <w:left w:val="nil"/>
              <w:bottom w:val="single" w:sz="4" w:space="0" w:color="auto"/>
              <w:right w:val="single" w:sz="4" w:space="0" w:color="auto"/>
            </w:tcBorders>
            <w:shd w:val="clear" w:color="auto" w:fill="auto"/>
            <w:vAlign w:val="center"/>
            <w:hideMark/>
          </w:tcPr>
          <w:p w14:paraId="1D0B1285"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19,15</w:t>
            </w:r>
          </w:p>
        </w:tc>
        <w:tc>
          <w:tcPr>
            <w:tcW w:w="1215" w:type="dxa"/>
            <w:tcBorders>
              <w:top w:val="nil"/>
              <w:left w:val="nil"/>
              <w:bottom w:val="single" w:sz="4" w:space="0" w:color="auto"/>
              <w:right w:val="single" w:sz="4" w:space="0" w:color="auto"/>
            </w:tcBorders>
            <w:shd w:val="clear" w:color="auto" w:fill="auto"/>
            <w:vAlign w:val="center"/>
            <w:hideMark/>
          </w:tcPr>
          <w:p w14:paraId="4CD228D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103.845,51</w:t>
            </w:r>
          </w:p>
        </w:tc>
      </w:tr>
      <w:tr w:rsidR="005D09BE" w:rsidRPr="00D44048" w14:paraId="3335782B"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27E8AC87" w14:textId="77777777" w:rsidR="005D09BE" w:rsidRPr="00D44048" w:rsidRDefault="005D09BE" w:rsidP="00F4450D">
            <w:pPr>
              <w:jc w:val="both"/>
              <w:rPr>
                <w:rFonts w:ascii="Arial" w:hAnsi="Arial" w:cs="Arial"/>
                <w:sz w:val="16"/>
                <w:szCs w:val="16"/>
              </w:rPr>
            </w:pPr>
            <w:r w:rsidRPr="00D44048">
              <w:rPr>
                <w:rFonts w:ascii="Arial" w:hAnsi="Arial" w:cs="Arial"/>
                <w:sz w:val="16"/>
                <w:szCs w:val="16"/>
              </w:rPr>
              <w:t>2- C.F.S. MANTENIMIENTO ELECTRÓNICO</w:t>
            </w:r>
          </w:p>
        </w:tc>
        <w:tc>
          <w:tcPr>
            <w:tcW w:w="878" w:type="dxa"/>
            <w:tcBorders>
              <w:top w:val="nil"/>
              <w:left w:val="nil"/>
              <w:bottom w:val="single" w:sz="4" w:space="0" w:color="auto"/>
              <w:right w:val="single" w:sz="4" w:space="0" w:color="auto"/>
            </w:tcBorders>
            <w:shd w:val="clear" w:color="auto" w:fill="auto"/>
            <w:vAlign w:val="center"/>
            <w:hideMark/>
          </w:tcPr>
          <w:p w14:paraId="242F76A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1º</w:t>
            </w:r>
          </w:p>
        </w:tc>
        <w:tc>
          <w:tcPr>
            <w:tcW w:w="1601" w:type="dxa"/>
            <w:tcBorders>
              <w:top w:val="nil"/>
              <w:left w:val="nil"/>
              <w:bottom w:val="single" w:sz="4" w:space="0" w:color="auto"/>
              <w:right w:val="single" w:sz="4" w:space="0" w:color="auto"/>
            </w:tcBorders>
            <w:shd w:val="clear" w:color="auto" w:fill="auto"/>
            <w:vAlign w:val="center"/>
            <w:hideMark/>
          </w:tcPr>
          <w:p w14:paraId="4BE7ED0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1,435</w:t>
            </w:r>
          </w:p>
        </w:tc>
        <w:tc>
          <w:tcPr>
            <w:tcW w:w="1264" w:type="dxa"/>
            <w:tcBorders>
              <w:top w:val="nil"/>
              <w:left w:val="nil"/>
              <w:bottom w:val="single" w:sz="4" w:space="0" w:color="auto"/>
              <w:right w:val="single" w:sz="4" w:space="0" w:color="auto"/>
            </w:tcBorders>
            <w:shd w:val="clear" w:color="auto" w:fill="auto"/>
            <w:vAlign w:val="center"/>
            <w:hideMark/>
          </w:tcPr>
          <w:p w14:paraId="1B7D629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0,261</w:t>
            </w:r>
          </w:p>
        </w:tc>
        <w:tc>
          <w:tcPr>
            <w:tcW w:w="1405" w:type="dxa"/>
            <w:tcBorders>
              <w:top w:val="nil"/>
              <w:left w:val="nil"/>
              <w:bottom w:val="single" w:sz="4" w:space="0" w:color="auto"/>
              <w:right w:val="single" w:sz="4" w:space="0" w:color="auto"/>
            </w:tcBorders>
            <w:shd w:val="clear" w:color="auto" w:fill="auto"/>
            <w:vAlign w:val="center"/>
            <w:hideMark/>
          </w:tcPr>
          <w:p w14:paraId="343BF90C"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82.869,14</w:t>
            </w:r>
          </w:p>
        </w:tc>
        <w:tc>
          <w:tcPr>
            <w:tcW w:w="1264" w:type="dxa"/>
            <w:tcBorders>
              <w:top w:val="nil"/>
              <w:left w:val="nil"/>
              <w:bottom w:val="single" w:sz="4" w:space="0" w:color="auto"/>
              <w:right w:val="single" w:sz="4" w:space="0" w:color="auto"/>
            </w:tcBorders>
            <w:shd w:val="clear" w:color="auto" w:fill="auto"/>
            <w:vAlign w:val="center"/>
            <w:hideMark/>
          </w:tcPr>
          <w:p w14:paraId="7BCE120E"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65,29</w:t>
            </w:r>
          </w:p>
        </w:tc>
        <w:tc>
          <w:tcPr>
            <w:tcW w:w="1264" w:type="dxa"/>
            <w:tcBorders>
              <w:top w:val="nil"/>
              <w:left w:val="nil"/>
              <w:bottom w:val="single" w:sz="4" w:space="0" w:color="auto"/>
              <w:right w:val="single" w:sz="4" w:space="0" w:color="auto"/>
            </w:tcBorders>
            <w:shd w:val="clear" w:color="auto" w:fill="auto"/>
            <w:vAlign w:val="center"/>
            <w:hideMark/>
          </w:tcPr>
          <w:p w14:paraId="2B9794FA"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16.393,50</w:t>
            </w:r>
          </w:p>
        </w:tc>
        <w:tc>
          <w:tcPr>
            <w:tcW w:w="1436" w:type="dxa"/>
            <w:tcBorders>
              <w:top w:val="nil"/>
              <w:left w:val="nil"/>
              <w:bottom w:val="single" w:sz="4" w:space="0" w:color="auto"/>
              <w:right w:val="single" w:sz="4" w:space="0" w:color="auto"/>
            </w:tcBorders>
            <w:shd w:val="clear" w:color="auto" w:fill="auto"/>
            <w:vAlign w:val="center"/>
            <w:hideMark/>
          </w:tcPr>
          <w:p w14:paraId="713B184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12,92</w:t>
            </w:r>
          </w:p>
        </w:tc>
        <w:tc>
          <w:tcPr>
            <w:tcW w:w="1190" w:type="dxa"/>
            <w:tcBorders>
              <w:top w:val="nil"/>
              <w:left w:val="nil"/>
              <w:bottom w:val="single" w:sz="4" w:space="0" w:color="auto"/>
              <w:right w:val="single" w:sz="4" w:space="0" w:color="auto"/>
            </w:tcBorders>
            <w:shd w:val="clear" w:color="auto" w:fill="auto"/>
            <w:vAlign w:val="center"/>
            <w:hideMark/>
          </w:tcPr>
          <w:p w14:paraId="031E62D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27.664,14</w:t>
            </w:r>
          </w:p>
        </w:tc>
        <w:tc>
          <w:tcPr>
            <w:tcW w:w="1182" w:type="dxa"/>
            <w:tcBorders>
              <w:top w:val="nil"/>
              <w:left w:val="nil"/>
              <w:bottom w:val="single" w:sz="4" w:space="0" w:color="auto"/>
              <w:right w:val="single" w:sz="4" w:space="0" w:color="auto"/>
            </w:tcBorders>
            <w:shd w:val="clear" w:color="auto" w:fill="auto"/>
            <w:vAlign w:val="center"/>
            <w:hideMark/>
          </w:tcPr>
          <w:p w14:paraId="3FC3657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21,79</w:t>
            </w:r>
          </w:p>
        </w:tc>
        <w:tc>
          <w:tcPr>
            <w:tcW w:w="1215" w:type="dxa"/>
            <w:tcBorders>
              <w:top w:val="nil"/>
              <w:left w:val="nil"/>
              <w:bottom w:val="single" w:sz="4" w:space="0" w:color="auto"/>
              <w:right w:val="single" w:sz="4" w:space="0" w:color="auto"/>
            </w:tcBorders>
            <w:shd w:val="clear" w:color="auto" w:fill="auto"/>
            <w:vAlign w:val="center"/>
            <w:hideMark/>
          </w:tcPr>
          <w:p w14:paraId="4618746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126.926,78</w:t>
            </w:r>
          </w:p>
        </w:tc>
      </w:tr>
      <w:tr w:rsidR="005D09BE" w:rsidRPr="00D44048" w14:paraId="4449026C"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254FD5AD" w14:textId="77777777" w:rsidR="005D09BE" w:rsidRPr="00D44048"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02C50F5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2º</w:t>
            </w:r>
          </w:p>
        </w:tc>
        <w:tc>
          <w:tcPr>
            <w:tcW w:w="1601" w:type="dxa"/>
            <w:tcBorders>
              <w:top w:val="nil"/>
              <w:left w:val="nil"/>
              <w:bottom w:val="single" w:sz="4" w:space="0" w:color="auto"/>
              <w:right w:val="single" w:sz="4" w:space="0" w:color="auto"/>
            </w:tcBorders>
            <w:shd w:val="clear" w:color="auto" w:fill="auto"/>
            <w:vAlign w:val="center"/>
            <w:hideMark/>
          </w:tcPr>
          <w:p w14:paraId="5CEA26A4"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0,87</w:t>
            </w:r>
          </w:p>
        </w:tc>
        <w:tc>
          <w:tcPr>
            <w:tcW w:w="1264" w:type="dxa"/>
            <w:tcBorders>
              <w:top w:val="nil"/>
              <w:left w:val="nil"/>
              <w:bottom w:val="single" w:sz="4" w:space="0" w:color="auto"/>
              <w:right w:val="single" w:sz="4" w:space="0" w:color="auto"/>
            </w:tcBorders>
            <w:shd w:val="clear" w:color="auto" w:fill="auto"/>
            <w:vAlign w:val="center"/>
            <w:hideMark/>
          </w:tcPr>
          <w:p w14:paraId="1DD9379A"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0,717</w:t>
            </w:r>
          </w:p>
        </w:tc>
        <w:tc>
          <w:tcPr>
            <w:tcW w:w="1405" w:type="dxa"/>
            <w:tcBorders>
              <w:top w:val="nil"/>
              <w:left w:val="nil"/>
              <w:bottom w:val="single" w:sz="4" w:space="0" w:color="auto"/>
              <w:right w:val="single" w:sz="4" w:space="0" w:color="auto"/>
            </w:tcBorders>
            <w:shd w:val="clear" w:color="auto" w:fill="auto"/>
            <w:vAlign w:val="center"/>
            <w:hideMark/>
          </w:tcPr>
          <w:p w14:paraId="3136C725"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75.552,50</w:t>
            </w:r>
          </w:p>
        </w:tc>
        <w:tc>
          <w:tcPr>
            <w:tcW w:w="1264" w:type="dxa"/>
            <w:tcBorders>
              <w:top w:val="nil"/>
              <w:left w:val="nil"/>
              <w:bottom w:val="single" w:sz="4" w:space="0" w:color="auto"/>
              <w:right w:val="single" w:sz="4" w:space="0" w:color="auto"/>
            </w:tcBorders>
            <w:shd w:val="clear" w:color="auto" w:fill="auto"/>
            <w:vAlign w:val="center"/>
            <w:hideMark/>
          </w:tcPr>
          <w:p w14:paraId="1D8292C3"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63,87</w:t>
            </w:r>
          </w:p>
        </w:tc>
        <w:tc>
          <w:tcPr>
            <w:tcW w:w="1264" w:type="dxa"/>
            <w:tcBorders>
              <w:top w:val="nil"/>
              <w:left w:val="nil"/>
              <w:bottom w:val="single" w:sz="4" w:space="0" w:color="auto"/>
              <w:right w:val="single" w:sz="4" w:space="0" w:color="auto"/>
            </w:tcBorders>
            <w:shd w:val="clear" w:color="auto" w:fill="auto"/>
            <w:vAlign w:val="center"/>
            <w:hideMark/>
          </w:tcPr>
          <w:p w14:paraId="3544FEC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15.080,43</w:t>
            </w:r>
          </w:p>
        </w:tc>
        <w:tc>
          <w:tcPr>
            <w:tcW w:w="1436" w:type="dxa"/>
            <w:tcBorders>
              <w:top w:val="nil"/>
              <w:left w:val="nil"/>
              <w:bottom w:val="single" w:sz="4" w:space="0" w:color="auto"/>
              <w:right w:val="single" w:sz="4" w:space="0" w:color="auto"/>
            </w:tcBorders>
            <w:shd w:val="clear" w:color="auto" w:fill="auto"/>
            <w:vAlign w:val="center"/>
            <w:hideMark/>
          </w:tcPr>
          <w:p w14:paraId="32EF247C"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12,75</w:t>
            </w:r>
          </w:p>
        </w:tc>
        <w:tc>
          <w:tcPr>
            <w:tcW w:w="1190" w:type="dxa"/>
            <w:tcBorders>
              <w:top w:val="nil"/>
              <w:left w:val="nil"/>
              <w:bottom w:val="single" w:sz="4" w:space="0" w:color="auto"/>
              <w:right w:val="single" w:sz="4" w:space="0" w:color="auto"/>
            </w:tcBorders>
            <w:shd w:val="clear" w:color="auto" w:fill="auto"/>
            <w:vAlign w:val="center"/>
            <w:hideMark/>
          </w:tcPr>
          <w:p w14:paraId="1B577D1E"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27.664,14</w:t>
            </w:r>
          </w:p>
        </w:tc>
        <w:tc>
          <w:tcPr>
            <w:tcW w:w="1182" w:type="dxa"/>
            <w:tcBorders>
              <w:top w:val="nil"/>
              <w:left w:val="nil"/>
              <w:bottom w:val="single" w:sz="4" w:space="0" w:color="auto"/>
              <w:right w:val="single" w:sz="4" w:space="0" w:color="auto"/>
            </w:tcBorders>
            <w:shd w:val="clear" w:color="auto" w:fill="auto"/>
            <w:vAlign w:val="center"/>
            <w:hideMark/>
          </w:tcPr>
          <w:p w14:paraId="0667BA1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23,38</w:t>
            </w:r>
          </w:p>
        </w:tc>
        <w:tc>
          <w:tcPr>
            <w:tcW w:w="1215" w:type="dxa"/>
            <w:tcBorders>
              <w:top w:val="nil"/>
              <w:left w:val="nil"/>
              <w:bottom w:val="single" w:sz="4" w:space="0" w:color="auto"/>
              <w:right w:val="single" w:sz="4" w:space="0" w:color="auto"/>
            </w:tcBorders>
            <w:shd w:val="clear" w:color="auto" w:fill="auto"/>
            <w:vAlign w:val="center"/>
            <w:hideMark/>
          </w:tcPr>
          <w:p w14:paraId="545B0E86"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118.297,07</w:t>
            </w:r>
          </w:p>
        </w:tc>
      </w:tr>
      <w:tr w:rsidR="005D09BE" w:rsidRPr="00D44048" w14:paraId="1A9D3857"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3FEEB79C" w14:textId="77777777" w:rsidR="005D09BE" w:rsidRPr="00D44048" w:rsidRDefault="005D09BE" w:rsidP="00F4450D">
            <w:pPr>
              <w:jc w:val="both"/>
              <w:rPr>
                <w:rFonts w:ascii="Arial" w:hAnsi="Arial" w:cs="Arial"/>
                <w:sz w:val="16"/>
                <w:szCs w:val="16"/>
              </w:rPr>
            </w:pPr>
            <w:r w:rsidRPr="00D44048">
              <w:rPr>
                <w:rFonts w:ascii="Arial" w:hAnsi="Arial" w:cs="Arial"/>
                <w:sz w:val="16"/>
                <w:szCs w:val="16"/>
              </w:rPr>
              <w:t>3-C.F.S. ADMINISTRACION Y FINANZAS</w:t>
            </w:r>
          </w:p>
        </w:tc>
        <w:tc>
          <w:tcPr>
            <w:tcW w:w="878" w:type="dxa"/>
            <w:tcBorders>
              <w:top w:val="nil"/>
              <w:left w:val="nil"/>
              <w:bottom w:val="single" w:sz="4" w:space="0" w:color="auto"/>
              <w:right w:val="single" w:sz="4" w:space="0" w:color="auto"/>
            </w:tcBorders>
            <w:shd w:val="clear" w:color="auto" w:fill="auto"/>
            <w:vAlign w:val="center"/>
            <w:hideMark/>
          </w:tcPr>
          <w:p w14:paraId="4406B55C"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1º</w:t>
            </w:r>
          </w:p>
        </w:tc>
        <w:tc>
          <w:tcPr>
            <w:tcW w:w="1601" w:type="dxa"/>
            <w:tcBorders>
              <w:top w:val="nil"/>
              <w:left w:val="nil"/>
              <w:bottom w:val="single" w:sz="4" w:space="0" w:color="auto"/>
              <w:right w:val="single" w:sz="4" w:space="0" w:color="auto"/>
            </w:tcBorders>
            <w:shd w:val="clear" w:color="auto" w:fill="auto"/>
            <w:vAlign w:val="center"/>
            <w:hideMark/>
          </w:tcPr>
          <w:p w14:paraId="50687485"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0,87</w:t>
            </w:r>
          </w:p>
        </w:tc>
        <w:tc>
          <w:tcPr>
            <w:tcW w:w="1264" w:type="dxa"/>
            <w:tcBorders>
              <w:top w:val="nil"/>
              <w:left w:val="nil"/>
              <w:bottom w:val="single" w:sz="4" w:space="0" w:color="auto"/>
              <w:right w:val="single" w:sz="4" w:space="0" w:color="auto"/>
            </w:tcBorders>
            <w:shd w:val="clear" w:color="auto" w:fill="auto"/>
            <w:vAlign w:val="center"/>
            <w:hideMark/>
          </w:tcPr>
          <w:p w14:paraId="524AF3F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0,522</w:t>
            </w:r>
          </w:p>
        </w:tc>
        <w:tc>
          <w:tcPr>
            <w:tcW w:w="1405" w:type="dxa"/>
            <w:tcBorders>
              <w:top w:val="nil"/>
              <w:left w:val="nil"/>
              <w:bottom w:val="single" w:sz="4" w:space="0" w:color="auto"/>
              <w:right w:val="single" w:sz="4" w:space="0" w:color="auto"/>
            </w:tcBorders>
            <w:shd w:val="clear" w:color="auto" w:fill="auto"/>
            <w:vAlign w:val="center"/>
            <w:hideMark/>
          </w:tcPr>
          <w:p w14:paraId="207D7EC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66.719,24</w:t>
            </w:r>
          </w:p>
        </w:tc>
        <w:tc>
          <w:tcPr>
            <w:tcW w:w="1264" w:type="dxa"/>
            <w:tcBorders>
              <w:top w:val="nil"/>
              <w:left w:val="nil"/>
              <w:bottom w:val="single" w:sz="4" w:space="0" w:color="auto"/>
              <w:right w:val="single" w:sz="4" w:space="0" w:color="auto"/>
            </w:tcBorders>
            <w:shd w:val="clear" w:color="auto" w:fill="auto"/>
            <w:vAlign w:val="center"/>
            <w:hideMark/>
          </w:tcPr>
          <w:p w14:paraId="097484EA"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65,92</w:t>
            </w:r>
          </w:p>
        </w:tc>
        <w:tc>
          <w:tcPr>
            <w:tcW w:w="1264" w:type="dxa"/>
            <w:tcBorders>
              <w:top w:val="nil"/>
              <w:left w:val="nil"/>
              <w:bottom w:val="single" w:sz="4" w:space="0" w:color="auto"/>
              <w:right w:val="single" w:sz="4" w:space="0" w:color="auto"/>
            </w:tcBorders>
            <w:shd w:val="clear" w:color="auto" w:fill="auto"/>
            <w:vAlign w:val="center"/>
            <w:hideMark/>
          </w:tcPr>
          <w:p w14:paraId="561BAD7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13.500,65</w:t>
            </w:r>
          </w:p>
        </w:tc>
        <w:tc>
          <w:tcPr>
            <w:tcW w:w="1436" w:type="dxa"/>
            <w:tcBorders>
              <w:top w:val="nil"/>
              <w:left w:val="nil"/>
              <w:bottom w:val="single" w:sz="4" w:space="0" w:color="auto"/>
              <w:right w:val="single" w:sz="4" w:space="0" w:color="auto"/>
            </w:tcBorders>
            <w:shd w:val="clear" w:color="auto" w:fill="auto"/>
            <w:vAlign w:val="center"/>
            <w:hideMark/>
          </w:tcPr>
          <w:p w14:paraId="7EDAB1BA"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13,34</w:t>
            </w:r>
          </w:p>
        </w:tc>
        <w:tc>
          <w:tcPr>
            <w:tcW w:w="1190" w:type="dxa"/>
            <w:tcBorders>
              <w:top w:val="nil"/>
              <w:left w:val="nil"/>
              <w:bottom w:val="single" w:sz="4" w:space="0" w:color="auto"/>
              <w:right w:val="single" w:sz="4" w:space="0" w:color="auto"/>
            </w:tcBorders>
            <w:shd w:val="clear" w:color="auto" w:fill="auto"/>
            <w:vAlign w:val="center"/>
            <w:hideMark/>
          </w:tcPr>
          <w:p w14:paraId="26E1244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20.994,94</w:t>
            </w:r>
          </w:p>
        </w:tc>
        <w:tc>
          <w:tcPr>
            <w:tcW w:w="1182" w:type="dxa"/>
            <w:tcBorders>
              <w:top w:val="nil"/>
              <w:left w:val="nil"/>
              <w:bottom w:val="single" w:sz="4" w:space="0" w:color="auto"/>
              <w:right w:val="single" w:sz="4" w:space="0" w:color="auto"/>
            </w:tcBorders>
            <w:shd w:val="clear" w:color="auto" w:fill="auto"/>
            <w:vAlign w:val="center"/>
            <w:hideMark/>
          </w:tcPr>
          <w:p w14:paraId="263AA85E"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20,74</w:t>
            </w:r>
          </w:p>
        </w:tc>
        <w:tc>
          <w:tcPr>
            <w:tcW w:w="1215" w:type="dxa"/>
            <w:tcBorders>
              <w:top w:val="nil"/>
              <w:left w:val="nil"/>
              <w:bottom w:val="single" w:sz="4" w:space="0" w:color="auto"/>
              <w:right w:val="single" w:sz="4" w:space="0" w:color="auto"/>
            </w:tcBorders>
            <w:shd w:val="clear" w:color="auto" w:fill="auto"/>
            <w:vAlign w:val="center"/>
            <w:hideMark/>
          </w:tcPr>
          <w:p w14:paraId="3359E46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101.214,83</w:t>
            </w:r>
          </w:p>
        </w:tc>
      </w:tr>
      <w:tr w:rsidR="005D09BE" w:rsidRPr="00D44048" w14:paraId="721D5F61"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1C87160F" w14:textId="77777777" w:rsidR="005D09BE" w:rsidRPr="00D44048"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0565F6A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2º</w:t>
            </w:r>
          </w:p>
        </w:tc>
        <w:tc>
          <w:tcPr>
            <w:tcW w:w="1601" w:type="dxa"/>
            <w:tcBorders>
              <w:top w:val="nil"/>
              <w:left w:val="nil"/>
              <w:bottom w:val="single" w:sz="4" w:space="0" w:color="auto"/>
              <w:right w:val="single" w:sz="4" w:space="0" w:color="auto"/>
            </w:tcBorders>
            <w:shd w:val="clear" w:color="auto" w:fill="auto"/>
            <w:vAlign w:val="center"/>
            <w:hideMark/>
          </w:tcPr>
          <w:p w14:paraId="33B2FBF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1,348</w:t>
            </w:r>
          </w:p>
        </w:tc>
        <w:tc>
          <w:tcPr>
            <w:tcW w:w="1264" w:type="dxa"/>
            <w:tcBorders>
              <w:top w:val="nil"/>
              <w:left w:val="nil"/>
              <w:bottom w:val="single" w:sz="4" w:space="0" w:color="auto"/>
              <w:right w:val="single" w:sz="4" w:space="0" w:color="auto"/>
            </w:tcBorders>
            <w:shd w:val="clear" w:color="auto" w:fill="auto"/>
            <w:vAlign w:val="center"/>
            <w:hideMark/>
          </w:tcPr>
          <w:p w14:paraId="74781FA5"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0,13</w:t>
            </w:r>
          </w:p>
        </w:tc>
        <w:tc>
          <w:tcPr>
            <w:tcW w:w="1405" w:type="dxa"/>
            <w:tcBorders>
              <w:top w:val="nil"/>
              <w:left w:val="nil"/>
              <w:bottom w:val="single" w:sz="4" w:space="0" w:color="auto"/>
              <w:right w:val="single" w:sz="4" w:space="0" w:color="auto"/>
            </w:tcBorders>
            <w:shd w:val="clear" w:color="auto" w:fill="auto"/>
            <w:vAlign w:val="center"/>
            <w:hideMark/>
          </w:tcPr>
          <w:p w14:paraId="3F62E7A4"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72.627,68</w:t>
            </w:r>
          </w:p>
        </w:tc>
        <w:tc>
          <w:tcPr>
            <w:tcW w:w="1264" w:type="dxa"/>
            <w:tcBorders>
              <w:top w:val="nil"/>
              <w:left w:val="nil"/>
              <w:bottom w:val="single" w:sz="4" w:space="0" w:color="auto"/>
              <w:right w:val="single" w:sz="4" w:space="0" w:color="auto"/>
            </w:tcBorders>
            <w:shd w:val="clear" w:color="auto" w:fill="auto"/>
            <w:vAlign w:val="center"/>
            <w:hideMark/>
          </w:tcPr>
          <w:p w14:paraId="505D4B3B"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67,34</w:t>
            </w:r>
          </w:p>
        </w:tc>
        <w:tc>
          <w:tcPr>
            <w:tcW w:w="1264" w:type="dxa"/>
            <w:tcBorders>
              <w:top w:val="nil"/>
              <w:left w:val="nil"/>
              <w:bottom w:val="single" w:sz="4" w:space="0" w:color="auto"/>
              <w:right w:val="single" w:sz="4" w:space="0" w:color="auto"/>
            </w:tcBorders>
            <w:shd w:val="clear" w:color="auto" w:fill="auto"/>
            <w:vAlign w:val="center"/>
            <w:hideMark/>
          </w:tcPr>
          <w:p w14:paraId="261BE94E"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14.237,16</w:t>
            </w:r>
          </w:p>
        </w:tc>
        <w:tc>
          <w:tcPr>
            <w:tcW w:w="1436" w:type="dxa"/>
            <w:tcBorders>
              <w:top w:val="nil"/>
              <w:left w:val="nil"/>
              <w:bottom w:val="single" w:sz="4" w:space="0" w:color="auto"/>
              <w:right w:val="single" w:sz="4" w:space="0" w:color="auto"/>
            </w:tcBorders>
            <w:shd w:val="clear" w:color="auto" w:fill="auto"/>
            <w:vAlign w:val="center"/>
            <w:hideMark/>
          </w:tcPr>
          <w:p w14:paraId="17D22B2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13,20</w:t>
            </w:r>
          </w:p>
        </w:tc>
        <w:tc>
          <w:tcPr>
            <w:tcW w:w="1190" w:type="dxa"/>
            <w:tcBorders>
              <w:top w:val="nil"/>
              <w:left w:val="nil"/>
              <w:bottom w:val="single" w:sz="4" w:space="0" w:color="auto"/>
              <w:right w:val="single" w:sz="4" w:space="0" w:color="auto"/>
            </w:tcBorders>
            <w:shd w:val="clear" w:color="auto" w:fill="auto"/>
            <w:vAlign w:val="center"/>
            <w:hideMark/>
          </w:tcPr>
          <w:p w14:paraId="74CD6A0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20.994,94</w:t>
            </w:r>
          </w:p>
        </w:tc>
        <w:tc>
          <w:tcPr>
            <w:tcW w:w="1182" w:type="dxa"/>
            <w:tcBorders>
              <w:top w:val="nil"/>
              <w:left w:val="nil"/>
              <w:bottom w:val="single" w:sz="4" w:space="0" w:color="auto"/>
              <w:right w:val="single" w:sz="4" w:space="0" w:color="auto"/>
            </w:tcBorders>
            <w:shd w:val="clear" w:color="auto" w:fill="auto"/>
            <w:vAlign w:val="center"/>
            <w:hideMark/>
          </w:tcPr>
          <w:p w14:paraId="07687A1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19,46</w:t>
            </w:r>
          </w:p>
        </w:tc>
        <w:tc>
          <w:tcPr>
            <w:tcW w:w="1215" w:type="dxa"/>
            <w:tcBorders>
              <w:top w:val="nil"/>
              <w:left w:val="nil"/>
              <w:bottom w:val="single" w:sz="4" w:space="0" w:color="auto"/>
              <w:right w:val="single" w:sz="4" w:space="0" w:color="auto"/>
            </w:tcBorders>
            <w:shd w:val="clear" w:color="auto" w:fill="auto"/>
            <w:vAlign w:val="center"/>
            <w:hideMark/>
          </w:tcPr>
          <w:p w14:paraId="4E21649B"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107.859,78</w:t>
            </w:r>
          </w:p>
        </w:tc>
      </w:tr>
      <w:tr w:rsidR="005D09BE" w:rsidRPr="00D44048" w14:paraId="4A11688B"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6BE0FA9B" w14:textId="77777777" w:rsidR="005D09BE" w:rsidRPr="00D44048" w:rsidRDefault="005D09BE" w:rsidP="00F4450D">
            <w:pPr>
              <w:jc w:val="both"/>
              <w:rPr>
                <w:rFonts w:ascii="Arial" w:hAnsi="Arial" w:cs="Arial"/>
                <w:sz w:val="16"/>
                <w:szCs w:val="16"/>
              </w:rPr>
            </w:pPr>
            <w:r w:rsidRPr="00D44048">
              <w:rPr>
                <w:rFonts w:ascii="Arial" w:hAnsi="Arial" w:cs="Arial"/>
                <w:sz w:val="16"/>
                <w:szCs w:val="16"/>
              </w:rPr>
              <w:t>4-C.F.S. EDUCACIÓN INFANTIL (LOE)</w:t>
            </w:r>
          </w:p>
        </w:tc>
        <w:tc>
          <w:tcPr>
            <w:tcW w:w="878" w:type="dxa"/>
            <w:tcBorders>
              <w:top w:val="nil"/>
              <w:left w:val="nil"/>
              <w:bottom w:val="single" w:sz="4" w:space="0" w:color="auto"/>
              <w:right w:val="single" w:sz="4" w:space="0" w:color="auto"/>
            </w:tcBorders>
            <w:shd w:val="clear" w:color="auto" w:fill="auto"/>
            <w:vAlign w:val="center"/>
            <w:hideMark/>
          </w:tcPr>
          <w:p w14:paraId="30FAFB94"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1º</w:t>
            </w:r>
          </w:p>
        </w:tc>
        <w:tc>
          <w:tcPr>
            <w:tcW w:w="1601" w:type="dxa"/>
            <w:tcBorders>
              <w:top w:val="nil"/>
              <w:left w:val="nil"/>
              <w:bottom w:val="single" w:sz="4" w:space="0" w:color="auto"/>
              <w:right w:val="single" w:sz="4" w:space="0" w:color="auto"/>
            </w:tcBorders>
            <w:shd w:val="clear" w:color="auto" w:fill="auto"/>
            <w:vAlign w:val="center"/>
            <w:hideMark/>
          </w:tcPr>
          <w:p w14:paraId="27922C9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0,913</w:t>
            </w:r>
          </w:p>
        </w:tc>
        <w:tc>
          <w:tcPr>
            <w:tcW w:w="1264" w:type="dxa"/>
            <w:tcBorders>
              <w:top w:val="nil"/>
              <w:left w:val="nil"/>
              <w:bottom w:val="single" w:sz="4" w:space="0" w:color="auto"/>
              <w:right w:val="single" w:sz="4" w:space="0" w:color="auto"/>
            </w:tcBorders>
            <w:shd w:val="clear" w:color="auto" w:fill="auto"/>
            <w:vAlign w:val="center"/>
            <w:hideMark/>
          </w:tcPr>
          <w:p w14:paraId="2DC47B5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0,739</w:t>
            </w:r>
          </w:p>
        </w:tc>
        <w:tc>
          <w:tcPr>
            <w:tcW w:w="1405" w:type="dxa"/>
            <w:tcBorders>
              <w:top w:val="nil"/>
              <w:left w:val="nil"/>
              <w:bottom w:val="single" w:sz="4" w:space="0" w:color="auto"/>
              <w:right w:val="single" w:sz="4" w:space="0" w:color="auto"/>
            </w:tcBorders>
            <w:shd w:val="clear" w:color="auto" w:fill="auto"/>
            <w:vAlign w:val="center"/>
            <w:hideMark/>
          </w:tcPr>
          <w:p w14:paraId="65BB6E3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78.677,98</w:t>
            </w:r>
          </w:p>
        </w:tc>
        <w:tc>
          <w:tcPr>
            <w:tcW w:w="1264" w:type="dxa"/>
            <w:tcBorders>
              <w:top w:val="nil"/>
              <w:left w:val="nil"/>
              <w:bottom w:val="single" w:sz="4" w:space="0" w:color="auto"/>
              <w:right w:val="single" w:sz="4" w:space="0" w:color="auto"/>
            </w:tcBorders>
            <w:shd w:val="clear" w:color="auto" w:fill="auto"/>
            <w:vAlign w:val="center"/>
            <w:hideMark/>
          </w:tcPr>
          <w:p w14:paraId="62806974"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69,00</w:t>
            </w:r>
          </w:p>
        </w:tc>
        <w:tc>
          <w:tcPr>
            <w:tcW w:w="1264" w:type="dxa"/>
            <w:tcBorders>
              <w:top w:val="nil"/>
              <w:left w:val="nil"/>
              <w:bottom w:val="single" w:sz="4" w:space="0" w:color="auto"/>
              <w:right w:val="single" w:sz="4" w:space="0" w:color="auto"/>
            </w:tcBorders>
            <w:shd w:val="clear" w:color="auto" w:fill="auto"/>
            <w:vAlign w:val="center"/>
            <w:hideMark/>
          </w:tcPr>
          <w:p w14:paraId="735A84CB"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15.403,46</w:t>
            </w:r>
          </w:p>
        </w:tc>
        <w:tc>
          <w:tcPr>
            <w:tcW w:w="1436" w:type="dxa"/>
            <w:tcBorders>
              <w:top w:val="nil"/>
              <w:left w:val="nil"/>
              <w:bottom w:val="single" w:sz="4" w:space="0" w:color="auto"/>
              <w:right w:val="single" w:sz="4" w:space="0" w:color="auto"/>
            </w:tcBorders>
            <w:shd w:val="clear" w:color="auto" w:fill="auto"/>
            <w:vAlign w:val="center"/>
            <w:hideMark/>
          </w:tcPr>
          <w:p w14:paraId="72A5510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13,51</w:t>
            </w:r>
          </w:p>
        </w:tc>
        <w:tc>
          <w:tcPr>
            <w:tcW w:w="1190" w:type="dxa"/>
            <w:tcBorders>
              <w:top w:val="nil"/>
              <w:left w:val="nil"/>
              <w:bottom w:val="single" w:sz="4" w:space="0" w:color="auto"/>
              <w:right w:val="single" w:sz="4" w:space="0" w:color="auto"/>
            </w:tcBorders>
            <w:shd w:val="clear" w:color="auto" w:fill="auto"/>
            <w:vAlign w:val="center"/>
            <w:hideMark/>
          </w:tcPr>
          <w:p w14:paraId="4B22B8A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19.949,86</w:t>
            </w:r>
          </w:p>
        </w:tc>
        <w:tc>
          <w:tcPr>
            <w:tcW w:w="1182" w:type="dxa"/>
            <w:tcBorders>
              <w:top w:val="nil"/>
              <w:left w:val="nil"/>
              <w:bottom w:val="single" w:sz="4" w:space="0" w:color="auto"/>
              <w:right w:val="single" w:sz="4" w:space="0" w:color="auto"/>
            </w:tcBorders>
            <w:shd w:val="clear" w:color="auto" w:fill="auto"/>
            <w:vAlign w:val="center"/>
            <w:hideMark/>
          </w:tcPr>
          <w:p w14:paraId="0E13F98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17,49</w:t>
            </w:r>
          </w:p>
        </w:tc>
        <w:tc>
          <w:tcPr>
            <w:tcW w:w="1215" w:type="dxa"/>
            <w:tcBorders>
              <w:top w:val="nil"/>
              <w:left w:val="nil"/>
              <w:bottom w:val="single" w:sz="4" w:space="0" w:color="auto"/>
              <w:right w:val="single" w:sz="4" w:space="0" w:color="auto"/>
            </w:tcBorders>
            <w:shd w:val="clear" w:color="auto" w:fill="auto"/>
            <w:vAlign w:val="center"/>
            <w:hideMark/>
          </w:tcPr>
          <w:p w14:paraId="2F577ADE"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114.031,30</w:t>
            </w:r>
          </w:p>
        </w:tc>
      </w:tr>
      <w:tr w:rsidR="005D09BE" w:rsidRPr="00D44048" w14:paraId="28F5CAB5"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18E48ACB" w14:textId="77777777" w:rsidR="005D09BE" w:rsidRPr="00D44048"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12AD4F9C"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2º</w:t>
            </w:r>
          </w:p>
        </w:tc>
        <w:tc>
          <w:tcPr>
            <w:tcW w:w="1601" w:type="dxa"/>
            <w:tcBorders>
              <w:top w:val="nil"/>
              <w:left w:val="nil"/>
              <w:bottom w:val="single" w:sz="4" w:space="0" w:color="auto"/>
              <w:right w:val="single" w:sz="4" w:space="0" w:color="auto"/>
            </w:tcBorders>
            <w:shd w:val="clear" w:color="auto" w:fill="auto"/>
            <w:vAlign w:val="center"/>
            <w:hideMark/>
          </w:tcPr>
          <w:p w14:paraId="1DD3E08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1,087</w:t>
            </w:r>
          </w:p>
        </w:tc>
        <w:tc>
          <w:tcPr>
            <w:tcW w:w="1264" w:type="dxa"/>
            <w:tcBorders>
              <w:top w:val="nil"/>
              <w:left w:val="nil"/>
              <w:bottom w:val="single" w:sz="4" w:space="0" w:color="auto"/>
              <w:right w:val="single" w:sz="4" w:space="0" w:color="auto"/>
            </w:tcBorders>
            <w:shd w:val="clear" w:color="auto" w:fill="auto"/>
            <w:vAlign w:val="center"/>
            <w:hideMark/>
          </w:tcPr>
          <w:p w14:paraId="645A42A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0,261</w:t>
            </w:r>
          </w:p>
        </w:tc>
        <w:tc>
          <w:tcPr>
            <w:tcW w:w="1405" w:type="dxa"/>
            <w:tcBorders>
              <w:top w:val="nil"/>
              <w:left w:val="nil"/>
              <w:bottom w:val="single" w:sz="4" w:space="0" w:color="auto"/>
              <w:right w:val="single" w:sz="4" w:space="0" w:color="auto"/>
            </w:tcBorders>
            <w:shd w:val="clear" w:color="auto" w:fill="auto"/>
            <w:vAlign w:val="center"/>
            <w:hideMark/>
          </w:tcPr>
          <w:p w14:paraId="75BB30A4"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65.639,82</w:t>
            </w:r>
          </w:p>
        </w:tc>
        <w:tc>
          <w:tcPr>
            <w:tcW w:w="1264" w:type="dxa"/>
            <w:tcBorders>
              <w:top w:val="nil"/>
              <w:left w:val="nil"/>
              <w:bottom w:val="single" w:sz="4" w:space="0" w:color="auto"/>
              <w:right w:val="single" w:sz="4" w:space="0" w:color="auto"/>
            </w:tcBorders>
            <w:shd w:val="clear" w:color="auto" w:fill="auto"/>
            <w:vAlign w:val="center"/>
            <w:hideMark/>
          </w:tcPr>
          <w:p w14:paraId="29460415"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66,59</w:t>
            </w:r>
          </w:p>
        </w:tc>
        <w:tc>
          <w:tcPr>
            <w:tcW w:w="1264" w:type="dxa"/>
            <w:tcBorders>
              <w:top w:val="nil"/>
              <w:left w:val="nil"/>
              <w:bottom w:val="single" w:sz="4" w:space="0" w:color="auto"/>
              <w:right w:val="single" w:sz="4" w:space="0" w:color="auto"/>
            </w:tcBorders>
            <w:shd w:val="clear" w:color="auto" w:fill="auto"/>
            <w:vAlign w:val="center"/>
            <w:hideMark/>
          </w:tcPr>
          <w:p w14:paraId="7E1760E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12.988,32</w:t>
            </w:r>
          </w:p>
        </w:tc>
        <w:tc>
          <w:tcPr>
            <w:tcW w:w="1436" w:type="dxa"/>
            <w:tcBorders>
              <w:top w:val="nil"/>
              <w:left w:val="nil"/>
              <w:bottom w:val="single" w:sz="4" w:space="0" w:color="auto"/>
              <w:right w:val="single" w:sz="4" w:space="0" w:color="auto"/>
            </w:tcBorders>
            <w:shd w:val="clear" w:color="auto" w:fill="auto"/>
            <w:vAlign w:val="center"/>
            <w:hideMark/>
          </w:tcPr>
          <w:p w14:paraId="61ECB456"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13,18</w:t>
            </w:r>
          </w:p>
        </w:tc>
        <w:tc>
          <w:tcPr>
            <w:tcW w:w="1190" w:type="dxa"/>
            <w:tcBorders>
              <w:top w:val="nil"/>
              <w:left w:val="nil"/>
              <w:bottom w:val="single" w:sz="4" w:space="0" w:color="auto"/>
              <w:right w:val="single" w:sz="4" w:space="0" w:color="auto"/>
            </w:tcBorders>
            <w:shd w:val="clear" w:color="auto" w:fill="auto"/>
            <w:vAlign w:val="center"/>
            <w:hideMark/>
          </w:tcPr>
          <w:p w14:paraId="50CF395B"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19.949,86</w:t>
            </w:r>
          </w:p>
        </w:tc>
        <w:tc>
          <w:tcPr>
            <w:tcW w:w="1182" w:type="dxa"/>
            <w:tcBorders>
              <w:top w:val="nil"/>
              <w:left w:val="nil"/>
              <w:bottom w:val="single" w:sz="4" w:space="0" w:color="auto"/>
              <w:right w:val="single" w:sz="4" w:space="0" w:color="auto"/>
            </w:tcBorders>
            <w:shd w:val="clear" w:color="auto" w:fill="auto"/>
            <w:vAlign w:val="center"/>
            <w:hideMark/>
          </w:tcPr>
          <w:p w14:paraId="38D84A66"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20,23</w:t>
            </w:r>
          </w:p>
        </w:tc>
        <w:tc>
          <w:tcPr>
            <w:tcW w:w="1215" w:type="dxa"/>
            <w:tcBorders>
              <w:top w:val="nil"/>
              <w:left w:val="nil"/>
              <w:bottom w:val="single" w:sz="4" w:space="0" w:color="auto"/>
              <w:right w:val="single" w:sz="4" w:space="0" w:color="auto"/>
            </w:tcBorders>
            <w:shd w:val="clear" w:color="auto" w:fill="auto"/>
            <w:vAlign w:val="center"/>
            <w:hideMark/>
          </w:tcPr>
          <w:p w14:paraId="5CAB0BE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98.578,00</w:t>
            </w:r>
          </w:p>
        </w:tc>
      </w:tr>
      <w:tr w:rsidR="005D09BE" w:rsidRPr="00D44048" w14:paraId="735DCF12"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786E5765" w14:textId="77777777" w:rsidR="005D09BE" w:rsidRPr="00D44048" w:rsidRDefault="005D09BE" w:rsidP="00F4450D">
            <w:pPr>
              <w:jc w:val="both"/>
              <w:rPr>
                <w:rFonts w:ascii="Arial" w:hAnsi="Arial" w:cs="Arial"/>
                <w:sz w:val="16"/>
                <w:szCs w:val="16"/>
              </w:rPr>
            </w:pPr>
            <w:r w:rsidRPr="00D44048">
              <w:rPr>
                <w:rFonts w:ascii="Arial" w:hAnsi="Arial" w:cs="Arial"/>
                <w:sz w:val="16"/>
                <w:szCs w:val="16"/>
              </w:rPr>
              <w:t>5- C.F.S. DE GESTIÓN COMERCIAL Y MARKETING</w:t>
            </w:r>
          </w:p>
        </w:tc>
        <w:tc>
          <w:tcPr>
            <w:tcW w:w="878" w:type="dxa"/>
            <w:tcBorders>
              <w:top w:val="nil"/>
              <w:left w:val="nil"/>
              <w:bottom w:val="single" w:sz="4" w:space="0" w:color="auto"/>
              <w:right w:val="single" w:sz="4" w:space="0" w:color="auto"/>
            </w:tcBorders>
            <w:shd w:val="clear" w:color="auto" w:fill="auto"/>
            <w:vAlign w:val="center"/>
            <w:hideMark/>
          </w:tcPr>
          <w:p w14:paraId="3C1BAF2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1º</w:t>
            </w:r>
          </w:p>
        </w:tc>
        <w:tc>
          <w:tcPr>
            <w:tcW w:w="1601" w:type="dxa"/>
            <w:tcBorders>
              <w:top w:val="nil"/>
              <w:left w:val="nil"/>
              <w:bottom w:val="single" w:sz="4" w:space="0" w:color="auto"/>
              <w:right w:val="single" w:sz="4" w:space="0" w:color="auto"/>
            </w:tcBorders>
            <w:shd w:val="clear" w:color="auto" w:fill="auto"/>
            <w:vAlign w:val="center"/>
            <w:hideMark/>
          </w:tcPr>
          <w:p w14:paraId="0D1A857E"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1,043</w:t>
            </w:r>
          </w:p>
        </w:tc>
        <w:tc>
          <w:tcPr>
            <w:tcW w:w="1264" w:type="dxa"/>
            <w:tcBorders>
              <w:top w:val="nil"/>
              <w:left w:val="nil"/>
              <w:bottom w:val="single" w:sz="4" w:space="0" w:color="auto"/>
              <w:right w:val="single" w:sz="4" w:space="0" w:color="auto"/>
            </w:tcBorders>
            <w:shd w:val="clear" w:color="auto" w:fill="auto"/>
            <w:vAlign w:val="center"/>
            <w:hideMark/>
          </w:tcPr>
          <w:p w14:paraId="4D7FF9F4"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0,696</w:t>
            </w:r>
          </w:p>
        </w:tc>
        <w:tc>
          <w:tcPr>
            <w:tcW w:w="1405" w:type="dxa"/>
            <w:tcBorders>
              <w:top w:val="nil"/>
              <w:left w:val="nil"/>
              <w:bottom w:val="single" w:sz="4" w:space="0" w:color="auto"/>
              <w:right w:val="single" w:sz="4" w:space="0" w:color="auto"/>
            </w:tcBorders>
            <w:shd w:val="clear" w:color="auto" w:fill="auto"/>
            <w:vAlign w:val="center"/>
            <w:hideMark/>
          </w:tcPr>
          <w:p w14:paraId="41A4F4E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83.166,36</w:t>
            </w:r>
          </w:p>
        </w:tc>
        <w:tc>
          <w:tcPr>
            <w:tcW w:w="1264" w:type="dxa"/>
            <w:tcBorders>
              <w:top w:val="nil"/>
              <w:left w:val="nil"/>
              <w:bottom w:val="single" w:sz="4" w:space="0" w:color="auto"/>
              <w:right w:val="single" w:sz="4" w:space="0" w:color="auto"/>
            </w:tcBorders>
            <w:shd w:val="clear" w:color="auto" w:fill="auto"/>
            <w:vAlign w:val="center"/>
            <w:hideMark/>
          </w:tcPr>
          <w:p w14:paraId="70545E5E"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69,11</w:t>
            </w:r>
          </w:p>
        </w:tc>
        <w:tc>
          <w:tcPr>
            <w:tcW w:w="1264" w:type="dxa"/>
            <w:tcBorders>
              <w:top w:val="nil"/>
              <w:left w:val="nil"/>
              <w:bottom w:val="single" w:sz="4" w:space="0" w:color="auto"/>
              <w:right w:val="single" w:sz="4" w:space="0" w:color="auto"/>
            </w:tcBorders>
            <w:shd w:val="clear" w:color="auto" w:fill="auto"/>
            <w:vAlign w:val="center"/>
            <w:hideMark/>
          </w:tcPr>
          <w:p w14:paraId="6FB5202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16.331,55</w:t>
            </w:r>
          </w:p>
        </w:tc>
        <w:tc>
          <w:tcPr>
            <w:tcW w:w="1436" w:type="dxa"/>
            <w:tcBorders>
              <w:top w:val="nil"/>
              <w:left w:val="nil"/>
              <w:bottom w:val="single" w:sz="4" w:space="0" w:color="auto"/>
              <w:right w:val="single" w:sz="4" w:space="0" w:color="auto"/>
            </w:tcBorders>
            <w:shd w:val="clear" w:color="auto" w:fill="auto"/>
            <w:vAlign w:val="center"/>
            <w:hideMark/>
          </w:tcPr>
          <w:p w14:paraId="12A04B1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13,57</w:t>
            </w:r>
          </w:p>
        </w:tc>
        <w:tc>
          <w:tcPr>
            <w:tcW w:w="1190" w:type="dxa"/>
            <w:tcBorders>
              <w:top w:val="nil"/>
              <w:left w:val="nil"/>
              <w:bottom w:val="single" w:sz="4" w:space="0" w:color="auto"/>
              <w:right w:val="single" w:sz="4" w:space="0" w:color="auto"/>
            </w:tcBorders>
            <w:shd w:val="clear" w:color="auto" w:fill="auto"/>
            <w:vAlign w:val="center"/>
            <w:hideMark/>
          </w:tcPr>
          <w:p w14:paraId="2A6CBA9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20.836,57</w:t>
            </w:r>
          </w:p>
        </w:tc>
        <w:tc>
          <w:tcPr>
            <w:tcW w:w="1182" w:type="dxa"/>
            <w:tcBorders>
              <w:top w:val="nil"/>
              <w:left w:val="nil"/>
              <w:bottom w:val="single" w:sz="4" w:space="0" w:color="auto"/>
              <w:right w:val="single" w:sz="4" w:space="0" w:color="auto"/>
            </w:tcBorders>
            <w:shd w:val="clear" w:color="auto" w:fill="auto"/>
            <w:vAlign w:val="center"/>
            <w:hideMark/>
          </w:tcPr>
          <w:p w14:paraId="283F36E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17,32</w:t>
            </w:r>
          </w:p>
        </w:tc>
        <w:tc>
          <w:tcPr>
            <w:tcW w:w="1215" w:type="dxa"/>
            <w:tcBorders>
              <w:top w:val="nil"/>
              <w:left w:val="nil"/>
              <w:bottom w:val="single" w:sz="4" w:space="0" w:color="auto"/>
              <w:right w:val="single" w:sz="4" w:space="0" w:color="auto"/>
            </w:tcBorders>
            <w:shd w:val="clear" w:color="auto" w:fill="auto"/>
            <w:vAlign w:val="center"/>
            <w:hideMark/>
          </w:tcPr>
          <w:p w14:paraId="1C29318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120.334,48</w:t>
            </w:r>
          </w:p>
        </w:tc>
      </w:tr>
      <w:tr w:rsidR="005D09BE" w:rsidRPr="00D44048" w14:paraId="08C114FB"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70DDED3B" w14:textId="77777777" w:rsidR="005D09BE" w:rsidRPr="00D44048"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0CE2EED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2º</w:t>
            </w:r>
          </w:p>
        </w:tc>
        <w:tc>
          <w:tcPr>
            <w:tcW w:w="1601" w:type="dxa"/>
            <w:tcBorders>
              <w:top w:val="nil"/>
              <w:left w:val="nil"/>
              <w:bottom w:val="single" w:sz="4" w:space="0" w:color="auto"/>
              <w:right w:val="single" w:sz="4" w:space="0" w:color="auto"/>
            </w:tcBorders>
            <w:shd w:val="clear" w:color="auto" w:fill="auto"/>
            <w:vAlign w:val="center"/>
            <w:hideMark/>
          </w:tcPr>
          <w:p w14:paraId="78F1721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0,261</w:t>
            </w:r>
          </w:p>
        </w:tc>
        <w:tc>
          <w:tcPr>
            <w:tcW w:w="1264" w:type="dxa"/>
            <w:tcBorders>
              <w:top w:val="nil"/>
              <w:left w:val="nil"/>
              <w:bottom w:val="single" w:sz="4" w:space="0" w:color="auto"/>
              <w:right w:val="single" w:sz="4" w:space="0" w:color="auto"/>
            </w:tcBorders>
            <w:shd w:val="clear" w:color="auto" w:fill="auto"/>
            <w:vAlign w:val="center"/>
            <w:hideMark/>
          </w:tcPr>
          <w:p w14:paraId="61B1C659" w14:textId="77777777" w:rsidR="005D09BE" w:rsidRPr="00D44048" w:rsidRDefault="005D09BE" w:rsidP="00F4450D">
            <w:pPr>
              <w:jc w:val="center"/>
              <w:rPr>
                <w:rFonts w:ascii="Arial" w:hAnsi="Arial" w:cs="Arial"/>
                <w:sz w:val="16"/>
                <w:szCs w:val="16"/>
              </w:rPr>
            </w:pPr>
            <w:r w:rsidRPr="00D44048">
              <w:rPr>
                <w:rFonts w:ascii="Arial" w:hAnsi="Arial" w:cs="Arial"/>
                <w:w w:val="99"/>
                <w:sz w:val="16"/>
                <w:szCs w:val="16"/>
              </w:rPr>
              <w:t>0</w:t>
            </w:r>
          </w:p>
        </w:tc>
        <w:tc>
          <w:tcPr>
            <w:tcW w:w="1405" w:type="dxa"/>
            <w:tcBorders>
              <w:top w:val="nil"/>
              <w:left w:val="nil"/>
              <w:bottom w:val="single" w:sz="4" w:space="0" w:color="auto"/>
              <w:right w:val="single" w:sz="4" w:space="0" w:color="auto"/>
            </w:tcBorders>
            <w:shd w:val="clear" w:color="auto" w:fill="auto"/>
            <w:vAlign w:val="center"/>
            <w:hideMark/>
          </w:tcPr>
          <w:p w14:paraId="7C132BF4"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12.921,99</w:t>
            </w:r>
          </w:p>
        </w:tc>
        <w:tc>
          <w:tcPr>
            <w:tcW w:w="1264" w:type="dxa"/>
            <w:tcBorders>
              <w:top w:val="nil"/>
              <w:left w:val="nil"/>
              <w:bottom w:val="single" w:sz="4" w:space="0" w:color="auto"/>
              <w:right w:val="single" w:sz="4" w:space="0" w:color="auto"/>
            </w:tcBorders>
            <w:shd w:val="clear" w:color="auto" w:fill="auto"/>
            <w:vAlign w:val="center"/>
            <w:hideMark/>
          </w:tcPr>
          <w:p w14:paraId="068A37D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63,49</w:t>
            </w:r>
          </w:p>
        </w:tc>
        <w:tc>
          <w:tcPr>
            <w:tcW w:w="1264" w:type="dxa"/>
            <w:tcBorders>
              <w:top w:val="nil"/>
              <w:left w:val="nil"/>
              <w:bottom w:val="single" w:sz="4" w:space="0" w:color="auto"/>
              <w:right w:val="single" w:sz="4" w:space="0" w:color="auto"/>
            </w:tcBorders>
            <w:shd w:val="clear" w:color="auto" w:fill="auto"/>
            <w:vAlign w:val="center"/>
            <w:hideMark/>
          </w:tcPr>
          <w:p w14:paraId="7F8DD573"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3.629,50</w:t>
            </w:r>
          </w:p>
        </w:tc>
        <w:tc>
          <w:tcPr>
            <w:tcW w:w="1436" w:type="dxa"/>
            <w:tcBorders>
              <w:top w:val="nil"/>
              <w:left w:val="nil"/>
              <w:bottom w:val="single" w:sz="4" w:space="0" w:color="auto"/>
              <w:right w:val="single" w:sz="4" w:space="0" w:color="auto"/>
            </w:tcBorders>
            <w:shd w:val="clear" w:color="auto" w:fill="auto"/>
            <w:vAlign w:val="center"/>
            <w:hideMark/>
          </w:tcPr>
          <w:p w14:paraId="7F42978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17,83</w:t>
            </w:r>
          </w:p>
        </w:tc>
        <w:tc>
          <w:tcPr>
            <w:tcW w:w="1190" w:type="dxa"/>
            <w:tcBorders>
              <w:top w:val="nil"/>
              <w:left w:val="nil"/>
              <w:bottom w:val="single" w:sz="4" w:space="0" w:color="auto"/>
              <w:right w:val="single" w:sz="4" w:space="0" w:color="auto"/>
            </w:tcBorders>
            <w:shd w:val="clear" w:color="auto" w:fill="auto"/>
            <w:vAlign w:val="center"/>
            <w:hideMark/>
          </w:tcPr>
          <w:p w14:paraId="38BB447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3.800,12</w:t>
            </w:r>
          </w:p>
        </w:tc>
        <w:tc>
          <w:tcPr>
            <w:tcW w:w="1182" w:type="dxa"/>
            <w:tcBorders>
              <w:top w:val="nil"/>
              <w:left w:val="nil"/>
              <w:bottom w:val="single" w:sz="4" w:space="0" w:color="auto"/>
              <w:right w:val="single" w:sz="4" w:space="0" w:color="auto"/>
            </w:tcBorders>
            <w:shd w:val="clear" w:color="auto" w:fill="auto"/>
            <w:vAlign w:val="center"/>
            <w:hideMark/>
          </w:tcPr>
          <w:p w14:paraId="033DAAC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18,68</w:t>
            </w:r>
          </w:p>
        </w:tc>
        <w:tc>
          <w:tcPr>
            <w:tcW w:w="1215" w:type="dxa"/>
            <w:tcBorders>
              <w:top w:val="nil"/>
              <w:left w:val="nil"/>
              <w:bottom w:val="single" w:sz="4" w:space="0" w:color="auto"/>
              <w:right w:val="single" w:sz="4" w:space="0" w:color="auto"/>
            </w:tcBorders>
            <w:shd w:val="clear" w:color="auto" w:fill="auto"/>
            <w:vAlign w:val="center"/>
            <w:hideMark/>
          </w:tcPr>
          <w:p w14:paraId="6FCC395A"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20.351,61</w:t>
            </w:r>
          </w:p>
        </w:tc>
      </w:tr>
      <w:tr w:rsidR="005D09BE" w:rsidRPr="00D44048" w14:paraId="2D2CED9C"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724E9F26" w14:textId="77777777" w:rsidR="005D09BE" w:rsidRPr="00D44048" w:rsidRDefault="005D09BE" w:rsidP="00F4450D">
            <w:pPr>
              <w:jc w:val="both"/>
              <w:rPr>
                <w:rFonts w:ascii="Arial" w:hAnsi="Arial" w:cs="Arial"/>
                <w:sz w:val="16"/>
                <w:szCs w:val="16"/>
              </w:rPr>
            </w:pPr>
            <w:r w:rsidRPr="00D44048">
              <w:rPr>
                <w:rFonts w:ascii="Arial" w:hAnsi="Arial" w:cs="Arial"/>
                <w:sz w:val="16"/>
                <w:szCs w:val="16"/>
              </w:rPr>
              <w:t>5- C.F.S. MARKETING Y PUBLICIDAD</w:t>
            </w:r>
          </w:p>
        </w:tc>
        <w:tc>
          <w:tcPr>
            <w:tcW w:w="878" w:type="dxa"/>
            <w:tcBorders>
              <w:top w:val="nil"/>
              <w:left w:val="nil"/>
              <w:bottom w:val="single" w:sz="4" w:space="0" w:color="auto"/>
              <w:right w:val="single" w:sz="4" w:space="0" w:color="auto"/>
            </w:tcBorders>
            <w:shd w:val="clear" w:color="auto" w:fill="auto"/>
            <w:vAlign w:val="center"/>
            <w:hideMark/>
          </w:tcPr>
          <w:p w14:paraId="4D3C56F6"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1º</w:t>
            </w:r>
          </w:p>
        </w:tc>
        <w:tc>
          <w:tcPr>
            <w:tcW w:w="1601" w:type="dxa"/>
            <w:tcBorders>
              <w:top w:val="nil"/>
              <w:left w:val="nil"/>
              <w:bottom w:val="single" w:sz="4" w:space="0" w:color="auto"/>
              <w:right w:val="single" w:sz="4" w:space="0" w:color="auto"/>
            </w:tcBorders>
            <w:shd w:val="clear" w:color="auto" w:fill="auto"/>
            <w:vAlign w:val="center"/>
            <w:hideMark/>
          </w:tcPr>
          <w:p w14:paraId="1EE0F36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1,174</w:t>
            </w:r>
          </w:p>
        </w:tc>
        <w:tc>
          <w:tcPr>
            <w:tcW w:w="1264" w:type="dxa"/>
            <w:tcBorders>
              <w:top w:val="nil"/>
              <w:left w:val="nil"/>
              <w:bottom w:val="single" w:sz="4" w:space="0" w:color="auto"/>
              <w:right w:val="single" w:sz="4" w:space="0" w:color="auto"/>
            </w:tcBorders>
            <w:shd w:val="clear" w:color="auto" w:fill="auto"/>
            <w:vAlign w:val="center"/>
            <w:hideMark/>
          </w:tcPr>
          <w:p w14:paraId="36E6C70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0,565</w:t>
            </w:r>
          </w:p>
        </w:tc>
        <w:tc>
          <w:tcPr>
            <w:tcW w:w="1405" w:type="dxa"/>
            <w:tcBorders>
              <w:top w:val="nil"/>
              <w:left w:val="nil"/>
              <w:bottom w:val="single" w:sz="4" w:space="0" w:color="auto"/>
              <w:right w:val="single" w:sz="4" w:space="0" w:color="auto"/>
            </w:tcBorders>
            <w:shd w:val="clear" w:color="auto" w:fill="auto"/>
            <w:vAlign w:val="center"/>
            <w:hideMark/>
          </w:tcPr>
          <w:p w14:paraId="4E6E471C"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83.717,98</w:t>
            </w:r>
          </w:p>
        </w:tc>
        <w:tc>
          <w:tcPr>
            <w:tcW w:w="1264" w:type="dxa"/>
            <w:tcBorders>
              <w:top w:val="nil"/>
              <w:left w:val="nil"/>
              <w:bottom w:val="single" w:sz="4" w:space="0" w:color="auto"/>
              <w:right w:val="single" w:sz="4" w:space="0" w:color="auto"/>
            </w:tcBorders>
            <w:shd w:val="clear" w:color="auto" w:fill="auto"/>
            <w:vAlign w:val="center"/>
            <w:hideMark/>
          </w:tcPr>
          <w:p w14:paraId="77AAE8C4"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69,49</w:t>
            </w:r>
          </w:p>
        </w:tc>
        <w:tc>
          <w:tcPr>
            <w:tcW w:w="1264" w:type="dxa"/>
            <w:tcBorders>
              <w:top w:val="nil"/>
              <w:left w:val="nil"/>
              <w:bottom w:val="single" w:sz="4" w:space="0" w:color="auto"/>
              <w:right w:val="single" w:sz="4" w:space="0" w:color="auto"/>
            </w:tcBorders>
            <w:shd w:val="clear" w:color="auto" w:fill="auto"/>
            <w:vAlign w:val="center"/>
            <w:hideMark/>
          </w:tcPr>
          <w:p w14:paraId="72B0A11C"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15.912,18</w:t>
            </w:r>
          </w:p>
        </w:tc>
        <w:tc>
          <w:tcPr>
            <w:tcW w:w="1436" w:type="dxa"/>
            <w:tcBorders>
              <w:top w:val="nil"/>
              <w:left w:val="nil"/>
              <w:bottom w:val="single" w:sz="4" w:space="0" w:color="auto"/>
              <w:right w:val="single" w:sz="4" w:space="0" w:color="auto"/>
            </w:tcBorders>
            <w:shd w:val="clear" w:color="auto" w:fill="auto"/>
            <w:vAlign w:val="center"/>
            <w:hideMark/>
          </w:tcPr>
          <w:p w14:paraId="7D219D63"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13,21</w:t>
            </w:r>
          </w:p>
        </w:tc>
        <w:tc>
          <w:tcPr>
            <w:tcW w:w="1190" w:type="dxa"/>
            <w:tcBorders>
              <w:top w:val="nil"/>
              <w:left w:val="nil"/>
              <w:bottom w:val="single" w:sz="4" w:space="0" w:color="auto"/>
              <w:right w:val="single" w:sz="4" w:space="0" w:color="auto"/>
            </w:tcBorders>
            <w:shd w:val="clear" w:color="auto" w:fill="auto"/>
            <w:vAlign w:val="center"/>
            <w:hideMark/>
          </w:tcPr>
          <w:p w14:paraId="0D9FE6AA"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20.836,57</w:t>
            </w:r>
          </w:p>
        </w:tc>
        <w:tc>
          <w:tcPr>
            <w:tcW w:w="1182" w:type="dxa"/>
            <w:tcBorders>
              <w:top w:val="nil"/>
              <w:left w:val="nil"/>
              <w:bottom w:val="single" w:sz="4" w:space="0" w:color="auto"/>
              <w:right w:val="single" w:sz="4" w:space="0" w:color="auto"/>
            </w:tcBorders>
            <w:shd w:val="clear" w:color="auto" w:fill="auto"/>
            <w:vAlign w:val="center"/>
            <w:hideMark/>
          </w:tcPr>
          <w:p w14:paraId="4A60B96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17,30</w:t>
            </w:r>
          </w:p>
        </w:tc>
        <w:tc>
          <w:tcPr>
            <w:tcW w:w="1215" w:type="dxa"/>
            <w:tcBorders>
              <w:top w:val="nil"/>
              <w:left w:val="nil"/>
              <w:bottom w:val="single" w:sz="4" w:space="0" w:color="auto"/>
              <w:right w:val="single" w:sz="4" w:space="0" w:color="auto"/>
            </w:tcBorders>
            <w:shd w:val="clear" w:color="auto" w:fill="auto"/>
            <w:vAlign w:val="center"/>
            <w:hideMark/>
          </w:tcPr>
          <w:p w14:paraId="7BB6C19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120.466,73</w:t>
            </w:r>
          </w:p>
        </w:tc>
      </w:tr>
      <w:tr w:rsidR="005D09BE" w:rsidRPr="00D44048" w14:paraId="2D25E55B"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2FA43EFB" w14:textId="77777777" w:rsidR="005D09BE" w:rsidRPr="00D44048"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4B10FDB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2º</w:t>
            </w:r>
          </w:p>
        </w:tc>
        <w:tc>
          <w:tcPr>
            <w:tcW w:w="1601" w:type="dxa"/>
            <w:tcBorders>
              <w:top w:val="nil"/>
              <w:left w:val="nil"/>
              <w:bottom w:val="single" w:sz="4" w:space="0" w:color="auto"/>
              <w:right w:val="single" w:sz="4" w:space="0" w:color="auto"/>
            </w:tcBorders>
            <w:shd w:val="clear" w:color="auto" w:fill="auto"/>
            <w:vAlign w:val="center"/>
            <w:hideMark/>
          </w:tcPr>
          <w:p w14:paraId="65E17FB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1,13</w:t>
            </w:r>
          </w:p>
        </w:tc>
        <w:tc>
          <w:tcPr>
            <w:tcW w:w="1264" w:type="dxa"/>
            <w:tcBorders>
              <w:top w:val="nil"/>
              <w:left w:val="nil"/>
              <w:bottom w:val="single" w:sz="4" w:space="0" w:color="auto"/>
              <w:right w:val="single" w:sz="4" w:space="0" w:color="auto"/>
            </w:tcBorders>
            <w:shd w:val="clear" w:color="auto" w:fill="auto"/>
            <w:vAlign w:val="center"/>
            <w:hideMark/>
          </w:tcPr>
          <w:p w14:paraId="16EC5D9B"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0,391</w:t>
            </w:r>
          </w:p>
        </w:tc>
        <w:tc>
          <w:tcPr>
            <w:tcW w:w="1405" w:type="dxa"/>
            <w:tcBorders>
              <w:top w:val="nil"/>
              <w:left w:val="nil"/>
              <w:bottom w:val="single" w:sz="4" w:space="0" w:color="auto"/>
              <w:right w:val="single" w:sz="4" w:space="0" w:color="auto"/>
            </w:tcBorders>
            <w:shd w:val="clear" w:color="auto" w:fill="auto"/>
            <w:vAlign w:val="center"/>
            <w:hideMark/>
          </w:tcPr>
          <w:p w14:paraId="04CFAE8C"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73.657,57</w:t>
            </w:r>
          </w:p>
        </w:tc>
        <w:tc>
          <w:tcPr>
            <w:tcW w:w="1264" w:type="dxa"/>
            <w:tcBorders>
              <w:top w:val="nil"/>
              <w:left w:val="nil"/>
              <w:bottom w:val="single" w:sz="4" w:space="0" w:color="auto"/>
              <w:right w:val="single" w:sz="4" w:space="0" w:color="auto"/>
            </w:tcBorders>
            <w:shd w:val="clear" w:color="auto" w:fill="auto"/>
            <w:vAlign w:val="center"/>
            <w:hideMark/>
          </w:tcPr>
          <w:p w14:paraId="2E67DCEB"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67,75</w:t>
            </w:r>
          </w:p>
        </w:tc>
        <w:tc>
          <w:tcPr>
            <w:tcW w:w="1264" w:type="dxa"/>
            <w:tcBorders>
              <w:top w:val="nil"/>
              <w:left w:val="nil"/>
              <w:bottom w:val="single" w:sz="4" w:space="0" w:color="auto"/>
              <w:right w:val="single" w:sz="4" w:space="0" w:color="auto"/>
            </w:tcBorders>
            <w:shd w:val="clear" w:color="auto" w:fill="auto"/>
            <w:vAlign w:val="center"/>
            <w:hideMark/>
          </w:tcPr>
          <w:p w14:paraId="6192F5B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14.218,45</w:t>
            </w:r>
          </w:p>
        </w:tc>
        <w:tc>
          <w:tcPr>
            <w:tcW w:w="1436" w:type="dxa"/>
            <w:tcBorders>
              <w:top w:val="nil"/>
              <w:left w:val="nil"/>
              <w:bottom w:val="single" w:sz="4" w:space="0" w:color="auto"/>
              <w:right w:val="single" w:sz="4" w:space="0" w:color="auto"/>
            </w:tcBorders>
            <w:shd w:val="clear" w:color="auto" w:fill="auto"/>
            <w:vAlign w:val="center"/>
            <w:hideMark/>
          </w:tcPr>
          <w:p w14:paraId="5DE95F3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13,08</w:t>
            </w:r>
          </w:p>
        </w:tc>
        <w:tc>
          <w:tcPr>
            <w:tcW w:w="1190" w:type="dxa"/>
            <w:tcBorders>
              <w:top w:val="nil"/>
              <w:left w:val="nil"/>
              <w:bottom w:val="single" w:sz="4" w:space="0" w:color="auto"/>
              <w:right w:val="single" w:sz="4" w:space="0" w:color="auto"/>
            </w:tcBorders>
            <w:shd w:val="clear" w:color="auto" w:fill="auto"/>
            <w:vAlign w:val="center"/>
            <w:hideMark/>
          </w:tcPr>
          <w:p w14:paraId="5CF6DD34"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20.836,57</w:t>
            </w:r>
          </w:p>
        </w:tc>
        <w:tc>
          <w:tcPr>
            <w:tcW w:w="1182" w:type="dxa"/>
            <w:tcBorders>
              <w:top w:val="nil"/>
              <w:left w:val="nil"/>
              <w:bottom w:val="single" w:sz="4" w:space="0" w:color="auto"/>
              <w:right w:val="single" w:sz="4" w:space="0" w:color="auto"/>
            </w:tcBorders>
            <w:shd w:val="clear" w:color="auto" w:fill="auto"/>
            <w:vAlign w:val="center"/>
            <w:hideMark/>
          </w:tcPr>
          <w:p w14:paraId="0591096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19,17</w:t>
            </w:r>
          </w:p>
        </w:tc>
        <w:tc>
          <w:tcPr>
            <w:tcW w:w="1215" w:type="dxa"/>
            <w:tcBorders>
              <w:top w:val="nil"/>
              <w:left w:val="nil"/>
              <w:bottom w:val="single" w:sz="4" w:space="0" w:color="auto"/>
              <w:right w:val="single" w:sz="4" w:space="0" w:color="auto"/>
            </w:tcBorders>
            <w:shd w:val="clear" w:color="auto" w:fill="auto"/>
            <w:vAlign w:val="center"/>
            <w:hideMark/>
          </w:tcPr>
          <w:p w14:paraId="2821A0E3"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108.712,59</w:t>
            </w:r>
          </w:p>
        </w:tc>
      </w:tr>
      <w:tr w:rsidR="005D09BE" w:rsidRPr="00D44048" w14:paraId="2A7C7003"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21DC9313" w14:textId="77777777" w:rsidR="005D09BE" w:rsidRPr="00D44048" w:rsidRDefault="005D09BE" w:rsidP="00F4450D">
            <w:pPr>
              <w:jc w:val="both"/>
              <w:rPr>
                <w:rFonts w:ascii="Arial" w:hAnsi="Arial" w:cs="Arial"/>
                <w:sz w:val="16"/>
                <w:szCs w:val="16"/>
              </w:rPr>
            </w:pPr>
            <w:r w:rsidRPr="00D44048">
              <w:rPr>
                <w:rFonts w:ascii="Arial" w:hAnsi="Arial" w:cs="Arial"/>
                <w:sz w:val="16"/>
                <w:szCs w:val="16"/>
              </w:rPr>
              <w:t>6- C.F.S. GESTIÓN DE VENTAS Y ESPACIOS COMERCIALES (LOE)</w:t>
            </w:r>
          </w:p>
        </w:tc>
        <w:tc>
          <w:tcPr>
            <w:tcW w:w="878" w:type="dxa"/>
            <w:tcBorders>
              <w:top w:val="nil"/>
              <w:left w:val="nil"/>
              <w:bottom w:val="single" w:sz="4" w:space="0" w:color="auto"/>
              <w:right w:val="single" w:sz="4" w:space="0" w:color="auto"/>
            </w:tcBorders>
            <w:shd w:val="clear" w:color="auto" w:fill="auto"/>
            <w:vAlign w:val="center"/>
            <w:hideMark/>
          </w:tcPr>
          <w:p w14:paraId="2603108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1º</w:t>
            </w:r>
          </w:p>
        </w:tc>
        <w:tc>
          <w:tcPr>
            <w:tcW w:w="1601" w:type="dxa"/>
            <w:tcBorders>
              <w:top w:val="nil"/>
              <w:left w:val="nil"/>
              <w:bottom w:val="single" w:sz="4" w:space="0" w:color="auto"/>
              <w:right w:val="single" w:sz="4" w:space="0" w:color="auto"/>
            </w:tcBorders>
            <w:shd w:val="clear" w:color="auto" w:fill="auto"/>
            <w:vAlign w:val="center"/>
            <w:hideMark/>
          </w:tcPr>
          <w:p w14:paraId="5E9DCF9A"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1,174</w:t>
            </w:r>
          </w:p>
        </w:tc>
        <w:tc>
          <w:tcPr>
            <w:tcW w:w="1264" w:type="dxa"/>
            <w:tcBorders>
              <w:top w:val="nil"/>
              <w:left w:val="nil"/>
              <w:bottom w:val="single" w:sz="4" w:space="0" w:color="auto"/>
              <w:right w:val="single" w:sz="4" w:space="0" w:color="auto"/>
            </w:tcBorders>
            <w:shd w:val="clear" w:color="auto" w:fill="auto"/>
            <w:vAlign w:val="center"/>
            <w:hideMark/>
          </w:tcPr>
          <w:p w14:paraId="6732288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0,566</w:t>
            </w:r>
          </w:p>
        </w:tc>
        <w:tc>
          <w:tcPr>
            <w:tcW w:w="1405" w:type="dxa"/>
            <w:tcBorders>
              <w:top w:val="nil"/>
              <w:left w:val="nil"/>
              <w:bottom w:val="single" w:sz="4" w:space="0" w:color="auto"/>
              <w:right w:val="single" w:sz="4" w:space="0" w:color="auto"/>
            </w:tcBorders>
            <w:shd w:val="clear" w:color="auto" w:fill="auto"/>
            <w:vAlign w:val="center"/>
            <w:hideMark/>
          </w:tcPr>
          <w:p w14:paraId="0A48A36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83.763,27</w:t>
            </w:r>
          </w:p>
        </w:tc>
        <w:tc>
          <w:tcPr>
            <w:tcW w:w="1264" w:type="dxa"/>
            <w:tcBorders>
              <w:top w:val="nil"/>
              <w:left w:val="nil"/>
              <w:bottom w:val="single" w:sz="4" w:space="0" w:color="auto"/>
              <w:right w:val="single" w:sz="4" w:space="0" w:color="auto"/>
            </w:tcBorders>
            <w:shd w:val="clear" w:color="auto" w:fill="auto"/>
            <w:vAlign w:val="center"/>
            <w:hideMark/>
          </w:tcPr>
          <w:p w14:paraId="1FB04A6E"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69,03</w:t>
            </w:r>
          </w:p>
        </w:tc>
        <w:tc>
          <w:tcPr>
            <w:tcW w:w="1264" w:type="dxa"/>
            <w:tcBorders>
              <w:top w:val="nil"/>
              <w:left w:val="nil"/>
              <w:bottom w:val="single" w:sz="4" w:space="0" w:color="auto"/>
              <w:right w:val="single" w:sz="4" w:space="0" w:color="auto"/>
            </w:tcBorders>
            <w:shd w:val="clear" w:color="auto" w:fill="auto"/>
            <w:vAlign w:val="center"/>
            <w:hideMark/>
          </w:tcPr>
          <w:p w14:paraId="49242C6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16.737,28</w:t>
            </w:r>
          </w:p>
        </w:tc>
        <w:tc>
          <w:tcPr>
            <w:tcW w:w="1436" w:type="dxa"/>
            <w:tcBorders>
              <w:top w:val="nil"/>
              <w:left w:val="nil"/>
              <w:bottom w:val="single" w:sz="4" w:space="0" w:color="auto"/>
              <w:right w:val="single" w:sz="4" w:space="0" w:color="auto"/>
            </w:tcBorders>
            <w:shd w:val="clear" w:color="auto" w:fill="auto"/>
            <w:vAlign w:val="center"/>
            <w:hideMark/>
          </w:tcPr>
          <w:p w14:paraId="0BC898CE"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13,79</w:t>
            </w:r>
          </w:p>
        </w:tc>
        <w:tc>
          <w:tcPr>
            <w:tcW w:w="1190" w:type="dxa"/>
            <w:tcBorders>
              <w:top w:val="nil"/>
              <w:left w:val="nil"/>
              <w:bottom w:val="single" w:sz="4" w:space="0" w:color="auto"/>
              <w:right w:val="single" w:sz="4" w:space="0" w:color="auto"/>
            </w:tcBorders>
            <w:shd w:val="clear" w:color="auto" w:fill="auto"/>
            <w:vAlign w:val="center"/>
            <w:hideMark/>
          </w:tcPr>
          <w:p w14:paraId="299AD674"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20.836,57</w:t>
            </w:r>
          </w:p>
        </w:tc>
        <w:tc>
          <w:tcPr>
            <w:tcW w:w="1182" w:type="dxa"/>
            <w:tcBorders>
              <w:top w:val="nil"/>
              <w:left w:val="nil"/>
              <w:bottom w:val="single" w:sz="4" w:space="0" w:color="auto"/>
              <w:right w:val="single" w:sz="4" w:space="0" w:color="auto"/>
            </w:tcBorders>
            <w:shd w:val="clear" w:color="auto" w:fill="auto"/>
            <w:vAlign w:val="center"/>
            <w:hideMark/>
          </w:tcPr>
          <w:p w14:paraId="3421DBC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17,18</w:t>
            </w:r>
          </w:p>
        </w:tc>
        <w:tc>
          <w:tcPr>
            <w:tcW w:w="1215" w:type="dxa"/>
            <w:tcBorders>
              <w:top w:val="nil"/>
              <w:left w:val="nil"/>
              <w:bottom w:val="single" w:sz="4" w:space="0" w:color="auto"/>
              <w:right w:val="single" w:sz="4" w:space="0" w:color="auto"/>
            </w:tcBorders>
            <w:shd w:val="clear" w:color="auto" w:fill="auto"/>
            <w:vAlign w:val="center"/>
            <w:hideMark/>
          </w:tcPr>
          <w:p w14:paraId="11F977FA"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121.337,12</w:t>
            </w:r>
          </w:p>
        </w:tc>
      </w:tr>
      <w:tr w:rsidR="005D09BE" w:rsidRPr="00D44048" w14:paraId="3AB3CF2E"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02E1F3CB" w14:textId="77777777" w:rsidR="005D09BE" w:rsidRPr="00D44048"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315257E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2º</w:t>
            </w:r>
          </w:p>
        </w:tc>
        <w:tc>
          <w:tcPr>
            <w:tcW w:w="1601" w:type="dxa"/>
            <w:tcBorders>
              <w:top w:val="nil"/>
              <w:left w:val="nil"/>
              <w:bottom w:val="single" w:sz="4" w:space="0" w:color="auto"/>
              <w:right w:val="single" w:sz="4" w:space="0" w:color="auto"/>
            </w:tcBorders>
            <w:shd w:val="clear" w:color="auto" w:fill="auto"/>
            <w:vAlign w:val="center"/>
            <w:hideMark/>
          </w:tcPr>
          <w:p w14:paraId="3F036315"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1,131</w:t>
            </w:r>
          </w:p>
        </w:tc>
        <w:tc>
          <w:tcPr>
            <w:tcW w:w="1264" w:type="dxa"/>
            <w:tcBorders>
              <w:top w:val="nil"/>
              <w:left w:val="nil"/>
              <w:bottom w:val="single" w:sz="4" w:space="0" w:color="auto"/>
              <w:right w:val="single" w:sz="4" w:space="0" w:color="auto"/>
            </w:tcBorders>
            <w:shd w:val="clear" w:color="auto" w:fill="auto"/>
            <w:vAlign w:val="center"/>
            <w:hideMark/>
          </w:tcPr>
          <w:p w14:paraId="7FFCFA83"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0,479</w:t>
            </w:r>
          </w:p>
        </w:tc>
        <w:tc>
          <w:tcPr>
            <w:tcW w:w="1405" w:type="dxa"/>
            <w:tcBorders>
              <w:top w:val="nil"/>
              <w:left w:val="nil"/>
              <w:bottom w:val="single" w:sz="4" w:space="0" w:color="auto"/>
              <w:right w:val="single" w:sz="4" w:space="0" w:color="auto"/>
            </w:tcBorders>
            <w:shd w:val="clear" w:color="auto" w:fill="auto"/>
            <w:vAlign w:val="center"/>
            <w:hideMark/>
          </w:tcPr>
          <w:p w14:paraId="2723644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77.693,37</w:t>
            </w:r>
          </w:p>
        </w:tc>
        <w:tc>
          <w:tcPr>
            <w:tcW w:w="1264" w:type="dxa"/>
            <w:tcBorders>
              <w:top w:val="nil"/>
              <w:left w:val="nil"/>
              <w:bottom w:val="single" w:sz="4" w:space="0" w:color="auto"/>
              <w:right w:val="single" w:sz="4" w:space="0" w:color="auto"/>
            </w:tcBorders>
            <w:shd w:val="clear" w:color="auto" w:fill="auto"/>
            <w:vAlign w:val="center"/>
            <w:hideMark/>
          </w:tcPr>
          <w:p w14:paraId="13CAFF3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68,05</w:t>
            </w:r>
          </w:p>
        </w:tc>
        <w:tc>
          <w:tcPr>
            <w:tcW w:w="1264" w:type="dxa"/>
            <w:tcBorders>
              <w:top w:val="nil"/>
              <w:left w:val="nil"/>
              <w:bottom w:val="single" w:sz="4" w:space="0" w:color="auto"/>
              <w:right w:val="single" w:sz="4" w:space="0" w:color="auto"/>
            </w:tcBorders>
            <w:shd w:val="clear" w:color="auto" w:fill="auto"/>
            <w:vAlign w:val="center"/>
            <w:hideMark/>
          </w:tcPr>
          <w:p w14:paraId="6DACB6E4"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15.632,94</w:t>
            </w:r>
          </w:p>
        </w:tc>
        <w:tc>
          <w:tcPr>
            <w:tcW w:w="1436" w:type="dxa"/>
            <w:tcBorders>
              <w:top w:val="nil"/>
              <w:left w:val="nil"/>
              <w:bottom w:val="single" w:sz="4" w:space="0" w:color="auto"/>
              <w:right w:val="single" w:sz="4" w:space="0" w:color="auto"/>
            </w:tcBorders>
            <w:shd w:val="clear" w:color="auto" w:fill="auto"/>
            <w:vAlign w:val="center"/>
            <w:hideMark/>
          </w:tcPr>
          <w:p w14:paraId="15F13C9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13,69</w:t>
            </w:r>
          </w:p>
        </w:tc>
        <w:tc>
          <w:tcPr>
            <w:tcW w:w="1190" w:type="dxa"/>
            <w:tcBorders>
              <w:top w:val="nil"/>
              <w:left w:val="nil"/>
              <w:bottom w:val="single" w:sz="4" w:space="0" w:color="auto"/>
              <w:right w:val="single" w:sz="4" w:space="0" w:color="auto"/>
            </w:tcBorders>
            <w:shd w:val="clear" w:color="auto" w:fill="auto"/>
            <w:vAlign w:val="center"/>
            <w:hideMark/>
          </w:tcPr>
          <w:p w14:paraId="62AE5F1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20.836,57</w:t>
            </w:r>
          </w:p>
        </w:tc>
        <w:tc>
          <w:tcPr>
            <w:tcW w:w="1182" w:type="dxa"/>
            <w:tcBorders>
              <w:top w:val="nil"/>
              <w:left w:val="nil"/>
              <w:bottom w:val="single" w:sz="4" w:space="0" w:color="auto"/>
              <w:right w:val="single" w:sz="4" w:space="0" w:color="auto"/>
            </w:tcBorders>
            <w:shd w:val="clear" w:color="auto" w:fill="auto"/>
            <w:vAlign w:val="center"/>
            <w:hideMark/>
          </w:tcPr>
          <w:p w14:paraId="5684022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18,26</w:t>
            </w:r>
          </w:p>
        </w:tc>
        <w:tc>
          <w:tcPr>
            <w:tcW w:w="1215" w:type="dxa"/>
            <w:tcBorders>
              <w:top w:val="nil"/>
              <w:left w:val="nil"/>
              <w:bottom w:val="single" w:sz="4" w:space="0" w:color="auto"/>
              <w:right w:val="single" w:sz="4" w:space="0" w:color="auto"/>
            </w:tcBorders>
            <w:shd w:val="clear" w:color="auto" w:fill="auto"/>
            <w:vAlign w:val="center"/>
            <w:hideMark/>
          </w:tcPr>
          <w:p w14:paraId="215450F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114.162,88</w:t>
            </w:r>
          </w:p>
        </w:tc>
      </w:tr>
      <w:tr w:rsidR="005D09BE" w:rsidRPr="00D44048" w14:paraId="17243E24"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1F1FE650" w14:textId="77777777" w:rsidR="005D09BE" w:rsidRPr="00D44048" w:rsidRDefault="005D09BE" w:rsidP="00F4450D">
            <w:pPr>
              <w:jc w:val="both"/>
              <w:rPr>
                <w:rFonts w:ascii="Arial" w:hAnsi="Arial" w:cs="Arial"/>
                <w:sz w:val="16"/>
                <w:szCs w:val="16"/>
              </w:rPr>
            </w:pPr>
            <w:r w:rsidRPr="00D44048">
              <w:rPr>
                <w:rFonts w:ascii="Arial" w:hAnsi="Arial" w:cs="Arial"/>
                <w:sz w:val="16"/>
                <w:szCs w:val="16"/>
              </w:rPr>
              <w:t>7- C.F.S. ADMÓN. DE SISTEMAS INFORMÁTICOS EN RED (LOE)</w:t>
            </w:r>
          </w:p>
        </w:tc>
        <w:tc>
          <w:tcPr>
            <w:tcW w:w="878" w:type="dxa"/>
            <w:tcBorders>
              <w:top w:val="nil"/>
              <w:left w:val="nil"/>
              <w:bottom w:val="single" w:sz="4" w:space="0" w:color="auto"/>
              <w:right w:val="single" w:sz="4" w:space="0" w:color="auto"/>
            </w:tcBorders>
            <w:shd w:val="clear" w:color="auto" w:fill="auto"/>
            <w:vAlign w:val="center"/>
            <w:hideMark/>
          </w:tcPr>
          <w:p w14:paraId="25D3534C"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1º</w:t>
            </w:r>
          </w:p>
        </w:tc>
        <w:tc>
          <w:tcPr>
            <w:tcW w:w="1601" w:type="dxa"/>
            <w:tcBorders>
              <w:top w:val="nil"/>
              <w:left w:val="nil"/>
              <w:bottom w:val="single" w:sz="4" w:space="0" w:color="auto"/>
              <w:right w:val="single" w:sz="4" w:space="0" w:color="auto"/>
            </w:tcBorders>
            <w:shd w:val="clear" w:color="auto" w:fill="auto"/>
            <w:vAlign w:val="center"/>
            <w:hideMark/>
          </w:tcPr>
          <w:p w14:paraId="372F41FB"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1,217</w:t>
            </w:r>
          </w:p>
        </w:tc>
        <w:tc>
          <w:tcPr>
            <w:tcW w:w="1264" w:type="dxa"/>
            <w:tcBorders>
              <w:top w:val="nil"/>
              <w:left w:val="nil"/>
              <w:bottom w:val="single" w:sz="4" w:space="0" w:color="auto"/>
              <w:right w:val="single" w:sz="4" w:space="0" w:color="auto"/>
            </w:tcBorders>
            <w:shd w:val="clear" w:color="auto" w:fill="auto"/>
            <w:vAlign w:val="center"/>
            <w:hideMark/>
          </w:tcPr>
          <w:p w14:paraId="2B031CF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0,652</w:t>
            </w:r>
          </w:p>
        </w:tc>
        <w:tc>
          <w:tcPr>
            <w:tcW w:w="1405" w:type="dxa"/>
            <w:tcBorders>
              <w:top w:val="nil"/>
              <w:left w:val="nil"/>
              <w:bottom w:val="single" w:sz="4" w:space="0" w:color="auto"/>
              <w:right w:val="single" w:sz="4" w:space="0" w:color="auto"/>
            </w:tcBorders>
            <w:shd w:val="clear" w:color="auto" w:fill="auto"/>
            <w:vAlign w:val="center"/>
            <w:hideMark/>
          </w:tcPr>
          <w:p w14:paraId="317A0C7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89.787,88</w:t>
            </w:r>
          </w:p>
        </w:tc>
        <w:tc>
          <w:tcPr>
            <w:tcW w:w="1264" w:type="dxa"/>
            <w:tcBorders>
              <w:top w:val="nil"/>
              <w:left w:val="nil"/>
              <w:bottom w:val="single" w:sz="4" w:space="0" w:color="auto"/>
              <w:right w:val="single" w:sz="4" w:space="0" w:color="auto"/>
            </w:tcBorders>
            <w:shd w:val="clear" w:color="auto" w:fill="auto"/>
            <w:vAlign w:val="center"/>
            <w:hideMark/>
          </w:tcPr>
          <w:p w14:paraId="323CEC93"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69,73</w:t>
            </w:r>
          </w:p>
        </w:tc>
        <w:tc>
          <w:tcPr>
            <w:tcW w:w="1264" w:type="dxa"/>
            <w:tcBorders>
              <w:top w:val="nil"/>
              <w:left w:val="nil"/>
              <w:bottom w:val="single" w:sz="4" w:space="0" w:color="auto"/>
              <w:right w:val="single" w:sz="4" w:space="0" w:color="auto"/>
            </w:tcBorders>
            <w:shd w:val="clear" w:color="auto" w:fill="auto"/>
            <w:vAlign w:val="center"/>
            <w:hideMark/>
          </w:tcPr>
          <w:p w14:paraId="664C97D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17.157,43</w:t>
            </w:r>
          </w:p>
        </w:tc>
        <w:tc>
          <w:tcPr>
            <w:tcW w:w="1436" w:type="dxa"/>
            <w:tcBorders>
              <w:top w:val="nil"/>
              <w:left w:val="nil"/>
              <w:bottom w:val="single" w:sz="4" w:space="0" w:color="auto"/>
              <w:right w:val="single" w:sz="4" w:space="0" w:color="auto"/>
            </w:tcBorders>
            <w:shd w:val="clear" w:color="auto" w:fill="auto"/>
            <w:vAlign w:val="center"/>
            <w:hideMark/>
          </w:tcPr>
          <w:p w14:paraId="236A2E8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13,32</w:t>
            </w:r>
          </w:p>
        </w:tc>
        <w:tc>
          <w:tcPr>
            <w:tcW w:w="1190" w:type="dxa"/>
            <w:tcBorders>
              <w:top w:val="nil"/>
              <w:left w:val="nil"/>
              <w:bottom w:val="single" w:sz="4" w:space="0" w:color="auto"/>
              <w:right w:val="single" w:sz="4" w:space="0" w:color="auto"/>
            </w:tcBorders>
            <w:shd w:val="clear" w:color="auto" w:fill="auto"/>
            <w:vAlign w:val="center"/>
            <w:hideMark/>
          </w:tcPr>
          <w:p w14:paraId="3B87006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21.818,27</w:t>
            </w:r>
          </w:p>
        </w:tc>
        <w:tc>
          <w:tcPr>
            <w:tcW w:w="1182" w:type="dxa"/>
            <w:tcBorders>
              <w:top w:val="nil"/>
              <w:left w:val="nil"/>
              <w:bottom w:val="single" w:sz="4" w:space="0" w:color="auto"/>
              <w:right w:val="single" w:sz="4" w:space="0" w:color="auto"/>
            </w:tcBorders>
            <w:shd w:val="clear" w:color="auto" w:fill="auto"/>
            <w:vAlign w:val="center"/>
            <w:hideMark/>
          </w:tcPr>
          <w:p w14:paraId="45282F36"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16,95</w:t>
            </w:r>
          </w:p>
        </w:tc>
        <w:tc>
          <w:tcPr>
            <w:tcW w:w="1215" w:type="dxa"/>
            <w:tcBorders>
              <w:top w:val="nil"/>
              <w:left w:val="nil"/>
              <w:bottom w:val="single" w:sz="4" w:space="0" w:color="auto"/>
              <w:right w:val="single" w:sz="4" w:space="0" w:color="auto"/>
            </w:tcBorders>
            <w:shd w:val="clear" w:color="auto" w:fill="auto"/>
            <w:vAlign w:val="center"/>
            <w:hideMark/>
          </w:tcPr>
          <w:p w14:paraId="31A80DC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128.763,58</w:t>
            </w:r>
          </w:p>
        </w:tc>
      </w:tr>
      <w:tr w:rsidR="005D09BE" w:rsidRPr="00D44048" w14:paraId="3EF7EA87"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6470B82D" w14:textId="77777777" w:rsidR="005D09BE" w:rsidRPr="00D44048"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5356930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2º</w:t>
            </w:r>
          </w:p>
        </w:tc>
        <w:tc>
          <w:tcPr>
            <w:tcW w:w="1601" w:type="dxa"/>
            <w:tcBorders>
              <w:top w:val="nil"/>
              <w:left w:val="nil"/>
              <w:bottom w:val="single" w:sz="4" w:space="0" w:color="auto"/>
              <w:right w:val="single" w:sz="4" w:space="0" w:color="auto"/>
            </w:tcBorders>
            <w:shd w:val="clear" w:color="auto" w:fill="auto"/>
            <w:vAlign w:val="center"/>
            <w:hideMark/>
          </w:tcPr>
          <w:p w14:paraId="3B5356F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1,304</w:t>
            </w:r>
          </w:p>
        </w:tc>
        <w:tc>
          <w:tcPr>
            <w:tcW w:w="1264" w:type="dxa"/>
            <w:tcBorders>
              <w:top w:val="nil"/>
              <w:left w:val="nil"/>
              <w:bottom w:val="single" w:sz="4" w:space="0" w:color="auto"/>
              <w:right w:val="single" w:sz="4" w:space="0" w:color="auto"/>
            </w:tcBorders>
            <w:shd w:val="clear" w:color="auto" w:fill="auto"/>
            <w:vAlign w:val="center"/>
            <w:hideMark/>
          </w:tcPr>
          <w:p w14:paraId="073C69B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0,329</w:t>
            </w:r>
          </w:p>
        </w:tc>
        <w:tc>
          <w:tcPr>
            <w:tcW w:w="1405" w:type="dxa"/>
            <w:tcBorders>
              <w:top w:val="nil"/>
              <w:left w:val="nil"/>
              <w:bottom w:val="single" w:sz="4" w:space="0" w:color="auto"/>
              <w:right w:val="single" w:sz="4" w:space="0" w:color="auto"/>
            </w:tcBorders>
            <w:shd w:val="clear" w:color="auto" w:fill="auto"/>
            <w:vAlign w:val="center"/>
            <w:hideMark/>
          </w:tcPr>
          <w:p w14:paraId="33B09AD3"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79.463,71</w:t>
            </w:r>
          </w:p>
        </w:tc>
        <w:tc>
          <w:tcPr>
            <w:tcW w:w="1264" w:type="dxa"/>
            <w:tcBorders>
              <w:top w:val="nil"/>
              <w:left w:val="nil"/>
              <w:bottom w:val="single" w:sz="4" w:space="0" w:color="auto"/>
              <w:right w:val="single" w:sz="4" w:space="0" w:color="auto"/>
            </w:tcBorders>
            <w:shd w:val="clear" w:color="auto" w:fill="auto"/>
            <w:vAlign w:val="center"/>
            <w:hideMark/>
          </w:tcPr>
          <w:p w14:paraId="1930687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68,17</w:t>
            </w:r>
          </w:p>
        </w:tc>
        <w:tc>
          <w:tcPr>
            <w:tcW w:w="1264" w:type="dxa"/>
            <w:tcBorders>
              <w:top w:val="nil"/>
              <w:left w:val="nil"/>
              <w:bottom w:val="single" w:sz="4" w:space="0" w:color="auto"/>
              <w:right w:val="single" w:sz="4" w:space="0" w:color="auto"/>
            </w:tcBorders>
            <w:shd w:val="clear" w:color="auto" w:fill="auto"/>
            <w:vAlign w:val="center"/>
            <w:hideMark/>
          </w:tcPr>
          <w:p w14:paraId="712498E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15.278,13</w:t>
            </w:r>
          </w:p>
        </w:tc>
        <w:tc>
          <w:tcPr>
            <w:tcW w:w="1436" w:type="dxa"/>
            <w:tcBorders>
              <w:top w:val="nil"/>
              <w:left w:val="nil"/>
              <w:bottom w:val="single" w:sz="4" w:space="0" w:color="auto"/>
              <w:right w:val="single" w:sz="4" w:space="0" w:color="auto"/>
            </w:tcBorders>
            <w:shd w:val="clear" w:color="auto" w:fill="auto"/>
            <w:vAlign w:val="center"/>
            <w:hideMark/>
          </w:tcPr>
          <w:p w14:paraId="240C04C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13,11</w:t>
            </w:r>
          </w:p>
        </w:tc>
        <w:tc>
          <w:tcPr>
            <w:tcW w:w="1190" w:type="dxa"/>
            <w:tcBorders>
              <w:top w:val="nil"/>
              <w:left w:val="nil"/>
              <w:bottom w:val="single" w:sz="4" w:space="0" w:color="auto"/>
              <w:right w:val="single" w:sz="4" w:space="0" w:color="auto"/>
            </w:tcBorders>
            <w:shd w:val="clear" w:color="auto" w:fill="auto"/>
            <w:vAlign w:val="center"/>
            <w:hideMark/>
          </w:tcPr>
          <w:p w14:paraId="7C1F4ABC"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21.818,27</w:t>
            </w:r>
          </w:p>
        </w:tc>
        <w:tc>
          <w:tcPr>
            <w:tcW w:w="1182" w:type="dxa"/>
            <w:tcBorders>
              <w:top w:val="nil"/>
              <w:left w:val="nil"/>
              <w:bottom w:val="single" w:sz="4" w:space="0" w:color="auto"/>
              <w:right w:val="single" w:sz="4" w:space="0" w:color="auto"/>
            </w:tcBorders>
            <w:shd w:val="clear" w:color="auto" w:fill="auto"/>
            <w:vAlign w:val="center"/>
            <w:hideMark/>
          </w:tcPr>
          <w:p w14:paraId="5782FA5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18,72</w:t>
            </w:r>
          </w:p>
        </w:tc>
        <w:tc>
          <w:tcPr>
            <w:tcW w:w="1215" w:type="dxa"/>
            <w:tcBorders>
              <w:top w:val="nil"/>
              <w:left w:val="nil"/>
              <w:bottom w:val="single" w:sz="4" w:space="0" w:color="auto"/>
              <w:right w:val="single" w:sz="4" w:space="0" w:color="auto"/>
            </w:tcBorders>
            <w:shd w:val="clear" w:color="auto" w:fill="auto"/>
            <w:vAlign w:val="center"/>
            <w:hideMark/>
          </w:tcPr>
          <w:p w14:paraId="56CAD91C"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116.560,11</w:t>
            </w:r>
          </w:p>
        </w:tc>
      </w:tr>
      <w:tr w:rsidR="005D09BE" w:rsidRPr="00D44048" w14:paraId="2ABBFBAB"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47ED1156" w14:textId="77777777" w:rsidR="005D09BE" w:rsidRPr="00D44048" w:rsidRDefault="005D09BE" w:rsidP="00F4450D">
            <w:pPr>
              <w:jc w:val="both"/>
              <w:rPr>
                <w:rFonts w:ascii="Arial" w:hAnsi="Arial" w:cs="Arial"/>
                <w:sz w:val="16"/>
                <w:szCs w:val="16"/>
              </w:rPr>
            </w:pPr>
            <w:r w:rsidRPr="00D44048">
              <w:rPr>
                <w:rFonts w:ascii="Arial" w:hAnsi="Arial" w:cs="Arial"/>
                <w:sz w:val="16"/>
                <w:szCs w:val="16"/>
              </w:rPr>
              <w:t>8- C.F.S. AUTOMATIZACIÓN Y ROBÓTICA INDUSTRIAL</w:t>
            </w:r>
          </w:p>
        </w:tc>
        <w:tc>
          <w:tcPr>
            <w:tcW w:w="878" w:type="dxa"/>
            <w:tcBorders>
              <w:top w:val="nil"/>
              <w:left w:val="nil"/>
              <w:bottom w:val="single" w:sz="4" w:space="0" w:color="auto"/>
              <w:right w:val="single" w:sz="4" w:space="0" w:color="auto"/>
            </w:tcBorders>
            <w:shd w:val="clear" w:color="auto" w:fill="auto"/>
            <w:vAlign w:val="center"/>
            <w:hideMark/>
          </w:tcPr>
          <w:p w14:paraId="6CBEF75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1º</w:t>
            </w:r>
          </w:p>
        </w:tc>
        <w:tc>
          <w:tcPr>
            <w:tcW w:w="1601" w:type="dxa"/>
            <w:tcBorders>
              <w:top w:val="nil"/>
              <w:left w:val="nil"/>
              <w:bottom w:val="single" w:sz="4" w:space="0" w:color="auto"/>
              <w:right w:val="single" w:sz="4" w:space="0" w:color="auto"/>
            </w:tcBorders>
            <w:shd w:val="clear" w:color="auto" w:fill="auto"/>
            <w:vAlign w:val="center"/>
            <w:hideMark/>
          </w:tcPr>
          <w:p w14:paraId="7523C26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0,87</w:t>
            </w:r>
          </w:p>
        </w:tc>
        <w:tc>
          <w:tcPr>
            <w:tcW w:w="1264" w:type="dxa"/>
            <w:tcBorders>
              <w:top w:val="nil"/>
              <w:left w:val="nil"/>
              <w:bottom w:val="single" w:sz="4" w:space="0" w:color="auto"/>
              <w:right w:val="single" w:sz="4" w:space="0" w:color="auto"/>
            </w:tcBorders>
            <w:shd w:val="clear" w:color="auto" w:fill="auto"/>
            <w:vAlign w:val="center"/>
            <w:hideMark/>
          </w:tcPr>
          <w:p w14:paraId="77E60F15"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1,043</w:t>
            </w:r>
          </w:p>
        </w:tc>
        <w:tc>
          <w:tcPr>
            <w:tcW w:w="1405" w:type="dxa"/>
            <w:tcBorders>
              <w:top w:val="nil"/>
              <w:left w:val="nil"/>
              <w:bottom w:val="single" w:sz="4" w:space="0" w:color="auto"/>
              <w:right w:val="single" w:sz="4" w:space="0" w:color="auto"/>
            </w:tcBorders>
            <w:shd w:val="clear" w:color="auto" w:fill="auto"/>
            <w:vAlign w:val="center"/>
            <w:hideMark/>
          </w:tcPr>
          <w:p w14:paraId="4FDD89D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90.319,89</w:t>
            </w:r>
          </w:p>
        </w:tc>
        <w:tc>
          <w:tcPr>
            <w:tcW w:w="1264" w:type="dxa"/>
            <w:tcBorders>
              <w:top w:val="nil"/>
              <w:left w:val="nil"/>
              <w:bottom w:val="single" w:sz="4" w:space="0" w:color="auto"/>
              <w:right w:val="single" w:sz="4" w:space="0" w:color="auto"/>
            </w:tcBorders>
            <w:shd w:val="clear" w:color="auto" w:fill="auto"/>
            <w:vAlign w:val="center"/>
            <w:hideMark/>
          </w:tcPr>
          <w:p w14:paraId="00FE0EF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68,04</w:t>
            </w:r>
          </w:p>
        </w:tc>
        <w:tc>
          <w:tcPr>
            <w:tcW w:w="1264" w:type="dxa"/>
            <w:tcBorders>
              <w:top w:val="nil"/>
              <w:left w:val="nil"/>
              <w:bottom w:val="single" w:sz="4" w:space="0" w:color="auto"/>
              <w:right w:val="single" w:sz="4" w:space="0" w:color="auto"/>
            </w:tcBorders>
            <w:shd w:val="clear" w:color="auto" w:fill="auto"/>
            <w:vAlign w:val="center"/>
            <w:hideMark/>
          </w:tcPr>
          <w:p w14:paraId="2D91F2DA"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17.736,15</w:t>
            </w:r>
          </w:p>
        </w:tc>
        <w:tc>
          <w:tcPr>
            <w:tcW w:w="1436" w:type="dxa"/>
            <w:tcBorders>
              <w:top w:val="nil"/>
              <w:left w:val="nil"/>
              <w:bottom w:val="single" w:sz="4" w:space="0" w:color="auto"/>
              <w:right w:val="single" w:sz="4" w:space="0" w:color="auto"/>
            </w:tcBorders>
            <w:shd w:val="clear" w:color="auto" w:fill="auto"/>
            <w:vAlign w:val="center"/>
            <w:hideMark/>
          </w:tcPr>
          <w:p w14:paraId="531E611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13,36</w:t>
            </w:r>
          </w:p>
        </w:tc>
        <w:tc>
          <w:tcPr>
            <w:tcW w:w="1190" w:type="dxa"/>
            <w:tcBorders>
              <w:top w:val="nil"/>
              <w:left w:val="nil"/>
              <w:bottom w:val="single" w:sz="4" w:space="0" w:color="auto"/>
              <w:right w:val="single" w:sz="4" w:space="0" w:color="auto"/>
            </w:tcBorders>
            <w:shd w:val="clear" w:color="auto" w:fill="auto"/>
            <w:vAlign w:val="center"/>
            <w:hideMark/>
          </w:tcPr>
          <w:p w14:paraId="4F7FE17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24.687,38</w:t>
            </w:r>
          </w:p>
        </w:tc>
        <w:tc>
          <w:tcPr>
            <w:tcW w:w="1182" w:type="dxa"/>
            <w:tcBorders>
              <w:top w:val="nil"/>
              <w:left w:val="nil"/>
              <w:bottom w:val="single" w:sz="4" w:space="0" w:color="auto"/>
              <w:right w:val="single" w:sz="4" w:space="0" w:color="auto"/>
            </w:tcBorders>
            <w:shd w:val="clear" w:color="auto" w:fill="auto"/>
            <w:vAlign w:val="center"/>
            <w:hideMark/>
          </w:tcPr>
          <w:p w14:paraId="77FAAC63"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18,60</w:t>
            </w:r>
          </w:p>
        </w:tc>
        <w:tc>
          <w:tcPr>
            <w:tcW w:w="1215" w:type="dxa"/>
            <w:tcBorders>
              <w:top w:val="nil"/>
              <w:left w:val="nil"/>
              <w:bottom w:val="single" w:sz="4" w:space="0" w:color="auto"/>
              <w:right w:val="single" w:sz="4" w:space="0" w:color="auto"/>
            </w:tcBorders>
            <w:shd w:val="clear" w:color="auto" w:fill="auto"/>
            <w:vAlign w:val="center"/>
            <w:hideMark/>
          </w:tcPr>
          <w:p w14:paraId="66B4375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132.743,42</w:t>
            </w:r>
          </w:p>
        </w:tc>
      </w:tr>
      <w:tr w:rsidR="005D09BE" w:rsidRPr="00D44048" w14:paraId="0F07952F"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08B29AA7" w14:textId="77777777" w:rsidR="005D09BE" w:rsidRPr="00D44048"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46E3AFB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2º</w:t>
            </w:r>
          </w:p>
        </w:tc>
        <w:tc>
          <w:tcPr>
            <w:tcW w:w="1601" w:type="dxa"/>
            <w:tcBorders>
              <w:top w:val="nil"/>
              <w:left w:val="nil"/>
              <w:bottom w:val="single" w:sz="4" w:space="0" w:color="auto"/>
              <w:right w:val="single" w:sz="4" w:space="0" w:color="auto"/>
            </w:tcBorders>
            <w:shd w:val="clear" w:color="auto" w:fill="auto"/>
            <w:vAlign w:val="center"/>
            <w:hideMark/>
          </w:tcPr>
          <w:p w14:paraId="27D9D2E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1,348</w:t>
            </w:r>
          </w:p>
        </w:tc>
        <w:tc>
          <w:tcPr>
            <w:tcW w:w="1264" w:type="dxa"/>
            <w:tcBorders>
              <w:top w:val="nil"/>
              <w:left w:val="nil"/>
              <w:bottom w:val="single" w:sz="4" w:space="0" w:color="auto"/>
              <w:right w:val="single" w:sz="4" w:space="0" w:color="auto"/>
            </w:tcBorders>
            <w:shd w:val="clear" w:color="auto" w:fill="auto"/>
            <w:vAlign w:val="center"/>
            <w:hideMark/>
          </w:tcPr>
          <w:p w14:paraId="6A7CE1A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0,261</w:t>
            </w:r>
          </w:p>
        </w:tc>
        <w:tc>
          <w:tcPr>
            <w:tcW w:w="1405" w:type="dxa"/>
            <w:tcBorders>
              <w:top w:val="nil"/>
              <w:left w:val="nil"/>
              <w:bottom w:val="single" w:sz="4" w:space="0" w:color="auto"/>
              <w:right w:val="single" w:sz="4" w:space="0" w:color="auto"/>
            </w:tcBorders>
            <w:shd w:val="clear" w:color="auto" w:fill="auto"/>
            <w:vAlign w:val="center"/>
            <w:hideMark/>
          </w:tcPr>
          <w:p w14:paraId="53EA8A0E"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78.561,81</w:t>
            </w:r>
          </w:p>
        </w:tc>
        <w:tc>
          <w:tcPr>
            <w:tcW w:w="1264" w:type="dxa"/>
            <w:tcBorders>
              <w:top w:val="nil"/>
              <w:left w:val="nil"/>
              <w:bottom w:val="single" w:sz="4" w:space="0" w:color="auto"/>
              <w:right w:val="single" w:sz="4" w:space="0" w:color="auto"/>
            </w:tcBorders>
            <w:shd w:val="clear" w:color="auto" w:fill="auto"/>
            <w:vAlign w:val="center"/>
            <w:hideMark/>
          </w:tcPr>
          <w:p w14:paraId="67BF1D9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66,09</w:t>
            </w:r>
          </w:p>
        </w:tc>
        <w:tc>
          <w:tcPr>
            <w:tcW w:w="1264" w:type="dxa"/>
            <w:tcBorders>
              <w:top w:val="nil"/>
              <w:left w:val="nil"/>
              <w:bottom w:val="single" w:sz="4" w:space="0" w:color="auto"/>
              <w:right w:val="single" w:sz="4" w:space="0" w:color="auto"/>
            </w:tcBorders>
            <w:shd w:val="clear" w:color="auto" w:fill="auto"/>
            <w:vAlign w:val="center"/>
            <w:hideMark/>
          </w:tcPr>
          <w:p w14:paraId="29E00AC5"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15.619,49</w:t>
            </w:r>
          </w:p>
        </w:tc>
        <w:tc>
          <w:tcPr>
            <w:tcW w:w="1436" w:type="dxa"/>
            <w:tcBorders>
              <w:top w:val="nil"/>
              <w:left w:val="nil"/>
              <w:bottom w:val="single" w:sz="4" w:space="0" w:color="auto"/>
              <w:right w:val="single" w:sz="4" w:space="0" w:color="auto"/>
            </w:tcBorders>
            <w:shd w:val="clear" w:color="auto" w:fill="auto"/>
            <w:vAlign w:val="center"/>
            <w:hideMark/>
          </w:tcPr>
          <w:p w14:paraId="1309EF4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13,14</w:t>
            </w:r>
          </w:p>
        </w:tc>
        <w:tc>
          <w:tcPr>
            <w:tcW w:w="1190" w:type="dxa"/>
            <w:tcBorders>
              <w:top w:val="nil"/>
              <w:left w:val="nil"/>
              <w:bottom w:val="single" w:sz="4" w:space="0" w:color="auto"/>
              <w:right w:val="single" w:sz="4" w:space="0" w:color="auto"/>
            </w:tcBorders>
            <w:shd w:val="clear" w:color="auto" w:fill="auto"/>
            <w:vAlign w:val="center"/>
            <w:hideMark/>
          </w:tcPr>
          <w:p w14:paraId="7F2D23B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24.687,52</w:t>
            </w:r>
          </w:p>
        </w:tc>
        <w:tc>
          <w:tcPr>
            <w:tcW w:w="1182" w:type="dxa"/>
            <w:tcBorders>
              <w:top w:val="nil"/>
              <w:left w:val="nil"/>
              <w:bottom w:val="single" w:sz="4" w:space="0" w:color="auto"/>
              <w:right w:val="single" w:sz="4" w:space="0" w:color="auto"/>
            </w:tcBorders>
            <w:shd w:val="clear" w:color="auto" w:fill="auto"/>
            <w:vAlign w:val="center"/>
            <w:hideMark/>
          </w:tcPr>
          <w:p w14:paraId="01C155FE"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20,77</w:t>
            </w:r>
          </w:p>
        </w:tc>
        <w:tc>
          <w:tcPr>
            <w:tcW w:w="1215" w:type="dxa"/>
            <w:tcBorders>
              <w:top w:val="nil"/>
              <w:left w:val="nil"/>
              <w:bottom w:val="single" w:sz="4" w:space="0" w:color="auto"/>
              <w:right w:val="single" w:sz="4" w:space="0" w:color="auto"/>
            </w:tcBorders>
            <w:shd w:val="clear" w:color="auto" w:fill="auto"/>
            <w:vAlign w:val="center"/>
            <w:hideMark/>
          </w:tcPr>
          <w:p w14:paraId="710CB1A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118.868,82</w:t>
            </w:r>
          </w:p>
        </w:tc>
      </w:tr>
      <w:tr w:rsidR="005D09BE" w:rsidRPr="00D44048" w14:paraId="2BCD9BEE"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30F2E3E6" w14:textId="77777777" w:rsidR="005D09BE" w:rsidRPr="00D44048" w:rsidRDefault="005D09BE" w:rsidP="00F4450D">
            <w:pPr>
              <w:jc w:val="both"/>
              <w:rPr>
                <w:rFonts w:ascii="Arial" w:hAnsi="Arial" w:cs="Arial"/>
                <w:sz w:val="16"/>
                <w:szCs w:val="16"/>
              </w:rPr>
            </w:pPr>
            <w:r w:rsidRPr="00D44048">
              <w:rPr>
                <w:rFonts w:ascii="Arial" w:hAnsi="Arial" w:cs="Arial"/>
                <w:sz w:val="16"/>
                <w:szCs w:val="16"/>
              </w:rPr>
              <w:t>9-C.F.S. PROGRAMACIÓN DE LA PRODUCCIÓN EN FABRICACIÓN MECÁNICA (LOE)</w:t>
            </w:r>
          </w:p>
        </w:tc>
        <w:tc>
          <w:tcPr>
            <w:tcW w:w="878" w:type="dxa"/>
            <w:tcBorders>
              <w:top w:val="nil"/>
              <w:left w:val="nil"/>
              <w:bottom w:val="single" w:sz="4" w:space="0" w:color="auto"/>
              <w:right w:val="single" w:sz="4" w:space="0" w:color="auto"/>
            </w:tcBorders>
            <w:shd w:val="clear" w:color="auto" w:fill="auto"/>
            <w:vAlign w:val="center"/>
            <w:hideMark/>
          </w:tcPr>
          <w:p w14:paraId="711DAE64"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1º</w:t>
            </w:r>
          </w:p>
        </w:tc>
        <w:tc>
          <w:tcPr>
            <w:tcW w:w="1601" w:type="dxa"/>
            <w:tcBorders>
              <w:top w:val="nil"/>
              <w:left w:val="nil"/>
              <w:bottom w:val="single" w:sz="4" w:space="0" w:color="auto"/>
              <w:right w:val="single" w:sz="4" w:space="0" w:color="auto"/>
            </w:tcBorders>
            <w:shd w:val="clear" w:color="auto" w:fill="auto"/>
            <w:vAlign w:val="center"/>
            <w:hideMark/>
          </w:tcPr>
          <w:p w14:paraId="1AB8293E"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0,696</w:t>
            </w:r>
          </w:p>
        </w:tc>
        <w:tc>
          <w:tcPr>
            <w:tcW w:w="1264" w:type="dxa"/>
            <w:tcBorders>
              <w:top w:val="nil"/>
              <w:left w:val="nil"/>
              <w:bottom w:val="single" w:sz="4" w:space="0" w:color="auto"/>
              <w:right w:val="single" w:sz="4" w:space="0" w:color="auto"/>
            </w:tcBorders>
            <w:shd w:val="clear" w:color="auto" w:fill="auto"/>
            <w:vAlign w:val="center"/>
            <w:hideMark/>
          </w:tcPr>
          <w:p w14:paraId="2612ED3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1,043</w:t>
            </w:r>
          </w:p>
        </w:tc>
        <w:tc>
          <w:tcPr>
            <w:tcW w:w="1405" w:type="dxa"/>
            <w:tcBorders>
              <w:top w:val="nil"/>
              <w:left w:val="nil"/>
              <w:bottom w:val="single" w:sz="4" w:space="0" w:color="auto"/>
              <w:right w:val="single" w:sz="4" w:space="0" w:color="auto"/>
            </w:tcBorders>
            <w:shd w:val="clear" w:color="auto" w:fill="auto"/>
            <w:vAlign w:val="center"/>
            <w:hideMark/>
          </w:tcPr>
          <w:p w14:paraId="3F223715"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81.705,23</w:t>
            </w:r>
          </w:p>
        </w:tc>
        <w:tc>
          <w:tcPr>
            <w:tcW w:w="1264" w:type="dxa"/>
            <w:tcBorders>
              <w:top w:val="nil"/>
              <w:left w:val="nil"/>
              <w:bottom w:val="single" w:sz="4" w:space="0" w:color="auto"/>
              <w:right w:val="single" w:sz="4" w:space="0" w:color="auto"/>
            </w:tcBorders>
            <w:shd w:val="clear" w:color="auto" w:fill="auto"/>
            <w:vAlign w:val="center"/>
            <w:hideMark/>
          </w:tcPr>
          <w:p w14:paraId="1EA8090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64,91</w:t>
            </w:r>
          </w:p>
        </w:tc>
        <w:tc>
          <w:tcPr>
            <w:tcW w:w="1264" w:type="dxa"/>
            <w:tcBorders>
              <w:top w:val="nil"/>
              <w:left w:val="nil"/>
              <w:bottom w:val="single" w:sz="4" w:space="0" w:color="auto"/>
              <w:right w:val="single" w:sz="4" w:space="0" w:color="auto"/>
            </w:tcBorders>
            <w:shd w:val="clear" w:color="auto" w:fill="auto"/>
            <w:vAlign w:val="center"/>
            <w:hideMark/>
          </w:tcPr>
          <w:p w14:paraId="2F6E462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16.082,32</w:t>
            </w:r>
          </w:p>
        </w:tc>
        <w:tc>
          <w:tcPr>
            <w:tcW w:w="1436" w:type="dxa"/>
            <w:tcBorders>
              <w:top w:val="nil"/>
              <w:left w:val="nil"/>
              <w:bottom w:val="single" w:sz="4" w:space="0" w:color="auto"/>
              <w:right w:val="single" w:sz="4" w:space="0" w:color="auto"/>
            </w:tcBorders>
            <w:shd w:val="clear" w:color="auto" w:fill="auto"/>
            <w:vAlign w:val="center"/>
            <w:hideMark/>
          </w:tcPr>
          <w:p w14:paraId="34870BE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12,78</w:t>
            </w:r>
          </w:p>
        </w:tc>
        <w:tc>
          <w:tcPr>
            <w:tcW w:w="1190" w:type="dxa"/>
            <w:tcBorders>
              <w:top w:val="nil"/>
              <w:left w:val="nil"/>
              <w:bottom w:val="single" w:sz="4" w:space="0" w:color="auto"/>
              <w:right w:val="single" w:sz="4" w:space="0" w:color="auto"/>
            </w:tcBorders>
            <w:shd w:val="clear" w:color="auto" w:fill="auto"/>
            <w:vAlign w:val="center"/>
            <w:hideMark/>
          </w:tcPr>
          <w:p w14:paraId="3BDFA74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28.086,35</w:t>
            </w:r>
          </w:p>
        </w:tc>
        <w:tc>
          <w:tcPr>
            <w:tcW w:w="1182" w:type="dxa"/>
            <w:tcBorders>
              <w:top w:val="nil"/>
              <w:left w:val="nil"/>
              <w:bottom w:val="single" w:sz="4" w:space="0" w:color="auto"/>
              <w:right w:val="single" w:sz="4" w:space="0" w:color="auto"/>
            </w:tcBorders>
            <w:shd w:val="clear" w:color="auto" w:fill="auto"/>
            <w:vAlign w:val="center"/>
            <w:hideMark/>
          </w:tcPr>
          <w:p w14:paraId="0E21484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22,31</w:t>
            </w:r>
          </w:p>
        </w:tc>
        <w:tc>
          <w:tcPr>
            <w:tcW w:w="1215" w:type="dxa"/>
            <w:tcBorders>
              <w:top w:val="nil"/>
              <w:left w:val="nil"/>
              <w:bottom w:val="single" w:sz="4" w:space="0" w:color="auto"/>
              <w:right w:val="single" w:sz="4" w:space="0" w:color="auto"/>
            </w:tcBorders>
            <w:shd w:val="clear" w:color="auto" w:fill="auto"/>
            <w:vAlign w:val="center"/>
            <w:hideMark/>
          </w:tcPr>
          <w:p w14:paraId="2DDDA9F3"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125.873,90</w:t>
            </w:r>
          </w:p>
        </w:tc>
      </w:tr>
      <w:tr w:rsidR="005D09BE" w:rsidRPr="00D44048" w14:paraId="79BAD95D"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09E3CC56" w14:textId="77777777" w:rsidR="005D09BE" w:rsidRPr="00D44048"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0322AEA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2º</w:t>
            </w:r>
          </w:p>
        </w:tc>
        <w:tc>
          <w:tcPr>
            <w:tcW w:w="1601" w:type="dxa"/>
            <w:tcBorders>
              <w:top w:val="nil"/>
              <w:left w:val="nil"/>
              <w:bottom w:val="single" w:sz="4" w:space="0" w:color="auto"/>
              <w:right w:val="single" w:sz="4" w:space="0" w:color="auto"/>
            </w:tcBorders>
            <w:shd w:val="clear" w:color="auto" w:fill="auto"/>
            <w:vAlign w:val="center"/>
            <w:hideMark/>
          </w:tcPr>
          <w:p w14:paraId="6493D57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1,304</w:t>
            </w:r>
          </w:p>
        </w:tc>
        <w:tc>
          <w:tcPr>
            <w:tcW w:w="1264" w:type="dxa"/>
            <w:tcBorders>
              <w:top w:val="nil"/>
              <w:left w:val="nil"/>
              <w:bottom w:val="single" w:sz="4" w:space="0" w:color="auto"/>
              <w:right w:val="single" w:sz="4" w:space="0" w:color="auto"/>
            </w:tcBorders>
            <w:shd w:val="clear" w:color="auto" w:fill="auto"/>
            <w:vAlign w:val="center"/>
            <w:hideMark/>
          </w:tcPr>
          <w:p w14:paraId="1672614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0,304</w:t>
            </w:r>
          </w:p>
        </w:tc>
        <w:tc>
          <w:tcPr>
            <w:tcW w:w="1405" w:type="dxa"/>
            <w:tcBorders>
              <w:top w:val="nil"/>
              <w:left w:val="nil"/>
              <w:bottom w:val="single" w:sz="4" w:space="0" w:color="auto"/>
              <w:right w:val="single" w:sz="4" w:space="0" w:color="auto"/>
            </w:tcBorders>
            <w:shd w:val="clear" w:color="auto" w:fill="auto"/>
            <w:vAlign w:val="center"/>
            <w:hideMark/>
          </w:tcPr>
          <w:p w14:paraId="3D09A53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78.331,24</w:t>
            </w:r>
          </w:p>
        </w:tc>
        <w:tc>
          <w:tcPr>
            <w:tcW w:w="1264" w:type="dxa"/>
            <w:tcBorders>
              <w:top w:val="nil"/>
              <w:left w:val="nil"/>
              <w:bottom w:val="single" w:sz="4" w:space="0" w:color="auto"/>
              <w:right w:val="single" w:sz="4" w:space="0" w:color="auto"/>
            </w:tcBorders>
            <w:shd w:val="clear" w:color="auto" w:fill="auto"/>
            <w:vAlign w:val="center"/>
            <w:hideMark/>
          </w:tcPr>
          <w:p w14:paraId="3615494A"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64,47</w:t>
            </w:r>
          </w:p>
        </w:tc>
        <w:tc>
          <w:tcPr>
            <w:tcW w:w="1264" w:type="dxa"/>
            <w:tcBorders>
              <w:top w:val="nil"/>
              <w:left w:val="nil"/>
              <w:bottom w:val="single" w:sz="4" w:space="0" w:color="auto"/>
              <w:right w:val="single" w:sz="4" w:space="0" w:color="auto"/>
            </w:tcBorders>
            <w:shd w:val="clear" w:color="auto" w:fill="auto"/>
            <w:vAlign w:val="center"/>
            <w:hideMark/>
          </w:tcPr>
          <w:p w14:paraId="69A968D5"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15.083,15</w:t>
            </w:r>
          </w:p>
        </w:tc>
        <w:tc>
          <w:tcPr>
            <w:tcW w:w="1436" w:type="dxa"/>
            <w:tcBorders>
              <w:top w:val="nil"/>
              <w:left w:val="nil"/>
              <w:bottom w:val="single" w:sz="4" w:space="0" w:color="auto"/>
              <w:right w:val="single" w:sz="4" w:space="0" w:color="auto"/>
            </w:tcBorders>
            <w:shd w:val="clear" w:color="auto" w:fill="auto"/>
            <w:vAlign w:val="center"/>
            <w:hideMark/>
          </w:tcPr>
          <w:p w14:paraId="2327A22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12,41</w:t>
            </w:r>
          </w:p>
        </w:tc>
        <w:tc>
          <w:tcPr>
            <w:tcW w:w="1190" w:type="dxa"/>
            <w:tcBorders>
              <w:top w:val="nil"/>
              <w:left w:val="nil"/>
              <w:bottom w:val="single" w:sz="4" w:space="0" w:color="auto"/>
              <w:right w:val="single" w:sz="4" w:space="0" w:color="auto"/>
            </w:tcBorders>
            <w:shd w:val="clear" w:color="auto" w:fill="auto"/>
            <w:vAlign w:val="center"/>
            <w:hideMark/>
          </w:tcPr>
          <w:p w14:paraId="42836AE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28.086,35</w:t>
            </w:r>
          </w:p>
        </w:tc>
        <w:tc>
          <w:tcPr>
            <w:tcW w:w="1182" w:type="dxa"/>
            <w:tcBorders>
              <w:top w:val="nil"/>
              <w:left w:val="nil"/>
              <w:bottom w:val="single" w:sz="4" w:space="0" w:color="auto"/>
              <w:right w:val="single" w:sz="4" w:space="0" w:color="auto"/>
            </w:tcBorders>
            <w:shd w:val="clear" w:color="auto" w:fill="auto"/>
            <w:vAlign w:val="center"/>
            <w:hideMark/>
          </w:tcPr>
          <w:p w14:paraId="46AA2D56"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23,12</w:t>
            </w:r>
          </w:p>
        </w:tc>
        <w:tc>
          <w:tcPr>
            <w:tcW w:w="1215" w:type="dxa"/>
            <w:tcBorders>
              <w:top w:val="nil"/>
              <w:left w:val="nil"/>
              <w:bottom w:val="single" w:sz="4" w:space="0" w:color="auto"/>
              <w:right w:val="single" w:sz="4" w:space="0" w:color="auto"/>
            </w:tcBorders>
            <w:shd w:val="clear" w:color="auto" w:fill="auto"/>
            <w:vAlign w:val="center"/>
            <w:hideMark/>
          </w:tcPr>
          <w:p w14:paraId="099A2645"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121.500,74</w:t>
            </w:r>
          </w:p>
        </w:tc>
      </w:tr>
      <w:tr w:rsidR="005D09BE" w:rsidRPr="00D44048" w14:paraId="71E42B05"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1031BCC0" w14:textId="77777777" w:rsidR="005D09BE" w:rsidRPr="00D44048" w:rsidRDefault="005D09BE" w:rsidP="00F4450D">
            <w:pPr>
              <w:jc w:val="both"/>
              <w:rPr>
                <w:rFonts w:ascii="Arial" w:hAnsi="Arial" w:cs="Arial"/>
                <w:sz w:val="16"/>
                <w:szCs w:val="16"/>
              </w:rPr>
            </w:pPr>
            <w:r w:rsidRPr="00D44048">
              <w:rPr>
                <w:rFonts w:ascii="Arial" w:hAnsi="Arial" w:cs="Arial"/>
                <w:sz w:val="16"/>
                <w:szCs w:val="16"/>
              </w:rPr>
              <w:t>10-C.F.S. GESTIÓN DEL TRANSPORTE</w:t>
            </w:r>
          </w:p>
        </w:tc>
        <w:tc>
          <w:tcPr>
            <w:tcW w:w="878" w:type="dxa"/>
            <w:tcBorders>
              <w:top w:val="nil"/>
              <w:left w:val="nil"/>
              <w:bottom w:val="single" w:sz="4" w:space="0" w:color="auto"/>
              <w:right w:val="single" w:sz="4" w:space="0" w:color="auto"/>
            </w:tcBorders>
            <w:shd w:val="clear" w:color="auto" w:fill="auto"/>
            <w:vAlign w:val="center"/>
            <w:hideMark/>
          </w:tcPr>
          <w:p w14:paraId="5F22BDE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1º</w:t>
            </w:r>
          </w:p>
        </w:tc>
        <w:tc>
          <w:tcPr>
            <w:tcW w:w="1601" w:type="dxa"/>
            <w:tcBorders>
              <w:top w:val="nil"/>
              <w:left w:val="nil"/>
              <w:bottom w:val="single" w:sz="4" w:space="0" w:color="auto"/>
              <w:right w:val="single" w:sz="4" w:space="0" w:color="auto"/>
            </w:tcBorders>
            <w:shd w:val="clear" w:color="auto" w:fill="auto"/>
            <w:vAlign w:val="center"/>
            <w:hideMark/>
          </w:tcPr>
          <w:p w14:paraId="52DB606A"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0,783</w:t>
            </w:r>
          </w:p>
        </w:tc>
        <w:tc>
          <w:tcPr>
            <w:tcW w:w="1264" w:type="dxa"/>
            <w:tcBorders>
              <w:top w:val="nil"/>
              <w:left w:val="nil"/>
              <w:bottom w:val="single" w:sz="4" w:space="0" w:color="auto"/>
              <w:right w:val="single" w:sz="4" w:space="0" w:color="auto"/>
            </w:tcBorders>
            <w:shd w:val="clear" w:color="auto" w:fill="auto"/>
            <w:vAlign w:val="center"/>
            <w:hideMark/>
          </w:tcPr>
          <w:p w14:paraId="450EB02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0,696</w:t>
            </w:r>
          </w:p>
        </w:tc>
        <w:tc>
          <w:tcPr>
            <w:tcW w:w="1405" w:type="dxa"/>
            <w:tcBorders>
              <w:top w:val="nil"/>
              <w:left w:val="nil"/>
              <w:bottom w:val="single" w:sz="4" w:space="0" w:color="auto"/>
              <w:right w:val="single" w:sz="4" w:space="0" w:color="auto"/>
            </w:tcBorders>
            <w:shd w:val="clear" w:color="auto" w:fill="auto"/>
            <w:vAlign w:val="center"/>
            <w:hideMark/>
          </w:tcPr>
          <w:p w14:paraId="5F87B1DC"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70.293,89</w:t>
            </w:r>
          </w:p>
        </w:tc>
        <w:tc>
          <w:tcPr>
            <w:tcW w:w="1264" w:type="dxa"/>
            <w:tcBorders>
              <w:top w:val="nil"/>
              <w:left w:val="nil"/>
              <w:bottom w:val="single" w:sz="4" w:space="0" w:color="auto"/>
              <w:right w:val="single" w:sz="4" w:space="0" w:color="auto"/>
            </w:tcBorders>
            <w:shd w:val="clear" w:color="auto" w:fill="auto"/>
            <w:vAlign w:val="center"/>
            <w:hideMark/>
          </w:tcPr>
          <w:p w14:paraId="73BF36E3"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67,34</w:t>
            </w:r>
          </w:p>
        </w:tc>
        <w:tc>
          <w:tcPr>
            <w:tcW w:w="1264" w:type="dxa"/>
            <w:tcBorders>
              <w:top w:val="nil"/>
              <w:left w:val="nil"/>
              <w:bottom w:val="single" w:sz="4" w:space="0" w:color="auto"/>
              <w:right w:val="single" w:sz="4" w:space="0" w:color="auto"/>
            </w:tcBorders>
            <w:shd w:val="clear" w:color="auto" w:fill="auto"/>
            <w:vAlign w:val="center"/>
            <w:hideMark/>
          </w:tcPr>
          <w:p w14:paraId="09A986D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14.199,77</w:t>
            </w:r>
          </w:p>
        </w:tc>
        <w:tc>
          <w:tcPr>
            <w:tcW w:w="1436" w:type="dxa"/>
            <w:tcBorders>
              <w:top w:val="nil"/>
              <w:left w:val="nil"/>
              <w:bottom w:val="single" w:sz="4" w:space="0" w:color="auto"/>
              <w:right w:val="single" w:sz="4" w:space="0" w:color="auto"/>
            </w:tcBorders>
            <w:shd w:val="clear" w:color="auto" w:fill="auto"/>
            <w:vAlign w:val="center"/>
            <w:hideMark/>
          </w:tcPr>
          <w:p w14:paraId="47A7DBC6"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13,60</w:t>
            </w:r>
          </w:p>
        </w:tc>
        <w:tc>
          <w:tcPr>
            <w:tcW w:w="1190" w:type="dxa"/>
            <w:tcBorders>
              <w:top w:val="nil"/>
              <w:left w:val="nil"/>
              <w:bottom w:val="single" w:sz="4" w:space="0" w:color="auto"/>
              <w:right w:val="single" w:sz="4" w:space="0" w:color="auto"/>
            </w:tcBorders>
            <w:shd w:val="clear" w:color="auto" w:fill="auto"/>
            <w:vAlign w:val="center"/>
            <w:hideMark/>
          </w:tcPr>
          <w:p w14:paraId="0DA70EB4"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19.886,54</w:t>
            </w:r>
          </w:p>
        </w:tc>
        <w:tc>
          <w:tcPr>
            <w:tcW w:w="1182" w:type="dxa"/>
            <w:tcBorders>
              <w:top w:val="nil"/>
              <w:left w:val="nil"/>
              <w:bottom w:val="single" w:sz="4" w:space="0" w:color="auto"/>
              <w:right w:val="single" w:sz="4" w:space="0" w:color="auto"/>
            </w:tcBorders>
            <w:shd w:val="clear" w:color="auto" w:fill="auto"/>
            <w:vAlign w:val="center"/>
            <w:hideMark/>
          </w:tcPr>
          <w:p w14:paraId="5CEBC5B6"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19,06</w:t>
            </w:r>
          </w:p>
        </w:tc>
        <w:tc>
          <w:tcPr>
            <w:tcW w:w="1215" w:type="dxa"/>
            <w:tcBorders>
              <w:top w:val="nil"/>
              <w:left w:val="nil"/>
              <w:bottom w:val="single" w:sz="4" w:space="0" w:color="auto"/>
              <w:right w:val="single" w:sz="4" w:space="0" w:color="auto"/>
            </w:tcBorders>
            <w:shd w:val="clear" w:color="auto" w:fill="auto"/>
            <w:vAlign w:val="center"/>
            <w:hideMark/>
          </w:tcPr>
          <w:p w14:paraId="5C0CCB6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104.380,20</w:t>
            </w:r>
          </w:p>
        </w:tc>
      </w:tr>
      <w:tr w:rsidR="005D09BE" w:rsidRPr="00D44048" w14:paraId="0016CD92"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595361A4" w14:textId="77777777" w:rsidR="005D09BE" w:rsidRPr="00D44048"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6ED5B01C"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2º</w:t>
            </w:r>
          </w:p>
        </w:tc>
        <w:tc>
          <w:tcPr>
            <w:tcW w:w="1601" w:type="dxa"/>
            <w:tcBorders>
              <w:top w:val="nil"/>
              <w:left w:val="nil"/>
              <w:bottom w:val="single" w:sz="4" w:space="0" w:color="auto"/>
              <w:right w:val="single" w:sz="4" w:space="0" w:color="auto"/>
            </w:tcBorders>
            <w:shd w:val="clear" w:color="auto" w:fill="auto"/>
            <w:vAlign w:val="center"/>
            <w:hideMark/>
          </w:tcPr>
          <w:p w14:paraId="16D212B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1,435</w:t>
            </w:r>
          </w:p>
        </w:tc>
        <w:tc>
          <w:tcPr>
            <w:tcW w:w="1264" w:type="dxa"/>
            <w:tcBorders>
              <w:top w:val="nil"/>
              <w:left w:val="nil"/>
              <w:bottom w:val="single" w:sz="4" w:space="0" w:color="auto"/>
              <w:right w:val="single" w:sz="4" w:space="0" w:color="auto"/>
            </w:tcBorders>
            <w:shd w:val="clear" w:color="auto" w:fill="auto"/>
            <w:vAlign w:val="center"/>
            <w:hideMark/>
          </w:tcPr>
          <w:p w14:paraId="1424C9BB" w14:textId="77777777" w:rsidR="005D09BE" w:rsidRPr="00D44048" w:rsidRDefault="005D09BE" w:rsidP="00F4450D">
            <w:pPr>
              <w:jc w:val="center"/>
              <w:rPr>
                <w:rFonts w:ascii="Arial" w:hAnsi="Arial" w:cs="Arial"/>
                <w:sz w:val="16"/>
                <w:szCs w:val="16"/>
              </w:rPr>
            </w:pPr>
            <w:r w:rsidRPr="00D44048">
              <w:rPr>
                <w:rFonts w:ascii="Arial" w:hAnsi="Arial" w:cs="Arial"/>
                <w:w w:val="99"/>
                <w:sz w:val="16"/>
                <w:szCs w:val="16"/>
              </w:rPr>
              <w:t>0</w:t>
            </w:r>
          </w:p>
        </w:tc>
        <w:tc>
          <w:tcPr>
            <w:tcW w:w="1405" w:type="dxa"/>
            <w:tcBorders>
              <w:top w:val="nil"/>
              <w:left w:val="nil"/>
              <w:bottom w:val="single" w:sz="4" w:space="0" w:color="auto"/>
              <w:right w:val="single" w:sz="4" w:space="0" w:color="auto"/>
            </w:tcBorders>
            <w:shd w:val="clear" w:color="auto" w:fill="auto"/>
            <w:vAlign w:val="center"/>
            <w:hideMark/>
          </w:tcPr>
          <w:p w14:paraId="625BB6D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71.046,17</w:t>
            </w:r>
          </w:p>
        </w:tc>
        <w:tc>
          <w:tcPr>
            <w:tcW w:w="1264" w:type="dxa"/>
            <w:tcBorders>
              <w:top w:val="nil"/>
              <w:left w:val="nil"/>
              <w:bottom w:val="single" w:sz="4" w:space="0" w:color="auto"/>
              <w:right w:val="single" w:sz="4" w:space="0" w:color="auto"/>
            </w:tcBorders>
            <w:shd w:val="clear" w:color="auto" w:fill="auto"/>
            <w:vAlign w:val="center"/>
            <w:hideMark/>
          </w:tcPr>
          <w:p w14:paraId="738240E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67,78</w:t>
            </w:r>
          </w:p>
        </w:tc>
        <w:tc>
          <w:tcPr>
            <w:tcW w:w="1264" w:type="dxa"/>
            <w:tcBorders>
              <w:top w:val="nil"/>
              <w:left w:val="nil"/>
              <w:bottom w:val="single" w:sz="4" w:space="0" w:color="auto"/>
              <w:right w:val="single" w:sz="4" w:space="0" w:color="auto"/>
            </w:tcBorders>
            <w:shd w:val="clear" w:color="auto" w:fill="auto"/>
            <w:vAlign w:val="center"/>
            <w:hideMark/>
          </w:tcPr>
          <w:p w14:paraId="66FFCB5B"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13.890,45</w:t>
            </w:r>
          </w:p>
        </w:tc>
        <w:tc>
          <w:tcPr>
            <w:tcW w:w="1436" w:type="dxa"/>
            <w:tcBorders>
              <w:top w:val="nil"/>
              <w:left w:val="nil"/>
              <w:bottom w:val="single" w:sz="4" w:space="0" w:color="auto"/>
              <w:right w:val="single" w:sz="4" w:space="0" w:color="auto"/>
            </w:tcBorders>
            <w:shd w:val="clear" w:color="auto" w:fill="auto"/>
            <w:vAlign w:val="center"/>
            <w:hideMark/>
          </w:tcPr>
          <w:p w14:paraId="7E29572B"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13,25</w:t>
            </w:r>
          </w:p>
        </w:tc>
        <w:tc>
          <w:tcPr>
            <w:tcW w:w="1190" w:type="dxa"/>
            <w:tcBorders>
              <w:top w:val="nil"/>
              <w:left w:val="nil"/>
              <w:bottom w:val="single" w:sz="4" w:space="0" w:color="auto"/>
              <w:right w:val="single" w:sz="4" w:space="0" w:color="auto"/>
            </w:tcBorders>
            <w:shd w:val="clear" w:color="auto" w:fill="auto"/>
            <w:vAlign w:val="center"/>
            <w:hideMark/>
          </w:tcPr>
          <w:p w14:paraId="1302092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19.886,54</w:t>
            </w:r>
          </w:p>
        </w:tc>
        <w:tc>
          <w:tcPr>
            <w:tcW w:w="1182" w:type="dxa"/>
            <w:tcBorders>
              <w:top w:val="nil"/>
              <w:left w:val="nil"/>
              <w:bottom w:val="single" w:sz="4" w:space="0" w:color="auto"/>
              <w:right w:val="single" w:sz="4" w:space="0" w:color="auto"/>
            </w:tcBorders>
            <w:shd w:val="clear" w:color="auto" w:fill="auto"/>
            <w:vAlign w:val="center"/>
            <w:hideMark/>
          </w:tcPr>
          <w:p w14:paraId="5025F2C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18,97</w:t>
            </w:r>
          </w:p>
        </w:tc>
        <w:tc>
          <w:tcPr>
            <w:tcW w:w="1215" w:type="dxa"/>
            <w:tcBorders>
              <w:top w:val="nil"/>
              <w:left w:val="nil"/>
              <w:bottom w:val="single" w:sz="4" w:space="0" w:color="auto"/>
              <w:right w:val="single" w:sz="4" w:space="0" w:color="auto"/>
            </w:tcBorders>
            <w:shd w:val="clear" w:color="auto" w:fill="auto"/>
            <w:vAlign w:val="center"/>
            <w:hideMark/>
          </w:tcPr>
          <w:p w14:paraId="5AE0E0A4"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104.823,16</w:t>
            </w:r>
          </w:p>
        </w:tc>
      </w:tr>
      <w:tr w:rsidR="005D09BE" w:rsidRPr="00D44048" w14:paraId="1EF6B5DB"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05D9134A" w14:textId="77777777" w:rsidR="005D09BE" w:rsidRPr="00D44048" w:rsidRDefault="005D09BE" w:rsidP="00F4450D">
            <w:pPr>
              <w:jc w:val="both"/>
              <w:rPr>
                <w:rFonts w:ascii="Arial" w:hAnsi="Arial" w:cs="Arial"/>
                <w:sz w:val="16"/>
                <w:szCs w:val="16"/>
              </w:rPr>
            </w:pPr>
            <w:r w:rsidRPr="00D44048">
              <w:rPr>
                <w:rFonts w:ascii="Arial" w:hAnsi="Arial" w:cs="Arial"/>
                <w:sz w:val="16"/>
                <w:szCs w:val="16"/>
              </w:rPr>
              <w:t>10-C.F.S. GESTIÓN DEL TRANSPORTE Y LOGÍSTICA (LOE)</w:t>
            </w:r>
          </w:p>
        </w:tc>
        <w:tc>
          <w:tcPr>
            <w:tcW w:w="878" w:type="dxa"/>
            <w:tcBorders>
              <w:top w:val="nil"/>
              <w:left w:val="nil"/>
              <w:bottom w:val="single" w:sz="4" w:space="0" w:color="auto"/>
              <w:right w:val="single" w:sz="4" w:space="0" w:color="auto"/>
            </w:tcBorders>
            <w:shd w:val="clear" w:color="auto" w:fill="auto"/>
            <w:vAlign w:val="center"/>
            <w:hideMark/>
          </w:tcPr>
          <w:p w14:paraId="73C5A8AA"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1º</w:t>
            </w:r>
          </w:p>
        </w:tc>
        <w:tc>
          <w:tcPr>
            <w:tcW w:w="1601" w:type="dxa"/>
            <w:tcBorders>
              <w:top w:val="nil"/>
              <w:left w:val="nil"/>
              <w:bottom w:val="single" w:sz="4" w:space="0" w:color="auto"/>
              <w:right w:val="single" w:sz="4" w:space="0" w:color="auto"/>
            </w:tcBorders>
            <w:shd w:val="clear" w:color="auto" w:fill="auto"/>
            <w:vAlign w:val="center"/>
            <w:hideMark/>
          </w:tcPr>
          <w:p w14:paraId="00E484C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0,783</w:t>
            </w:r>
          </w:p>
        </w:tc>
        <w:tc>
          <w:tcPr>
            <w:tcW w:w="1264" w:type="dxa"/>
            <w:tcBorders>
              <w:top w:val="nil"/>
              <w:left w:val="nil"/>
              <w:bottom w:val="single" w:sz="4" w:space="0" w:color="auto"/>
              <w:right w:val="single" w:sz="4" w:space="0" w:color="auto"/>
            </w:tcBorders>
            <w:shd w:val="clear" w:color="auto" w:fill="auto"/>
            <w:vAlign w:val="center"/>
            <w:hideMark/>
          </w:tcPr>
          <w:p w14:paraId="59C59F4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0,696</w:t>
            </w:r>
          </w:p>
        </w:tc>
        <w:tc>
          <w:tcPr>
            <w:tcW w:w="1405" w:type="dxa"/>
            <w:tcBorders>
              <w:top w:val="nil"/>
              <w:left w:val="nil"/>
              <w:bottom w:val="single" w:sz="4" w:space="0" w:color="auto"/>
              <w:right w:val="single" w:sz="4" w:space="0" w:color="auto"/>
            </w:tcBorders>
            <w:shd w:val="clear" w:color="auto" w:fill="auto"/>
            <w:vAlign w:val="center"/>
            <w:hideMark/>
          </w:tcPr>
          <w:p w14:paraId="0D7C455B"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70.293,89</w:t>
            </w:r>
          </w:p>
        </w:tc>
        <w:tc>
          <w:tcPr>
            <w:tcW w:w="1264" w:type="dxa"/>
            <w:tcBorders>
              <w:top w:val="nil"/>
              <w:left w:val="nil"/>
              <w:bottom w:val="single" w:sz="4" w:space="0" w:color="auto"/>
              <w:right w:val="single" w:sz="4" w:space="0" w:color="auto"/>
            </w:tcBorders>
            <w:shd w:val="clear" w:color="auto" w:fill="auto"/>
            <w:vAlign w:val="center"/>
            <w:hideMark/>
          </w:tcPr>
          <w:p w14:paraId="737D7BD6"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67,34</w:t>
            </w:r>
          </w:p>
        </w:tc>
        <w:tc>
          <w:tcPr>
            <w:tcW w:w="1264" w:type="dxa"/>
            <w:tcBorders>
              <w:top w:val="nil"/>
              <w:left w:val="nil"/>
              <w:bottom w:val="single" w:sz="4" w:space="0" w:color="auto"/>
              <w:right w:val="single" w:sz="4" w:space="0" w:color="auto"/>
            </w:tcBorders>
            <w:shd w:val="clear" w:color="auto" w:fill="auto"/>
            <w:vAlign w:val="center"/>
            <w:hideMark/>
          </w:tcPr>
          <w:p w14:paraId="3004C165"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14.199,78</w:t>
            </w:r>
          </w:p>
        </w:tc>
        <w:tc>
          <w:tcPr>
            <w:tcW w:w="1436" w:type="dxa"/>
            <w:tcBorders>
              <w:top w:val="nil"/>
              <w:left w:val="nil"/>
              <w:bottom w:val="single" w:sz="4" w:space="0" w:color="auto"/>
              <w:right w:val="single" w:sz="4" w:space="0" w:color="auto"/>
            </w:tcBorders>
            <w:shd w:val="clear" w:color="auto" w:fill="auto"/>
            <w:vAlign w:val="center"/>
            <w:hideMark/>
          </w:tcPr>
          <w:p w14:paraId="417C14E3"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13,60</w:t>
            </w:r>
          </w:p>
        </w:tc>
        <w:tc>
          <w:tcPr>
            <w:tcW w:w="1190" w:type="dxa"/>
            <w:tcBorders>
              <w:top w:val="nil"/>
              <w:left w:val="nil"/>
              <w:bottom w:val="single" w:sz="4" w:space="0" w:color="auto"/>
              <w:right w:val="single" w:sz="4" w:space="0" w:color="auto"/>
            </w:tcBorders>
            <w:shd w:val="clear" w:color="auto" w:fill="auto"/>
            <w:vAlign w:val="center"/>
            <w:hideMark/>
          </w:tcPr>
          <w:p w14:paraId="503A101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19.886,54</w:t>
            </w:r>
          </w:p>
        </w:tc>
        <w:tc>
          <w:tcPr>
            <w:tcW w:w="1182" w:type="dxa"/>
            <w:tcBorders>
              <w:top w:val="nil"/>
              <w:left w:val="nil"/>
              <w:bottom w:val="single" w:sz="4" w:space="0" w:color="auto"/>
              <w:right w:val="single" w:sz="4" w:space="0" w:color="auto"/>
            </w:tcBorders>
            <w:shd w:val="clear" w:color="auto" w:fill="auto"/>
            <w:vAlign w:val="center"/>
            <w:hideMark/>
          </w:tcPr>
          <w:p w14:paraId="5E885B6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19,06</w:t>
            </w:r>
          </w:p>
        </w:tc>
        <w:tc>
          <w:tcPr>
            <w:tcW w:w="1215" w:type="dxa"/>
            <w:tcBorders>
              <w:top w:val="nil"/>
              <w:left w:val="nil"/>
              <w:bottom w:val="single" w:sz="4" w:space="0" w:color="auto"/>
              <w:right w:val="single" w:sz="4" w:space="0" w:color="auto"/>
            </w:tcBorders>
            <w:shd w:val="clear" w:color="auto" w:fill="auto"/>
            <w:vAlign w:val="center"/>
            <w:hideMark/>
          </w:tcPr>
          <w:p w14:paraId="30288EB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104.380,21</w:t>
            </w:r>
          </w:p>
        </w:tc>
      </w:tr>
      <w:tr w:rsidR="005D09BE" w:rsidRPr="00D44048" w14:paraId="4457414B"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79AB43B5" w14:textId="77777777" w:rsidR="005D09BE" w:rsidRPr="00D44048"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3A517CF3"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2º</w:t>
            </w:r>
          </w:p>
        </w:tc>
        <w:tc>
          <w:tcPr>
            <w:tcW w:w="1601" w:type="dxa"/>
            <w:tcBorders>
              <w:top w:val="nil"/>
              <w:left w:val="nil"/>
              <w:bottom w:val="single" w:sz="4" w:space="0" w:color="auto"/>
              <w:right w:val="single" w:sz="4" w:space="0" w:color="auto"/>
            </w:tcBorders>
            <w:shd w:val="clear" w:color="auto" w:fill="auto"/>
            <w:vAlign w:val="center"/>
            <w:hideMark/>
          </w:tcPr>
          <w:p w14:paraId="63335C6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1,13</w:t>
            </w:r>
          </w:p>
        </w:tc>
        <w:tc>
          <w:tcPr>
            <w:tcW w:w="1264" w:type="dxa"/>
            <w:tcBorders>
              <w:top w:val="nil"/>
              <w:left w:val="nil"/>
              <w:bottom w:val="single" w:sz="4" w:space="0" w:color="auto"/>
              <w:right w:val="single" w:sz="4" w:space="0" w:color="auto"/>
            </w:tcBorders>
            <w:shd w:val="clear" w:color="auto" w:fill="auto"/>
            <w:vAlign w:val="center"/>
            <w:hideMark/>
          </w:tcPr>
          <w:p w14:paraId="446CCB5C"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0,304</w:t>
            </w:r>
          </w:p>
        </w:tc>
        <w:tc>
          <w:tcPr>
            <w:tcW w:w="1405" w:type="dxa"/>
            <w:tcBorders>
              <w:top w:val="nil"/>
              <w:left w:val="nil"/>
              <w:bottom w:val="single" w:sz="4" w:space="0" w:color="auto"/>
              <w:right w:val="single" w:sz="4" w:space="0" w:color="auto"/>
            </w:tcBorders>
            <w:shd w:val="clear" w:color="auto" w:fill="auto"/>
            <w:vAlign w:val="center"/>
            <w:hideMark/>
          </w:tcPr>
          <w:p w14:paraId="1CC2708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69.716,58</w:t>
            </w:r>
          </w:p>
        </w:tc>
        <w:tc>
          <w:tcPr>
            <w:tcW w:w="1264" w:type="dxa"/>
            <w:tcBorders>
              <w:top w:val="nil"/>
              <w:left w:val="nil"/>
              <w:bottom w:val="single" w:sz="4" w:space="0" w:color="auto"/>
              <w:right w:val="single" w:sz="4" w:space="0" w:color="auto"/>
            </w:tcBorders>
            <w:shd w:val="clear" w:color="auto" w:fill="auto"/>
            <w:vAlign w:val="center"/>
            <w:hideMark/>
          </w:tcPr>
          <w:p w14:paraId="6A629D7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67,51</w:t>
            </w:r>
          </w:p>
        </w:tc>
        <w:tc>
          <w:tcPr>
            <w:tcW w:w="1264" w:type="dxa"/>
            <w:tcBorders>
              <w:top w:val="nil"/>
              <w:left w:val="nil"/>
              <w:bottom w:val="single" w:sz="4" w:space="0" w:color="auto"/>
              <w:right w:val="single" w:sz="4" w:space="0" w:color="auto"/>
            </w:tcBorders>
            <w:shd w:val="clear" w:color="auto" w:fill="auto"/>
            <w:vAlign w:val="center"/>
            <w:hideMark/>
          </w:tcPr>
          <w:p w14:paraId="643EC1B4"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13.666,89</w:t>
            </w:r>
          </w:p>
        </w:tc>
        <w:tc>
          <w:tcPr>
            <w:tcW w:w="1436" w:type="dxa"/>
            <w:tcBorders>
              <w:top w:val="nil"/>
              <w:left w:val="nil"/>
              <w:bottom w:val="single" w:sz="4" w:space="0" w:color="auto"/>
              <w:right w:val="single" w:sz="4" w:space="0" w:color="auto"/>
            </w:tcBorders>
            <w:shd w:val="clear" w:color="auto" w:fill="auto"/>
            <w:vAlign w:val="center"/>
            <w:hideMark/>
          </w:tcPr>
          <w:p w14:paraId="569A056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13,23</w:t>
            </w:r>
          </w:p>
        </w:tc>
        <w:tc>
          <w:tcPr>
            <w:tcW w:w="1190" w:type="dxa"/>
            <w:tcBorders>
              <w:top w:val="nil"/>
              <w:left w:val="nil"/>
              <w:bottom w:val="single" w:sz="4" w:space="0" w:color="auto"/>
              <w:right w:val="single" w:sz="4" w:space="0" w:color="auto"/>
            </w:tcBorders>
            <w:shd w:val="clear" w:color="auto" w:fill="auto"/>
            <w:vAlign w:val="center"/>
            <w:hideMark/>
          </w:tcPr>
          <w:p w14:paraId="6DCF548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19.886,54</w:t>
            </w:r>
          </w:p>
        </w:tc>
        <w:tc>
          <w:tcPr>
            <w:tcW w:w="1182" w:type="dxa"/>
            <w:tcBorders>
              <w:top w:val="nil"/>
              <w:left w:val="nil"/>
              <w:bottom w:val="single" w:sz="4" w:space="0" w:color="auto"/>
              <w:right w:val="single" w:sz="4" w:space="0" w:color="auto"/>
            </w:tcBorders>
            <w:shd w:val="clear" w:color="auto" w:fill="auto"/>
            <w:vAlign w:val="center"/>
            <w:hideMark/>
          </w:tcPr>
          <w:p w14:paraId="45E9C94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19,26</w:t>
            </w:r>
          </w:p>
        </w:tc>
        <w:tc>
          <w:tcPr>
            <w:tcW w:w="1215" w:type="dxa"/>
            <w:tcBorders>
              <w:top w:val="nil"/>
              <w:left w:val="nil"/>
              <w:bottom w:val="single" w:sz="4" w:space="0" w:color="auto"/>
              <w:right w:val="single" w:sz="4" w:space="0" w:color="auto"/>
            </w:tcBorders>
            <w:shd w:val="clear" w:color="auto" w:fill="auto"/>
            <w:vAlign w:val="center"/>
            <w:hideMark/>
          </w:tcPr>
          <w:p w14:paraId="34DAAE23"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103.270,01</w:t>
            </w:r>
          </w:p>
        </w:tc>
      </w:tr>
      <w:tr w:rsidR="005D09BE" w:rsidRPr="00D44048" w14:paraId="1D9B3F06" w14:textId="77777777" w:rsidTr="00F4450D">
        <w:trPr>
          <w:cantSplit/>
          <w:trHeight w:val="227"/>
        </w:trPr>
        <w:tc>
          <w:tcPr>
            <w:tcW w:w="3208" w:type="dxa"/>
            <w:vMerge w:val="restart"/>
            <w:tcBorders>
              <w:top w:val="nil"/>
              <w:left w:val="single" w:sz="4" w:space="0" w:color="auto"/>
              <w:right w:val="single" w:sz="4" w:space="0" w:color="auto"/>
            </w:tcBorders>
            <w:shd w:val="clear" w:color="auto" w:fill="auto"/>
            <w:vAlign w:val="center"/>
            <w:hideMark/>
          </w:tcPr>
          <w:p w14:paraId="6270A626" w14:textId="77777777" w:rsidR="005D09BE" w:rsidRPr="00D44048" w:rsidRDefault="005D09BE" w:rsidP="00F4450D">
            <w:pPr>
              <w:jc w:val="both"/>
              <w:rPr>
                <w:rFonts w:ascii="Arial" w:hAnsi="Arial" w:cs="Arial"/>
                <w:b/>
                <w:bCs/>
                <w:sz w:val="16"/>
                <w:szCs w:val="16"/>
              </w:rPr>
            </w:pPr>
            <w:r w:rsidRPr="00D44048">
              <w:rPr>
                <w:rFonts w:ascii="Arial" w:hAnsi="Arial" w:cs="Arial"/>
                <w:sz w:val="16"/>
                <w:szCs w:val="16"/>
              </w:rPr>
              <w:t>10-C.F.S. GESTIÓN DEL TRANSPORTE Y LOGÍSTICA (LOE) ONLINE</w:t>
            </w:r>
          </w:p>
        </w:tc>
        <w:tc>
          <w:tcPr>
            <w:tcW w:w="878" w:type="dxa"/>
            <w:tcBorders>
              <w:top w:val="nil"/>
              <w:left w:val="nil"/>
              <w:bottom w:val="single" w:sz="4" w:space="0" w:color="auto"/>
              <w:right w:val="single" w:sz="4" w:space="0" w:color="auto"/>
            </w:tcBorders>
            <w:shd w:val="clear" w:color="auto" w:fill="auto"/>
            <w:vAlign w:val="center"/>
            <w:hideMark/>
          </w:tcPr>
          <w:p w14:paraId="16A2D9B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1º</w:t>
            </w:r>
          </w:p>
        </w:tc>
        <w:tc>
          <w:tcPr>
            <w:tcW w:w="1601" w:type="dxa"/>
            <w:tcBorders>
              <w:top w:val="nil"/>
              <w:left w:val="nil"/>
              <w:bottom w:val="single" w:sz="4" w:space="0" w:color="auto"/>
              <w:right w:val="single" w:sz="4" w:space="0" w:color="auto"/>
            </w:tcBorders>
            <w:shd w:val="clear" w:color="auto" w:fill="auto"/>
            <w:vAlign w:val="center"/>
            <w:hideMark/>
          </w:tcPr>
          <w:p w14:paraId="0087407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0,391</w:t>
            </w:r>
          </w:p>
        </w:tc>
        <w:tc>
          <w:tcPr>
            <w:tcW w:w="1264" w:type="dxa"/>
            <w:tcBorders>
              <w:top w:val="nil"/>
              <w:left w:val="nil"/>
              <w:bottom w:val="single" w:sz="4" w:space="0" w:color="auto"/>
              <w:right w:val="single" w:sz="4" w:space="0" w:color="auto"/>
            </w:tcBorders>
            <w:shd w:val="clear" w:color="auto" w:fill="auto"/>
            <w:vAlign w:val="center"/>
            <w:hideMark/>
          </w:tcPr>
          <w:p w14:paraId="5FC1AA5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0,522</w:t>
            </w:r>
          </w:p>
        </w:tc>
        <w:tc>
          <w:tcPr>
            <w:tcW w:w="1405" w:type="dxa"/>
            <w:tcBorders>
              <w:top w:val="nil"/>
              <w:left w:val="nil"/>
              <w:bottom w:val="single" w:sz="4" w:space="0" w:color="auto"/>
              <w:right w:val="single" w:sz="4" w:space="0" w:color="auto"/>
            </w:tcBorders>
            <w:shd w:val="clear" w:color="auto" w:fill="auto"/>
            <w:vAlign w:val="center"/>
            <w:hideMark/>
          </w:tcPr>
          <w:p w14:paraId="23AFB40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43.004,17</w:t>
            </w:r>
          </w:p>
        </w:tc>
        <w:tc>
          <w:tcPr>
            <w:tcW w:w="1264" w:type="dxa"/>
            <w:tcBorders>
              <w:top w:val="nil"/>
              <w:left w:val="nil"/>
              <w:bottom w:val="single" w:sz="4" w:space="0" w:color="auto"/>
              <w:right w:val="single" w:sz="4" w:space="0" w:color="auto"/>
            </w:tcBorders>
            <w:shd w:val="clear" w:color="auto" w:fill="auto"/>
            <w:vAlign w:val="center"/>
            <w:hideMark/>
          </w:tcPr>
          <w:p w14:paraId="269A443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67,06</w:t>
            </w:r>
          </w:p>
        </w:tc>
        <w:tc>
          <w:tcPr>
            <w:tcW w:w="1264" w:type="dxa"/>
            <w:tcBorders>
              <w:top w:val="nil"/>
              <w:left w:val="nil"/>
              <w:bottom w:val="single" w:sz="4" w:space="0" w:color="auto"/>
              <w:right w:val="single" w:sz="4" w:space="0" w:color="auto"/>
            </w:tcBorders>
            <w:shd w:val="clear" w:color="auto" w:fill="auto"/>
            <w:vAlign w:val="center"/>
            <w:hideMark/>
          </w:tcPr>
          <w:p w14:paraId="0738ADE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9.137,36</w:t>
            </w:r>
          </w:p>
        </w:tc>
        <w:tc>
          <w:tcPr>
            <w:tcW w:w="1436" w:type="dxa"/>
            <w:tcBorders>
              <w:top w:val="nil"/>
              <w:left w:val="nil"/>
              <w:bottom w:val="single" w:sz="4" w:space="0" w:color="auto"/>
              <w:right w:val="single" w:sz="4" w:space="0" w:color="auto"/>
            </w:tcBorders>
            <w:shd w:val="clear" w:color="auto" w:fill="auto"/>
            <w:vAlign w:val="center"/>
            <w:hideMark/>
          </w:tcPr>
          <w:p w14:paraId="247362C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14,25</w:t>
            </w:r>
          </w:p>
        </w:tc>
        <w:tc>
          <w:tcPr>
            <w:tcW w:w="1190" w:type="dxa"/>
            <w:tcBorders>
              <w:top w:val="nil"/>
              <w:left w:val="nil"/>
              <w:bottom w:val="single" w:sz="4" w:space="0" w:color="auto"/>
              <w:right w:val="single" w:sz="4" w:space="0" w:color="auto"/>
            </w:tcBorders>
            <w:shd w:val="clear" w:color="auto" w:fill="auto"/>
            <w:vAlign w:val="center"/>
            <w:hideMark/>
          </w:tcPr>
          <w:p w14:paraId="79A18EE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11.990,99</w:t>
            </w:r>
          </w:p>
        </w:tc>
        <w:tc>
          <w:tcPr>
            <w:tcW w:w="1182" w:type="dxa"/>
            <w:tcBorders>
              <w:top w:val="nil"/>
              <w:left w:val="nil"/>
              <w:bottom w:val="single" w:sz="4" w:space="0" w:color="auto"/>
              <w:right w:val="single" w:sz="4" w:space="0" w:color="auto"/>
            </w:tcBorders>
            <w:shd w:val="clear" w:color="auto" w:fill="auto"/>
            <w:vAlign w:val="center"/>
            <w:hideMark/>
          </w:tcPr>
          <w:p w14:paraId="45F37A73"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18,69</w:t>
            </w:r>
          </w:p>
        </w:tc>
        <w:tc>
          <w:tcPr>
            <w:tcW w:w="1215" w:type="dxa"/>
            <w:tcBorders>
              <w:top w:val="nil"/>
              <w:left w:val="nil"/>
              <w:bottom w:val="single" w:sz="4" w:space="0" w:color="auto"/>
              <w:right w:val="single" w:sz="4" w:space="0" w:color="auto"/>
            </w:tcBorders>
            <w:shd w:val="clear" w:color="auto" w:fill="auto"/>
            <w:vAlign w:val="center"/>
            <w:hideMark/>
          </w:tcPr>
          <w:p w14:paraId="28AD5B7B"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64.132,52</w:t>
            </w:r>
          </w:p>
        </w:tc>
      </w:tr>
      <w:tr w:rsidR="005D09BE" w:rsidRPr="00D44048" w14:paraId="128D5717" w14:textId="77777777" w:rsidTr="00F4450D">
        <w:trPr>
          <w:cantSplit/>
          <w:trHeight w:val="227"/>
        </w:trPr>
        <w:tc>
          <w:tcPr>
            <w:tcW w:w="3208" w:type="dxa"/>
            <w:vMerge/>
            <w:tcBorders>
              <w:left w:val="single" w:sz="4" w:space="0" w:color="auto"/>
              <w:right w:val="single" w:sz="4" w:space="0" w:color="auto"/>
            </w:tcBorders>
            <w:shd w:val="clear" w:color="auto" w:fill="auto"/>
            <w:vAlign w:val="center"/>
            <w:hideMark/>
          </w:tcPr>
          <w:p w14:paraId="67CD8BA4" w14:textId="77777777" w:rsidR="005D09BE" w:rsidRPr="00D44048"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5372F0D6"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2º</w:t>
            </w:r>
          </w:p>
        </w:tc>
        <w:tc>
          <w:tcPr>
            <w:tcW w:w="1601" w:type="dxa"/>
            <w:tcBorders>
              <w:top w:val="nil"/>
              <w:left w:val="nil"/>
              <w:bottom w:val="single" w:sz="4" w:space="0" w:color="auto"/>
              <w:right w:val="single" w:sz="4" w:space="0" w:color="auto"/>
            </w:tcBorders>
            <w:shd w:val="clear" w:color="auto" w:fill="auto"/>
            <w:vAlign w:val="center"/>
            <w:hideMark/>
          </w:tcPr>
          <w:p w14:paraId="7B8E2EE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0,609</w:t>
            </w:r>
          </w:p>
        </w:tc>
        <w:tc>
          <w:tcPr>
            <w:tcW w:w="1264" w:type="dxa"/>
            <w:tcBorders>
              <w:top w:val="nil"/>
              <w:left w:val="nil"/>
              <w:bottom w:val="single" w:sz="4" w:space="0" w:color="auto"/>
              <w:right w:val="single" w:sz="4" w:space="0" w:color="auto"/>
            </w:tcBorders>
            <w:shd w:val="clear" w:color="auto" w:fill="auto"/>
            <w:vAlign w:val="center"/>
            <w:hideMark/>
          </w:tcPr>
          <w:p w14:paraId="18AA937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0,261</w:t>
            </w:r>
          </w:p>
        </w:tc>
        <w:tc>
          <w:tcPr>
            <w:tcW w:w="1405" w:type="dxa"/>
            <w:tcBorders>
              <w:top w:val="nil"/>
              <w:left w:val="nil"/>
              <w:bottom w:val="single" w:sz="4" w:space="0" w:color="auto"/>
              <w:right w:val="single" w:sz="4" w:space="0" w:color="auto"/>
            </w:tcBorders>
            <w:shd w:val="clear" w:color="auto" w:fill="auto"/>
            <w:vAlign w:val="center"/>
            <w:hideMark/>
          </w:tcPr>
          <w:p w14:paraId="62E6EDA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41.974,27</w:t>
            </w:r>
          </w:p>
        </w:tc>
        <w:tc>
          <w:tcPr>
            <w:tcW w:w="1264" w:type="dxa"/>
            <w:tcBorders>
              <w:top w:val="nil"/>
              <w:left w:val="nil"/>
              <w:bottom w:val="single" w:sz="4" w:space="0" w:color="auto"/>
              <w:right w:val="single" w:sz="4" w:space="0" w:color="auto"/>
            </w:tcBorders>
            <w:shd w:val="clear" w:color="auto" w:fill="auto"/>
            <w:vAlign w:val="center"/>
            <w:hideMark/>
          </w:tcPr>
          <w:p w14:paraId="503801D3"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66,72</w:t>
            </w:r>
          </w:p>
        </w:tc>
        <w:tc>
          <w:tcPr>
            <w:tcW w:w="1264" w:type="dxa"/>
            <w:tcBorders>
              <w:top w:val="nil"/>
              <w:left w:val="nil"/>
              <w:bottom w:val="single" w:sz="4" w:space="0" w:color="auto"/>
              <w:right w:val="single" w:sz="4" w:space="0" w:color="auto"/>
            </w:tcBorders>
            <w:shd w:val="clear" w:color="auto" w:fill="auto"/>
            <w:vAlign w:val="center"/>
            <w:hideMark/>
          </w:tcPr>
          <w:p w14:paraId="0FAAD38C"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8.950,12</w:t>
            </w:r>
          </w:p>
        </w:tc>
        <w:tc>
          <w:tcPr>
            <w:tcW w:w="1436" w:type="dxa"/>
            <w:tcBorders>
              <w:top w:val="nil"/>
              <w:left w:val="nil"/>
              <w:bottom w:val="single" w:sz="4" w:space="0" w:color="auto"/>
              <w:right w:val="single" w:sz="4" w:space="0" w:color="auto"/>
            </w:tcBorders>
            <w:shd w:val="clear" w:color="auto" w:fill="auto"/>
            <w:vAlign w:val="center"/>
            <w:hideMark/>
          </w:tcPr>
          <w:p w14:paraId="278257C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14,23</w:t>
            </w:r>
          </w:p>
        </w:tc>
        <w:tc>
          <w:tcPr>
            <w:tcW w:w="1190" w:type="dxa"/>
            <w:tcBorders>
              <w:top w:val="nil"/>
              <w:left w:val="nil"/>
              <w:bottom w:val="single" w:sz="4" w:space="0" w:color="auto"/>
              <w:right w:val="single" w:sz="4" w:space="0" w:color="auto"/>
            </w:tcBorders>
            <w:shd w:val="clear" w:color="auto" w:fill="auto"/>
            <w:vAlign w:val="center"/>
            <w:hideMark/>
          </w:tcPr>
          <w:p w14:paraId="4E6F71A5"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11.990,99</w:t>
            </w:r>
          </w:p>
        </w:tc>
        <w:tc>
          <w:tcPr>
            <w:tcW w:w="1182" w:type="dxa"/>
            <w:tcBorders>
              <w:top w:val="nil"/>
              <w:left w:val="nil"/>
              <w:bottom w:val="single" w:sz="4" w:space="0" w:color="auto"/>
              <w:right w:val="single" w:sz="4" w:space="0" w:color="auto"/>
            </w:tcBorders>
            <w:shd w:val="clear" w:color="auto" w:fill="auto"/>
            <w:vAlign w:val="center"/>
            <w:hideMark/>
          </w:tcPr>
          <w:p w14:paraId="2467B1CB"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19,05</w:t>
            </w:r>
          </w:p>
        </w:tc>
        <w:tc>
          <w:tcPr>
            <w:tcW w:w="1215" w:type="dxa"/>
            <w:tcBorders>
              <w:top w:val="nil"/>
              <w:left w:val="nil"/>
              <w:bottom w:val="single" w:sz="4" w:space="0" w:color="auto"/>
              <w:right w:val="single" w:sz="4" w:space="0" w:color="auto"/>
            </w:tcBorders>
            <w:shd w:val="clear" w:color="auto" w:fill="auto"/>
            <w:vAlign w:val="center"/>
            <w:hideMark/>
          </w:tcPr>
          <w:p w14:paraId="391C6CF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62.915,38</w:t>
            </w:r>
          </w:p>
        </w:tc>
      </w:tr>
      <w:tr w:rsidR="005D09BE" w:rsidRPr="00D44048" w14:paraId="070EA613" w14:textId="77777777" w:rsidTr="00F4450D">
        <w:trPr>
          <w:cantSplit/>
          <w:trHeight w:val="227"/>
        </w:trPr>
        <w:tc>
          <w:tcPr>
            <w:tcW w:w="3208" w:type="dxa"/>
            <w:vMerge/>
            <w:tcBorders>
              <w:left w:val="single" w:sz="4" w:space="0" w:color="auto"/>
              <w:right w:val="single" w:sz="4" w:space="0" w:color="auto"/>
            </w:tcBorders>
            <w:shd w:val="clear" w:color="auto" w:fill="auto"/>
            <w:hideMark/>
          </w:tcPr>
          <w:p w14:paraId="5352BD89" w14:textId="77777777" w:rsidR="005D09BE" w:rsidRPr="00D44048"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283E02BE"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3º</w:t>
            </w:r>
          </w:p>
        </w:tc>
        <w:tc>
          <w:tcPr>
            <w:tcW w:w="1601" w:type="dxa"/>
            <w:tcBorders>
              <w:top w:val="nil"/>
              <w:left w:val="nil"/>
              <w:bottom w:val="single" w:sz="4" w:space="0" w:color="auto"/>
              <w:right w:val="single" w:sz="4" w:space="0" w:color="auto"/>
            </w:tcBorders>
            <w:shd w:val="clear" w:color="auto" w:fill="auto"/>
            <w:vAlign w:val="center"/>
            <w:hideMark/>
          </w:tcPr>
          <w:p w14:paraId="6DFC01EC"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0,652</w:t>
            </w:r>
          </w:p>
        </w:tc>
        <w:tc>
          <w:tcPr>
            <w:tcW w:w="1264" w:type="dxa"/>
            <w:tcBorders>
              <w:top w:val="nil"/>
              <w:left w:val="nil"/>
              <w:bottom w:val="single" w:sz="4" w:space="0" w:color="auto"/>
              <w:right w:val="single" w:sz="4" w:space="0" w:color="auto"/>
            </w:tcBorders>
            <w:shd w:val="clear" w:color="auto" w:fill="auto"/>
            <w:vAlign w:val="center"/>
            <w:hideMark/>
          </w:tcPr>
          <w:p w14:paraId="77E29ED6"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0,217</w:t>
            </w:r>
          </w:p>
        </w:tc>
        <w:tc>
          <w:tcPr>
            <w:tcW w:w="1405" w:type="dxa"/>
            <w:tcBorders>
              <w:top w:val="nil"/>
              <w:left w:val="nil"/>
              <w:bottom w:val="single" w:sz="4" w:space="0" w:color="auto"/>
              <w:right w:val="single" w:sz="4" w:space="0" w:color="auto"/>
            </w:tcBorders>
            <w:shd w:val="clear" w:color="auto" w:fill="auto"/>
            <w:vAlign w:val="center"/>
            <w:hideMark/>
          </w:tcPr>
          <w:p w14:paraId="4BF46B5B"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42.110,04</w:t>
            </w:r>
          </w:p>
        </w:tc>
        <w:tc>
          <w:tcPr>
            <w:tcW w:w="1264" w:type="dxa"/>
            <w:tcBorders>
              <w:top w:val="nil"/>
              <w:left w:val="nil"/>
              <w:bottom w:val="single" w:sz="4" w:space="0" w:color="auto"/>
              <w:right w:val="single" w:sz="4" w:space="0" w:color="auto"/>
            </w:tcBorders>
            <w:shd w:val="clear" w:color="auto" w:fill="auto"/>
            <w:vAlign w:val="center"/>
            <w:hideMark/>
          </w:tcPr>
          <w:p w14:paraId="7AC7666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66,75</w:t>
            </w:r>
          </w:p>
        </w:tc>
        <w:tc>
          <w:tcPr>
            <w:tcW w:w="1264" w:type="dxa"/>
            <w:tcBorders>
              <w:top w:val="nil"/>
              <w:left w:val="nil"/>
              <w:bottom w:val="single" w:sz="4" w:space="0" w:color="auto"/>
              <w:right w:val="single" w:sz="4" w:space="0" w:color="auto"/>
            </w:tcBorders>
            <w:shd w:val="clear" w:color="auto" w:fill="auto"/>
            <w:vAlign w:val="center"/>
            <w:hideMark/>
          </w:tcPr>
          <w:p w14:paraId="4EAFC61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8.982,63</w:t>
            </w:r>
          </w:p>
        </w:tc>
        <w:tc>
          <w:tcPr>
            <w:tcW w:w="1436" w:type="dxa"/>
            <w:tcBorders>
              <w:top w:val="nil"/>
              <w:left w:val="nil"/>
              <w:bottom w:val="single" w:sz="4" w:space="0" w:color="auto"/>
              <w:right w:val="single" w:sz="4" w:space="0" w:color="auto"/>
            </w:tcBorders>
            <w:shd w:val="clear" w:color="auto" w:fill="auto"/>
            <w:vAlign w:val="center"/>
            <w:hideMark/>
          </w:tcPr>
          <w:p w14:paraId="48506B4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14,24</w:t>
            </w:r>
          </w:p>
        </w:tc>
        <w:tc>
          <w:tcPr>
            <w:tcW w:w="1190" w:type="dxa"/>
            <w:tcBorders>
              <w:top w:val="nil"/>
              <w:left w:val="nil"/>
              <w:bottom w:val="single" w:sz="4" w:space="0" w:color="auto"/>
              <w:right w:val="single" w:sz="4" w:space="0" w:color="auto"/>
            </w:tcBorders>
            <w:shd w:val="clear" w:color="auto" w:fill="auto"/>
            <w:vAlign w:val="center"/>
            <w:hideMark/>
          </w:tcPr>
          <w:p w14:paraId="5031533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11.990,99</w:t>
            </w:r>
          </w:p>
        </w:tc>
        <w:tc>
          <w:tcPr>
            <w:tcW w:w="1182" w:type="dxa"/>
            <w:tcBorders>
              <w:top w:val="nil"/>
              <w:left w:val="nil"/>
              <w:bottom w:val="single" w:sz="4" w:space="0" w:color="auto"/>
              <w:right w:val="single" w:sz="4" w:space="0" w:color="auto"/>
            </w:tcBorders>
            <w:shd w:val="clear" w:color="auto" w:fill="auto"/>
            <w:vAlign w:val="center"/>
            <w:hideMark/>
          </w:tcPr>
          <w:p w14:paraId="0F527AEA"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19,01</w:t>
            </w:r>
          </w:p>
        </w:tc>
        <w:tc>
          <w:tcPr>
            <w:tcW w:w="1215" w:type="dxa"/>
            <w:tcBorders>
              <w:top w:val="nil"/>
              <w:left w:val="nil"/>
              <w:bottom w:val="single" w:sz="4" w:space="0" w:color="auto"/>
              <w:right w:val="single" w:sz="4" w:space="0" w:color="auto"/>
            </w:tcBorders>
            <w:shd w:val="clear" w:color="auto" w:fill="auto"/>
            <w:vAlign w:val="center"/>
            <w:hideMark/>
          </w:tcPr>
          <w:p w14:paraId="6A42283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63.083,66</w:t>
            </w:r>
          </w:p>
        </w:tc>
      </w:tr>
      <w:tr w:rsidR="005D09BE" w:rsidRPr="00D44048" w14:paraId="374E6C90" w14:textId="77777777" w:rsidTr="00F4450D">
        <w:trPr>
          <w:cantSplit/>
          <w:trHeight w:val="227"/>
        </w:trPr>
        <w:tc>
          <w:tcPr>
            <w:tcW w:w="3208" w:type="dxa"/>
            <w:vMerge/>
            <w:tcBorders>
              <w:left w:val="single" w:sz="4" w:space="0" w:color="auto"/>
              <w:bottom w:val="single" w:sz="4" w:space="0" w:color="auto"/>
              <w:right w:val="single" w:sz="4" w:space="0" w:color="auto"/>
            </w:tcBorders>
            <w:shd w:val="clear" w:color="auto" w:fill="auto"/>
            <w:hideMark/>
          </w:tcPr>
          <w:p w14:paraId="5805C852" w14:textId="77777777" w:rsidR="005D09BE" w:rsidRPr="00D44048"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70E2CC13"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4º</w:t>
            </w:r>
          </w:p>
        </w:tc>
        <w:tc>
          <w:tcPr>
            <w:tcW w:w="1601" w:type="dxa"/>
            <w:tcBorders>
              <w:top w:val="nil"/>
              <w:left w:val="nil"/>
              <w:bottom w:val="single" w:sz="4" w:space="0" w:color="auto"/>
              <w:right w:val="single" w:sz="4" w:space="0" w:color="auto"/>
            </w:tcBorders>
            <w:shd w:val="clear" w:color="auto" w:fill="auto"/>
            <w:vAlign w:val="center"/>
            <w:hideMark/>
          </w:tcPr>
          <w:p w14:paraId="47BBF06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0,261</w:t>
            </w:r>
          </w:p>
        </w:tc>
        <w:tc>
          <w:tcPr>
            <w:tcW w:w="1264" w:type="dxa"/>
            <w:tcBorders>
              <w:top w:val="nil"/>
              <w:left w:val="nil"/>
              <w:bottom w:val="single" w:sz="4" w:space="0" w:color="auto"/>
              <w:right w:val="single" w:sz="4" w:space="0" w:color="auto"/>
            </w:tcBorders>
            <w:shd w:val="clear" w:color="auto" w:fill="auto"/>
            <w:vAlign w:val="center"/>
            <w:hideMark/>
          </w:tcPr>
          <w:p w14:paraId="1001C6A2" w14:textId="77777777" w:rsidR="005D09BE" w:rsidRPr="00D44048" w:rsidRDefault="005D09BE" w:rsidP="00F4450D">
            <w:pPr>
              <w:jc w:val="center"/>
              <w:rPr>
                <w:rFonts w:ascii="Arial" w:hAnsi="Arial" w:cs="Arial"/>
                <w:sz w:val="16"/>
                <w:szCs w:val="16"/>
              </w:rPr>
            </w:pPr>
          </w:p>
        </w:tc>
        <w:tc>
          <w:tcPr>
            <w:tcW w:w="1405" w:type="dxa"/>
            <w:tcBorders>
              <w:top w:val="nil"/>
              <w:left w:val="nil"/>
              <w:bottom w:val="single" w:sz="4" w:space="0" w:color="auto"/>
              <w:right w:val="single" w:sz="4" w:space="0" w:color="auto"/>
            </w:tcBorders>
            <w:shd w:val="clear" w:color="auto" w:fill="auto"/>
            <w:vAlign w:val="center"/>
            <w:hideMark/>
          </w:tcPr>
          <w:p w14:paraId="2F2DDEF6"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12.921,99</w:t>
            </w:r>
          </w:p>
        </w:tc>
        <w:tc>
          <w:tcPr>
            <w:tcW w:w="1264" w:type="dxa"/>
            <w:tcBorders>
              <w:top w:val="nil"/>
              <w:left w:val="nil"/>
              <w:bottom w:val="single" w:sz="4" w:space="0" w:color="auto"/>
              <w:right w:val="single" w:sz="4" w:space="0" w:color="auto"/>
            </w:tcBorders>
            <w:shd w:val="clear" w:color="auto" w:fill="auto"/>
            <w:vAlign w:val="center"/>
            <w:hideMark/>
          </w:tcPr>
          <w:p w14:paraId="0DCF605B"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63,49</w:t>
            </w:r>
          </w:p>
        </w:tc>
        <w:tc>
          <w:tcPr>
            <w:tcW w:w="1264" w:type="dxa"/>
            <w:tcBorders>
              <w:top w:val="nil"/>
              <w:left w:val="nil"/>
              <w:bottom w:val="single" w:sz="4" w:space="0" w:color="auto"/>
              <w:right w:val="single" w:sz="4" w:space="0" w:color="auto"/>
            </w:tcBorders>
            <w:shd w:val="clear" w:color="auto" w:fill="auto"/>
            <w:vAlign w:val="center"/>
            <w:hideMark/>
          </w:tcPr>
          <w:p w14:paraId="67B0467E"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3.629,50</w:t>
            </w:r>
          </w:p>
        </w:tc>
        <w:tc>
          <w:tcPr>
            <w:tcW w:w="1436" w:type="dxa"/>
            <w:tcBorders>
              <w:top w:val="nil"/>
              <w:left w:val="nil"/>
              <w:bottom w:val="single" w:sz="4" w:space="0" w:color="auto"/>
              <w:right w:val="single" w:sz="4" w:space="0" w:color="auto"/>
            </w:tcBorders>
            <w:shd w:val="clear" w:color="auto" w:fill="auto"/>
            <w:vAlign w:val="center"/>
            <w:hideMark/>
          </w:tcPr>
          <w:p w14:paraId="708D3BE4"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17,83</w:t>
            </w:r>
          </w:p>
        </w:tc>
        <w:tc>
          <w:tcPr>
            <w:tcW w:w="1190" w:type="dxa"/>
            <w:tcBorders>
              <w:top w:val="nil"/>
              <w:left w:val="nil"/>
              <w:bottom w:val="single" w:sz="4" w:space="0" w:color="auto"/>
              <w:right w:val="single" w:sz="4" w:space="0" w:color="auto"/>
            </w:tcBorders>
            <w:shd w:val="clear" w:color="auto" w:fill="auto"/>
            <w:vAlign w:val="center"/>
            <w:hideMark/>
          </w:tcPr>
          <w:p w14:paraId="753F9E26"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3.800,12</w:t>
            </w:r>
          </w:p>
        </w:tc>
        <w:tc>
          <w:tcPr>
            <w:tcW w:w="1182" w:type="dxa"/>
            <w:tcBorders>
              <w:top w:val="nil"/>
              <w:left w:val="nil"/>
              <w:bottom w:val="single" w:sz="4" w:space="0" w:color="auto"/>
              <w:right w:val="single" w:sz="4" w:space="0" w:color="auto"/>
            </w:tcBorders>
            <w:shd w:val="clear" w:color="auto" w:fill="auto"/>
            <w:vAlign w:val="center"/>
            <w:hideMark/>
          </w:tcPr>
          <w:p w14:paraId="24A30F9E"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18,68</w:t>
            </w:r>
          </w:p>
        </w:tc>
        <w:tc>
          <w:tcPr>
            <w:tcW w:w="1215" w:type="dxa"/>
            <w:tcBorders>
              <w:top w:val="nil"/>
              <w:left w:val="nil"/>
              <w:bottom w:val="single" w:sz="4" w:space="0" w:color="auto"/>
              <w:right w:val="single" w:sz="4" w:space="0" w:color="auto"/>
            </w:tcBorders>
            <w:shd w:val="clear" w:color="auto" w:fill="auto"/>
            <w:vAlign w:val="center"/>
            <w:hideMark/>
          </w:tcPr>
          <w:p w14:paraId="1E9AE4F6"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20.351,61</w:t>
            </w:r>
          </w:p>
        </w:tc>
      </w:tr>
      <w:tr w:rsidR="005D09BE" w:rsidRPr="00D44048" w14:paraId="56E36051"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56A796D2" w14:textId="77777777" w:rsidR="005D09BE" w:rsidRPr="00D44048" w:rsidRDefault="005D09BE" w:rsidP="00F4450D">
            <w:pPr>
              <w:jc w:val="both"/>
              <w:rPr>
                <w:rFonts w:ascii="Arial" w:hAnsi="Arial" w:cs="Arial"/>
                <w:sz w:val="16"/>
                <w:szCs w:val="16"/>
              </w:rPr>
            </w:pPr>
            <w:r w:rsidRPr="00D44048">
              <w:rPr>
                <w:rFonts w:ascii="Arial" w:hAnsi="Arial" w:cs="Arial"/>
                <w:sz w:val="16"/>
                <w:szCs w:val="16"/>
              </w:rPr>
              <w:t>11-C.F.S. DESARROLLO DE APLICACIONES MULTIPLATAFORMA (LOE)</w:t>
            </w:r>
          </w:p>
        </w:tc>
        <w:tc>
          <w:tcPr>
            <w:tcW w:w="878" w:type="dxa"/>
            <w:tcBorders>
              <w:top w:val="nil"/>
              <w:left w:val="nil"/>
              <w:bottom w:val="single" w:sz="4" w:space="0" w:color="auto"/>
              <w:right w:val="single" w:sz="4" w:space="0" w:color="auto"/>
            </w:tcBorders>
            <w:shd w:val="clear" w:color="auto" w:fill="auto"/>
            <w:vAlign w:val="center"/>
            <w:hideMark/>
          </w:tcPr>
          <w:p w14:paraId="7651CD34"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1º</w:t>
            </w:r>
          </w:p>
        </w:tc>
        <w:tc>
          <w:tcPr>
            <w:tcW w:w="1601" w:type="dxa"/>
            <w:tcBorders>
              <w:top w:val="nil"/>
              <w:left w:val="nil"/>
              <w:bottom w:val="single" w:sz="4" w:space="0" w:color="auto"/>
              <w:right w:val="single" w:sz="4" w:space="0" w:color="auto"/>
            </w:tcBorders>
            <w:shd w:val="clear" w:color="auto" w:fill="auto"/>
            <w:vAlign w:val="center"/>
            <w:hideMark/>
          </w:tcPr>
          <w:p w14:paraId="3B3A38B4"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1,348</w:t>
            </w:r>
          </w:p>
        </w:tc>
        <w:tc>
          <w:tcPr>
            <w:tcW w:w="1264" w:type="dxa"/>
            <w:tcBorders>
              <w:top w:val="nil"/>
              <w:left w:val="nil"/>
              <w:bottom w:val="single" w:sz="4" w:space="0" w:color="auto"/>
              <w:right w:val="single" w:sz="4" w:space="0" w:color="auto"/>
            </w:tcBorders>
            <w:shd w:val="clear" w:color="auto" w:fill="auto"/>
            <w:vAlign w:val="center"/>
            <w:hideMark/>
          </w:tcPr>
          <w:p w14:paraId="439E322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0,435</w:t>
            </w:r>
          </w:p>
        </w:tc>
        <w:tc>
          <w:tcPr>
            <w:tcW w:w="1405" w:type="dxa"/>
            <w:tcBorders>
              <w:top w:val="nil"/>
              <w:left w:val="nil"/>
              <w:bottom w:val="single" w:sz="4" w:space="0" w:color="auto"/>
              <w:right w:val="single" w:sz="4" w:space="0" w:color="auto"/>
            </w:tcBorders>
            <w:shd w:val="clear" w:color="auto" w:fill="auto"/>
            <w:vAlign w:val="center"/>
            <w:hideMark/>
          </w:tcPr>
          <w:p w14:paraId="26F5BC36"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86.443,80</w:t>
            </w:r>
          </w:p>
        </w:tc>
        <w:tc>
          <w:tcPr>
            <w:tcW w:w="1264" w:type="dxa"/>
            <w:tcBorders>
              <w:top w:val="nil"/>
              <w:left w:val="nil"/>
              <w:bottom w:val="single" w:sz="4" w:space="0" w:color="auto"/>
              <w:right w:val="single" w:sz="4" w:space="0" w:color="auto"/>
            </w:tcBorders>
            <w:shd w:val="clear" w:color="auto" w:fill="auto"/>
            <w:vAlign w:val="center"/>
            <w:hideMark/>
          </w:tcPr>
          <w:p w14:paraId="3C421B24"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69,53</w:t>
            </w:r>
          </w:p>
        </w:tc>
        <w:tc>
          <w:tcPr>
            <w:tcW w:w="1264" w:type="dxa"/>
            <w:tcBorders>
              <w:top w:val="nil"/>
              <w:left w:val="nil"/>
              <w:bottom w:val="single" w:sz="4" w:space="0" w:color="auto"/>
              <w:right w:val="single" w:sz="4" w:space="0" w:color="auto"/>
            </w:tcBorders>
            <w:shd w:val="clear" w:color="auto" w:fill="auto"/>
            <w:vAlign w:val="center"/>
            <w:hideMark/>
          </w:tcPr>
          <w:p w14:paraId="4F17FE6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16.736,18</w:t>
            </w:r>
          </w:p>
        </w:tc>
        <w:tc>
          <w:tcPr>
            <w:tcW w:w="1436" w:type="dxa"/>
            <w:tcBorders>
              <w:top w:val="nil"/>
              <w:left w:val="nil"/>
              <w:bottom w:val="single" w:sz="4" w:space="0" w:color="auto"/>
              <w:right w:val="single" w:sz="4" w:space="0" w:color="auto"/>
            </w:tcBorders>
            <w:shd w:val="clear" w:color="auto" w:fill="auto"/>
            <w:vAlign w:val="center"/>
            <w:hideMark/>
          </w:tcPr>
          <w:p w14:paraId="6687BCD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13,46</w:t>
            </w:r>
          </w:p>
        </w:tc>
        <w:tc>
          <w:tcPr>
            <w:tcW w:w="1190" w:type="dxa"/>
            <w:tcBorders>
              <w:top w:val="nil"/>
              <w:left w:val="nil"/>
              <w:bottom w:val="single" w:sz="4" w:space="0" w:color="auto"/>
              <w:right w:val="single" w:sz="4" w:space="0" w:color="auto"/>
            </w:tcBorders>
            <w:shd w:val="clear" w:color="auto" w:fill="auto"/>
            <w:vAlign w:val="center"/>
            <w:hideMark/>
          </w:tcPr>
          <w:p w14:paraId="00635A06"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21.153,27</w:t>
            </w:r>
          </w:p>
        </w:tc>
        <w:tc>
          <w:tcPr>
            <w:tcW w:w="1182" w:type="dxa"/>
            <w:tcBorders>
              <w:top w:val="nil"/>
              <w:left w:val="nil"/>
              <w:bottom w:val="single" w:sz="4" w:space="0" w:color="auto"/>
              <w:right w:val="single" w:sz="4" w:space="0" w:color="auto"/>
            </w:tcBorders>
            <w:shd w:val="clear" w:color="auto" w:fill="auto"/>
            <w:vAlign w:val="center"/>
            <w:hideMark/>
          </w:tcPr>
          <w:p w14:paraId="7E813F3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17,01</w:t>
            </w:r>
          </w:p>
        </w:tc>
        <w:tc>
          <w:tcPr>
            <w:tcW w:w="1215" w:type="dxa"/>
            <w:tcBorders>
              <w:top w:val="nil"/>
              <w:left w:val="nil"/>
              <w:bottom w:val="single" w:sz="4" w:space="0" w:color="auto"/>
              <w:right w:val="single" w:sz="4" w:space="0" w:color="auto"/>
            </w:tcBorders>
            <w:shd w:val="clear" w:color="auto" w:fill="auto"/>
            <w:vAlign w:val="center"/>
            <w:hideMark/>
          </w:tcPr>
          <w:p w14:paraId="3F63132C"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124.333,25</w:t>
            </w:r>
          </w:p>
        </w:tc>
      </w:tr>
      <w:tr w:rsidR="005D09BE" w:rsidRPr="00D44048" w14:paraId="392838C9"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6BF2DB64" w14:textId="77777777" w:rsidR="005D09BE" w:rsidRPr="00D44048"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5ED76E9B"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2º</w:t>
            </w:r>
          </w:p>
        </w:tc>
        <w:tc>
          <w:tcPr>
            <w:tcW w:w="1601" w:type="dxa"/>
            <w:tcBorders>
              <w:top w:val="nil"/>
              <w:left w:val="nil"/>
              <w:bottom w:val="single" w:sz="4" w:space="0" w:color="auto"/>
              <w:right w:val="single" w:sz="4" w:space="0" w:color="auto"/>
            </w:tcBorders>
            <w:shd w:val="clear" w:color="auto" w:fill="auto"/>
            <w:vAlign w:val="center"/>
            <w:hideMark/>
          </w:tcPr>
          <w:p w14:paraId="09BB2414"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1,13</w:t>
            </w:r>
          </w:p>
        </w:tc>
        <w:tc>
          <w:tcPr>
            <w:tcW w:w="1264" w:type="dxa"/>
            <w:tcBorders>
              <w:top w:val="nil"/>
              <w:left w:val="nil"/>
              <w:bottom w:val="single" w:sz="4" w:space="0" w:color="auto"/>
              <w:right w:val="single" w:sz="4" w:space="0" w:color="auto"/>
            </w:tcBorders>
            <w:shd w:val="clear" w:color="auto" w:fill="auto"/>
            <w:vAlign w:val="center"/>
            <w:hideMark/>
          </w:tcPr>
          <w:p w14:paraId="6B63B8BA"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0,435</w:t>
            </w:r>
          </w:p>
        </w:tc>
        <w:tc>
          <w:tcPr>
            <w:tcW w:w="1405" w:type="dxa"/>
            <w:tcBorders>
              <w:top w:val="nil"/>
              <w:left w:val="nil"/>
              <w:bottom w:val="single" w:sz="4" w:space="0" w:color="auto"/>
              <w:right w:val="single" w:sz="4" w:space="0" w:color="auto"/>
            </w:tcBorders>
            <w:shd w:val="clear" w:color="auto" w:fill="auto"/>
            <w:vAlign w:val="center"/>
            <w:hideMark/>
          </w:tcPr>
          <w:p w14:paraId="6BB2B0E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75.650,72</w:t>
            </w:r>
          </w:p>
        </w:tc>
        <w:tc>
          <w:tcPr>
            <w:tcW w:w="1264" w:type="dxa"/>
            <w:tcBorders>
              <w:top w:val="nil"/>
              <w:left w:val="nil"/>
              <w:bottom w:val="single" w:sz="4" w:space="0" w:color="auto"/>
              <w:right w:val="single" w:sz="4" w:space="0" w:color="auto"/>
            </w:tcBorders>
            <w:shd w:val="clear" w:color="auto" w:fill="auto"/>
            <w:vAlign w:val="center"/>
            <w:hideMark/>
          </w:tcPr>
          <w:p w14:paraId="41388493"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67,70</w:t>
            </w:r>
          </w:p>
        </w:tc>
        <w:tc>
          <w:tcPr>
            <w:tcW w:w="1264" w:type="dxa"/>
            <w:tcBorders>
              <w:top w:val="nil"/>
              <w:left w:val="nil"/>
              <w:bottom w:val="single" w:sz="4" w:space="0" w:color="auto"/>
              <w:right w:val="single" w:sz="4" w:space="0" w:color="auto"/>
            </w:tcBorders>
            <w:shd w:val="clear" w:color="auto" w:fill="auto"/>
            <w:vAlign w:val="center"/>
            <w:hideMark/>
          </w:tcPr>
          <w:p w14:paraId="3042D75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14.934,64</w:t>
            </w:r>
          </w:p>
        </w:tc>
        <w:tc>
          <w:tcPr>
            <w:tcW w:w="1436" w:type="dxa"/>
            <w:tcBorders>
              <w:top w:val="nil"/>
              <w:left w:val="nil"/>
              <w:bottom w:val="single" w:sz="4" w:space="0" w:color="auto"/>
              <w:right w:val="single" w:sz="4" w:space="0" w:color="auto"/>
            </w:tcBorders>
            <w:shd w:val="clear" w:color="auto" w:fill="auto"/>
            <w:vAlign w:val="center"/>
            <w:hideMark/>
          </w:tcPr>
          <w:p w14:paraId="0F4BF994"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13,37</w:t>
            </w:r>
          </w:p>
        </w:tc>
        <w:tc>
          <w:tcPr>
            <w:tcW w:w="1190" w:type="dxa"/>
            <w:tcBorders>
              <w:top w:val="nil"/>
              <w:left w:val="nil"/>
              <w:bottom w:val="single" w:sz="4" w:space="0" w:color="auto"/>
              <w:right w:val="single" w:sz="4" w:space="0" w:color="auto"/>
            </w:tcBorders>
            <w:shd w:val="clear" w:color="auto" w:fill="auto"/>
            <w:vAlign w:val="center"/>
            <w:hideMark/>
          </w:tcPr>
          <w:p w14:paraId="70B2557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21.153,27</w:t>
            </w:r>
          </w:p>
        </w:tc>
        <w:tc>
          <w:tcPr>
            <w:tcW w:w="1182" w:type="dxa"/>
            <w:tcBorders>
              <w:top w:val="nil"/>
              <w:left w:val="nil"/>
              <w:bottom w:val="single" w:sz="4" w:space="0" w:color="auto"/>
              <w:right w:val="single" w:sz="4" w:space="0" w:color="auto"/>
            </w:tcBorders>
            <w:shd w:val="clear" w:color="auto" w:fill="auto"/>
            <w:vAlign w:val="center"/>
            <w:hideMark/>
          </w:tcPr>
          <w:p w14:paraId="04869B7E"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18,93</w:t>
            </w:r>
          </w:p>
        </w:tc>
        <w:tc>
          <w:tcPr>
            <w:tcW w:w="1215" w:type="dxa"/>
            <w:tcBorders>
              <w:top w:val="nil"/>
              <w:left w:val="nil"/>
              <w:bottom w:val="single" w:sz="4" w:space="0" w:color="auto"/>
              <w:right w:val="single" w:sz="4" w:space="0" w:color="auto"/>
            </w:tcBorders>
            <w:shd w:val="clear" w:color="auto" w:fill="auto"/>
            <w:vAlign w:val="center"/>
            <w:hideMark/>
          </w:tcPr>
          <w:p w14:paraId="3B07E6A6"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111.738,63</w:t>
            </w:r>
          </w:p>
        </w:tc>
      </w:tr>
      <w:tr w:rsidR="005D09BE" w:rsidRPr="00D44048" w14:paraId="52194BEA"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57173FA0" w14:textId="77777777" w:rsidR="005D09BE" w:rsidRPr="00D44048" w:rsidRDefault="005D09BE" w:rsidP="00F4450D">
            <w:pPr>
              <w:jc w:val="both"/>
              <w:rPr>
                <w:rFonts w:ascii="Arial" w:hAnsi="Arial" w:cs="Arial"/>
                <w:sz w:val="16"/>
                <w:szCs w:val="16"/>
              </w:rPr>
            </w:pPr>
            <w:r w:rsidRPr="00D44048">
              <w:rPr>
                <w:rFonts w:ascii="Arial" w:hAnsi="Arial" w:cs="Arial"/>
                <w:sz w:val="16"/>
                <w:szCs w:val="16"/>
              </w:rPr>
              <w:t xml:space="preserve">12- C.F.S. </w:t>
            </w:r>
            <w:proofErr w:type="gramStart"/>
            <w:r w:rsidRPr="00D44048">
              <w:rPr>
                <w:rFonts w:ascii="Arial" w:hAnsi="Arial" w:cs="Arial"/>
                <w:sz w:val="16"/>
                <w:szCs w:val="16"/>
              </w:rPr>
              <w:t>ANATOMÍA ,</w:t>
            </w:r>
            <w:proofErr w:type="gramEnd"/>
            <w:r w:rsidRPr="00D44048">
              <w:rPr>
                <w:rFonts w:ascii="Arial" w:hAnsi="Arial" w:cs="Arial"/>
                <w:sz w:val="16"/>
                <w:szCs w:val="16"/>
              </w:rPr>
              <w:t xml:space="preserve"> PATOLOGÍA Y CITOLOGÍA</w:t>
            </w:r>
          </w:p>
        </w:tc>
        <w:tc>
          <w:tcPr>
            <w:tcW w:w="878" w:type="dxa"/>
            <w:tcBorders>
              <w:top w:val="nil"/>
              <w:left w:val="nil"/>
              <w:bottom w:val="single" w:sz="4" w:space="0" w:color="auto"/>
              <w:right w:val="single" w:sz="4" w:space="0" w:color="auto"/>
            </w:tcBorders>
            <w:shd w:val="clear" w:color="auto" w:fill="auto"/>
            <w:vAlign w:val="center"/>
            <w:hideMark/>
          </w:tcPr>
          <w:p w14:paraId="31F0B75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1º</w:t>
            </w:r>
          </w:p>
        </w:tc>
        <w:tc>
          <w:tcPr>
            <w:tcW w:w="1601" w:type="dxa"/>
            <w:tcBorders>
              <w:top w:val="nil"/>
              <w:left w:val="nil"/>
              <w:bottom w:val="single" w:sz="4" w:space="0" w:color="auto"/>
              <w:right w:val="single" w:sz="4" w:space="0" w:color="auto"/>
            </w:tcBorders>
            <w:shd w:val="clear" w:color="auto" w:fill="auto"/>
            <w:vAlign w:val="center"/>
            <w:hideMark/>
          </w:tcPr>
          <w:p w14:paraId="7AB652C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0,957</w:t>
            </w:r>
          </w:p>
        </w:tc>
        <w:tc>
          <w:tcPr>
            <w:tcW w:w="1264" w:type="dxa"/>
            <w:tcBorders>
              <w:top w:val="nil"/>
              <w:left w:val="nil"/>
              <w:bottom w:val="single" w:sz="4" w:space="0" w:color="auto"/>
              <w:right w:val="single" w:sz="4" w:space="0" w:color="auto"/>
            </w:tcBorders>
            <w:shd w:val="clear" w:color="auto" w:fill="auto"/>
            <w:vAlign w:val="center"/>
            <w:hideMark/>
          </w:tcPr>
          <w:p w14:paraId="3F91A143"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0,739</w:t>
            </w:r>
          </w:p>
        </w:tc>
        <w:tc>
          <w:tcPr>
            <w:tcW w:w="1405" w:type="dxa"/>
            <w:tcBorders>
              <w:top w:val="nil"/>
              <w:left w:val="nil"/>
              <w:bottom w:val="single" w:sz="4" w:space="0" w:color="auto"/>
              <w:right w:val="single" w:sz="4" w:space="0" w:color="auto"/>
            </w:tcBorders>
            <w:shd w:val="clear" w:color="auto" w:fill="auto"/>
            <w:vAlign w:val="center"/>
            <w:hideMark/>
          </w:tcPr>
          <w:p w14:paraId="50E45796"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80.856,40</w:t>
            </w:r>
          </w:p>
        </w:tc>
        <w:tc>
          <w:tcPr>
            <w:tcW w:w="1264" w:type="dxa"/>
            <w:tcBorders>
              <w:top w:val="nil"/>
              <w:left w:val="nil"/>
              <w:bottom w:val="single" w:sz="4" w:space="0" w:color="auto"/>
              <w:right w:val="single" w:sz="4" w:space="0" w:color="auto"/>
            </w:tcBorders>
            <w:shd w:val="clear" w:color="auto" w:fill="auto"/>
            <w:vAlign w:val="center"/>
            <w:hideMark/>
          </w:tcPr>
          <w:p w14:paraId="630103E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67,20</w:t>
            </w:r>
          </w:p>
        </w:tc>
        <w:tc>
          <w:tcPr>
            <w:tcW w:w="1264" w:type="dxa"/>
            <w:tcBorders>
              <w:top w:val="nil"/>
              <w:left w:val="nil"/>
              <w:bottom w:val="single" w:sz="4" w:space="0" w:color="auto"/>
              <w:right w:val="single" w:sz="4" w:space="0" w:color="auto"/>
            </w:tcBorders>
            <w:shd w:val="clear" w:color="auto" w:fill="auto"/>
            <w:vAlign w:val="center"/>
            <w:hideMark/>
          </w:tcPr>
          <w:p w14:paraId="3900DDF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15.973,36</w:t>
            </w:r>
          </w:p>
        </w:tc>
        <w:tc>
          <w:tcPr>
            <w:tcW w:w="1436" w:type="dxa"/>
            <w:tcBorders>
              <w:top w:val="nil"/>
              <w:left w:val="nil"/>
              <w:bottom w:val="single" w:sz="4" w:space="0" w:color="auto"/>
              <w:right w:val="single" w:sz="4" w:space="0" w:color="auto"/>
            </w:tcBorders>
            <w:shd w:val="clear" w:color="auto" w:fill="auto"/>
            <w:vAlign w:val="center"/>
            <w:hideMark/>
          </w:tcPr>
          <w:p w14:paraId="7150F78B"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13,28</w:t>
            </w:r>
          </w:p>
        </w:tc>
        <w:tc>
          <w:tcPr>
            <w:tcW w:w="1190" w:type="dxa"/>
            <w:tcBorders>
              <w:top w:val="nil"/>
              <w:left w:val="nil"/>
              <w:bottom w:val="single" w:sz="4" w:space="0" w:color="auto"/>
              <w:right w:val="single" w:sz="4" w:space="0" w:color="auto"/>
            </w:tcBorders>
            <w:shd w:val="clear" w:color="auto" w:fill="auto"/>
            <w:vAlign w:val="center"/>
            <w:hideMark/>
          </w:tcPr>
          <w:p w14:paraId="4A357805"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23.484,00</w:t>
            </w:r>
          </w:p>
        </w:tc>
        <w:tc>
          <w:tcPr>
            <w:tcW w:w="1182" w:type="dxa"/>
            <w:tcBorders>
              <w:top w:val="nil"/>
              <w:left w:val="nil"/>
              <w:bottom w:val="single" w:sz="4" w:space="0" w:color="auto"/>
              <w:right w:val="single" w:sz="4" w:space="0" w:color="auto"/>
            </w:tcBorders>
            <w:shd w:val="clear" w:color="auto" w:fill="auto"/>
            <w:vAlign w:val="center"/>
            <w:hideMark/>
          </w:tcPr>
          <w:p w14:paraId="004A40A5"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19,52</w:t>
            </w:r>
          </w:p>
        </w:tc>
        <w:tc>
          <w:tcPr>
            <w:tcW w:w="1215" w:type="dxa"/>
            <w:tcBorders>
              <w:top w:val="nil"/>
              <w:left w:val="nil"/>
              <w:bottom w:val="single" w:sz="4" w:space="0" w:color="auto"/>
              <w:right w:val="single" w:sz="4" w:space="0" w:color="auto"/>
            </w:tcBorders>
            <w:shd w:val="clear" w:color="auto" w:fill="auto"/>
            <w:vAlign w:val="center"/>
            <w:hideMark/>
          </w:tcPr>
          <w:p w14:paraId="3B9EB1D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120.313,76</w:t>
            </w:r>
          </w:p>
        </w:tc>
      </w:tr>
      <w:tr w:rsidR="005D09BE" w:rsidRPr="00D44048" w14:paraId="2D371C1E"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2F822AD2" w14:textId="77777777" w:rsidR="005D09BE" w:rsidRPr="00D44048"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2FB199D3"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2º</w:t>
            </w:r>
          </w:p>
        </w:tc>
        <w:tc>
          <w:tcPr>
            <w:tcW w:w="1601" w:type="dxa"/>
            <w:tcBorders>
              <w:top w:val="nil"/>
              <w:left w:val="nil"/>
              <w:bottom w:val="single" w:sz="4" w:space="0" w:color="auto"/>
              <w:right w:val="single" w:sz="4" w:space="0" w:color="auto"/>
            </w:tcBorders>
            <w:shd w:val="clear" w:color="auto" w:fill="auto"/>
            <w:vAlign w:val="center"/>
            <w:hideMark/>
          </w:tcPr>
          <w:p w14:paraId="4B66FDD5"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1,261</w:t>
            </w:r>
          </w:p>
        </w:tc>
        <w:tc>
          <w:tcPr>
            <w:tcW w:w="1264" w:type="dxa"/>
            <w:tcBorders>
              <w:top w:val="nil"/>
              <w:left w:val="nil"/>
              <w:bottom w:val="single" w:sz="4" w:space="0" w:color="auto"/>
              <w:right w:val="single" w:sz="4" w:space="0" w:color="auto"/>
            </w:tcBorders>
            <w:shd w:val="clear" w:color="auto" w:fill="auto"/>
            <w:vAlign w:val="center"/>
            <w:hideMark/>
          </w:tcPr>
          <w:p w14:paraId="4924A779" w14:textId="77777777" w:rsidR="005D09BE" w:rsidRPr="00D44048" w:rsidRDefault="005D09BE" w:rsidP="00F4450D">
            <w:pPr>
              <w:jc w:val="center"/>
              <w:rPr>
                <w:rFonts w:ascii="Arial" w:hAnsi="Arial" w:cs="Arial"/>
                <w:sz w:val="16"/>
                <w:szCs w:val="16"/>
              </w:rPr>
            </w:pPr>
            <w:r w:rsidRPr="00D44048">
              <w:rPr>
                <w:rFonts w:ascii="Arial" w:hAnsi="Arial" w:cs="Arial"/>
                <w:w w:val="99"/>
                <w:sz w:val="16"/>
                <w:szCs w:val="16"/>
              </w:rPr>
              <w:t>0</w:t>
            </w:r>
          </w:p>
        </w:tc>
        <w:tc>
          <w:tcPr>
            <w:tcW w:w="1405" w:type="dxa"/>
            <w:tcBorders>
              <w:top w:val="nil"/>
              <w:left w:val="nil"/>
              <w:bottom w:val="single" w:sz="4" w:space="0" w:color="auto"/>
              <w:right w:val="single" w:sz="4" w:space="0" w:color="auto"/>
            </w:tcBorders>
            <w:shd w:val="clear" w:color="auto" w:fill="auto"/>
            <w:vAlign w:val="center"/>
            <w:hideMark/>
          </w:tcPr>
          <w:p w14:paraId="1E39B7A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62.431,51</w:t>
            </w:r>
          </w:p>
        </w:tc>
        <w:tc>
          <w:tcPr>
            <w:tcW w:w="1264" w:type="dxa"/>
            <w:tcBorders>
              <w:top w:val="nil"/>
              <w:left w:val="nil"/>
              <w:bottom w:val="single" w:sz="4" w:space="0" w:color="auto"/>
              <w:right w:val="single" w:sz="4" w:space="0" w:color="auto"/>
            </w:tcBorders>
            <w:shd w:val="clear" w:color="auto" w:fill="auto"/>
            <w:vAlign w:val="center"/>
            <w:hideMark/>
          </w:tcPr>
          <w:p w14:paraId="274774A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63,46</w:t>
            </w:r>
          </w:p>
        </w:tc>
        <w:tc>
          <w:tcPr>
            <w:tcW w:w="1264" w:type="dxa"/>
            <w:tcBorders>
              <w:top w:val="nil"/>
              <w:left w:val="nil"/>
              <w:bottom w:val="single" w:sz="4" w:space="0" w:color="auto"/>
              <w:right w:val="single" w:sz="4" w:space="0" w:color="auto"/>
            </w:tcBorders>
            <w:shd w:val="clear" w:color="auto" w:fill="auto"/>
            <w:vAlign w:val="center"/>
            <w:hideMark/>
          </w:tcPr>
          <w:p w14:paraId="7B54307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12.469,25</w:t>
            </w:r>
          </w:p>
        </w:tc>
        <w:tc>
          <w:tcPr>
            <w:tcW w:w="1436" w:type="dxa"/>
            <w:tcBorders>
              <w:top w:val="nil"/>
              <w:left w:val="nil"/>
              <w:bottom w:val="single" w:sz="4" w:space="0" w:color="auto"/>
              <w:right w:val="single" w:sz="4" w:space="0" w:color="auto"/>
            </w:tcBorders>
            <w:shd w:val="clear" w:color="auto" w:fill="auto"/>
            <w:vAlign w:val="center"/>
            <w:hideMark/>
          </w:tcPr>
          <w:p w14:paraId="67D35B34"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12,67</w:t>
            </w:r>
          </w:p>
        </w:tc>
        <w:tc>
          <w:tcPr>
            <w:tcW w:w="1190" w:type="dxa"/>
            <w:tcBorders>
              <w:top w:val="nil"/>
              <w:left w:val="nil"/>
              <w:bottom w:val="single" w:sz="4" w:space="0" w:color="auto"/>
              <w:right w:val="single" w:sz="4" w:space="0" w:color="auto"/>
            </w:tcBorders>
            <w:shd w:val="clear" w:color="auto" w:fill="auto"/>
            <w:vAlign w:val="center"/>
            <w:hideMark/>
          </w:tcPr>
          <w:p w14:paraId="325ED95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23.484,00</w:t>
            </w:r>
          </w:p>
        </w:tc>
        <w:tc>
          <w:tcPr>
            <w:tcW w:w="1182" w:type="dxa"/>
            <w:tcBorders>
              <w:top w:val="nil"/>
              <w:left w:val="nil"/>
              <w:bottom w:val="single" w:sz="4" w:space="0" w:color="auto"/>
              <w:right w:val="single" w:sz="4" w:space="0" w:color="auto"/>
            </w:tcBorders>
            <w:shd w:val="clear" w:color="auto" w:fill="auto"/>
            <w:vAlign w:val="center"/>
            <w:hideMark/>
          </w:tcPr>
          <w:p w14:paraId="7BC4DDAE"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23,87</w:t>
            </w:r>
          </w:p>
        </w:tc>
        <w:tc>
          <w:tcPr>
            <w:tcW w:w="1215" w:type="dxa"/>
            <w:tcBorders>
              <w:top w:val="nil"/>
              <w:left w:val="nil"/>
              <w:bottom w:val="single" w:sz="4" w:space="0" w:color="auto"/>
              <w:right w:val="single" w:sz="4" w:space="0" w:color="auto"/>
            </w:tcBorders>
            <w:shd w:val="clear" w:color="auto" w:fill="auto"/>
            <w:vAlign w:val="center"/>
            <w:hideMark/>
          </w:tcPr>
          <w:p w14:paraId="4A795ED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98.384,76</w:t>
            </w:r>
          </w:p>
        </w:tc>
      </w:tr>
      <w:tr w:rsidR="005D09BE" w:rsidRPr="00D44048" w14:paraId="7C35C57A"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363E7A79" w14:textId="77777777" w:rsidR="005D09BE" w:rsidRPr="00D44048" w:rsidRDefault="005D09BE" w:rsidP="00F4450D">
            <w:pPr>
              <w:jc w:val="both"/>
              <w:rPr>
                <w:rFonts w:ascii="Arial" w:hAnsi="Arial" w:cs="Arial"/>
                <w:sz w:val="16"/>
                <w:szCs w:val="16"/>
              </w:rPr>
            </w:pPr>
            <w:r w:rsidRPr="00D44048">
              <w:rPr>
                <w:rFonts w:ascii="Arial" w:hAnsi="Arial" w:cs="Arial"/>
                <w:sz w:val="16"/>
                <w:szCs w:val="16"/>
              </w:rPr>
              <w:t>12- C.F.S. ANATOMÍA PATOLÓGICA Y CITODIAGNÓSTICO (LOE)</w:t>
            </w:r>
          </w:p>
        </w:tc>
        <w:tc>
          <w:tcPr>
            <w:tcW w:w="878" w:type="dxa"/>
            <w:tcBorders>
              <w:top w:val="nil"/>
              <w:left w:val="nil"/>
              <w:bottom w:val="single" w:sz="4" w:space="0" w:color="auto"/>
              <w:right w:val="single" w:sz="4" w:space="0" w:color="auto"/>
            </w:tcBorders>
            <w:shd w:val="clear" w:color="auto" w:fill="auto"/>
            <w:vAlign w:val="center"/>
            <w:hideMark/>
          </w:tcPr>
          <w:p w14:paraId="15ED4A0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1º</w:t>
            </w:r>
          </w:p>
        </w:tc>
        <w:tc>
          <w:tcPr>
            <w:tcW w:w="1601" w:type="dxa"/>
            <w:tcBorders>
              <w:top w:val="nil"/>
              <w:left w:val="nil"/>
              <w:bottom w:val="single" w:sz="4" w:space="0" w:color="auto"/>
              <w:right w:val="single" w:sz="4" w:space="0" w:color="auto"/>
            </w:tcBorders>
            <w:shd w:val="clear" w:color="auto" w:fill="auto"/>
            <w:vAlign w:val="center"/>
            <w:hideMark/>
          </w:tcPr>
          <w:p w14:paraId="4B3EA33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1,261</w:t>
            </w:r>
          </w:p>
        </w:tc>
        <w:tc>
          <w:tcPr>
            <w:tcW w:w="1264" w:type="dxa"/>
            <w:tcBorders>
              <w:top w:val="nil"/>
              <w:left w:val="nil"/>
              <w:bottom w:val="single" w:sz="4" w:space="0" w:color="auto"/>
              <w:right w:val="single" w:sz="4" w:space="0" w:color="auto"/>
            </w:tcBorders>
            <w:shd w:val="clear" w:color="auto" w:fill="auto"/>
            <w:vAlign w:val="center"/>
            <w:hideMark/>
          </w:tcPr>
          <w:p w14:paraId="3D098F83"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0,435</w:t>
            </w:r>
          </w:p>
        </w:tc>
        <w:tc>
          <w:tcPr>
            <w:tcW w:w="1405" w:type="dxa"/>
            <w:tcBorders>
              <w:top w:val="nil"/>
              <w:left w:val="nil"/>
              <w:bottom w:val="single" w:sz="4" w:space="0" w:color="auto"/>
              <w:right w:val="single" w:sz="4" w:space="0" w:color="auto"/>
            </w:tcBorders>
            <w:shd w:val="clear" w:color="auto" w:fill="auto"/>
            <w:vAlign w:val="center"/>
            <w:hideMark/>
          </w:tcPr>
          <w:p w14:paraId="32D37673"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82.136,47</w:t>
            </w:r>
          </w:p>
        </w:tc>
        <w:tc>
          <w:tcPr>
            <w:tcW w:w="1264" w:type="dxa"/>
            <w:tcBorders>
              <w:top w:val="nil"/>
              <w:left w:val="nil"/>
              <w:bottom w:val="single" w:sz="4" w:space="0" w:color="auto"/>
              <w:right w:val="single" w:sz="4" w:space="0" w:color="auto"/>
            </w:tcBorders>
            <w:shd w:val="clear" w:color="auto" w:fill="auto"/>
            <w:vAlign w:val="center"/>
            <w:hideMark/>
          </w:tcPr>
          <w:p w14:paraId="7573D5CB"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67,76</w:t>
            </w:r>
          </w:p>
        </w:tc>
        <w:tc>
          <w:tcPr>
            <w:tcW w:w="1264" w:type="dxa"/>
            <w:tcBorders>
              <w:top w:val="nil"/>
              <w:left w:val="nil"/>
              <w:bottom w:val="single" w:sz="4" w:space="0" w:color="auto"/>
              <w:right w:val="single" w:sz="4" w:space="0" w:color="auto"/>
            </w:tcBorders>
            <w:shd w:val="clear" w:color="auto" w:fill="auto"/>
            <w:vAlign w:val="center"/>
            <w:hideMark/>
          </w:tcPr>
          <w:p w14:paraId="77DDB98A"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15.596,34</w:t>
            </w:r>
          </w:p>
        </w:tc>
        <w:tc>
          <w:tcPr>
            <w:tcW w:w="1436" w:type="dxa"/>
            <w:tcBorders>
              <w:top w:val="nil"/>
              <w:left w:val="nil"/>
              <w:bottom w:val="single" w:sz="4" w:space="0" w:color="auto"/>
              <w:right w:val="single" w:sz="4" w:space="0" w:color="auto"/>
            </w:tcBorders>
            <w:shd w:val="clear" w:color="auto" w:fill="auto"/>
            <w:vAlign w:val="center"/>
            <w:hideMark/>
          </w:tcPr>
          <w:p w14:paraId="1023D973"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12,87</w:t>
            </w:r>
          </w:p>
        </w:tc>
        <w:tc>
          <w:tcPr>
            <w:tcW w:w="1190" w:type="dxa"/>
            <w:tcBorders>
              <w:top w:val="nil"/>
              <w:left w:val="nil"/>
              <w:bottom w:val="single" w:sz="4" w:space="0" w:color="auto"/>
              <w:right w:val="single" w:sz="4" w:space="0" w:color="auto"/>
            </w:tcBorders>
            <w:shd w:val="clear" w:color="auto" w:fill="auto"/>
            <w:vAlign w:val="center"/>
            <w:hideMark/>
          </w:tcPr>
          <w:p w14:paraId="4A59BD0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23.484,00</w:t>
            </w:r>
          </w:p>
        </w:tc>
        <w:tc>
          <w:tcPr>
            <w:tcW w:w="1182" w:type="dxa"/>
            <w:tcBorders>
              <w:top w:val="nil"/>
              <w:left w:val="nil"/>
              <w:bottom w:val="single" w:sz="4" w:space="0" w:color="auto"/>
              <w:right w:val="single" w:sz="4" w:space="0" w:color="auto"/>
            </w:tcBorders>
            <w:shd w:val="clear" w:color="auto" w:fill="auto"/>
            <w:vAlign w:val="center"/>
            <w:hideMark/>
          </w:tcPr>
          <w:p w14:paraId="6FB6CFB3"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19,37</w:t>
            </w:r>
          </w:p>
        </w:tc>
        <w:tc>
          <w:tcPr>
            <w:tcW w:w="1215" w:type="dxa"/>
            <w:tcBorders>
              <w:top w:val="nil"/>
              <w:left w:val="nil"/>
              <w:bottom w:val="single" w:sz="4" w:space="0" w:color="auto"/>
              <w:right w:val="single" w:sz="4" w:space="0" w:color="auto"/>
            </w:tcBorders>
            <w:shd w:val="clear" w:color="auto" w:fill="auto"/>
            <w:vAlign w:val="center"/>
            <w:hideMark/>
          </w:tcPr>
          <w:p w14:paraId="534AEB6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121.216,81</w:t>
            </w:r>
          </w:p>
        </w:tc>
      </w:tr>
      <w:tr w:rsidR="005D09BE" w:rsidRPr="00D44048" w14:paraId="0E7560CF"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35E5CB36" w14:textId="77777777" w:rsidR="005D09BE" w:rsidRPr="00D44048"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4BB1B40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2º</w:t>
            </w:r>
          </w:p>
        </w:tc>
        <w:tc>
          <w:tcPr>
            <w:tcW w:w="1601" w:type="dxa"/>
            <w:tcBorders>
              <w:top w:val="nil"/>
              <w:left w:val="nil"/>
              <w:bottom w:val="single" w:sz="4" w:space="0" w:color="auto"/>
              <w:right w:val="single" w:sz="4" w:space="0" w:color="auto"/>
            </w:tcBorders>
            <w:shd w:val="clear" w:color="auto" w:fill="auto"/>
            <w:vAlign w:val="center"/>
            <w:hideMark/>
          </w:tcPr>
          <w:p w14:paraId="7B5543F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1,13</w:t>
            </w:r>
          </w:p>
        </w:tc>
        <w:tc>
          <w:tcPr>
            <w:tcW w:w="1264" w:type="dxa"/>
            <w:tcBorders>
              <w:top w:val="nil"/>
              <w:left w:val="nil"/>
              <w:bottom w:val="single" w:sz="4" w:space="0" w:color="auto"/>
              <w:right w:val="single" w:sz="4" w:space="0" w:color="auto"/>
            </w:tcBorders>
            <w:shd w:val="clear" w:color="auto" w:fill="auto"/>
            <w:vAlign w:val="center"/>
            <w:hideMark/>
          </w:tcPr>
          <w:p w14:paraId="111D547E"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0,391</w:t>
            </w:r>
          </w:p>
        </w:tc>
        <w:tc>
          <w:tcPr>
            <w:tcW w:w="1405" w:type="dxa"/>
            <w:tcBorders>
              <w:top w:val="nil"/>
              <w:left w:val="nil"/>
              <w:bottom w:val="single" w:sz="4" w:space="0" w:color="auto"/>
              <w:right w:val="single" w:sz="4" w:space="0" w:color="auto"/>
            </w:tcBorders>
            <w:shd w:val="clear" w:color="auto" w:fill="auto"/>
            <w:vAlign w:val="center"/>
            <w:hideMark/>
          </w:tcPr>
          <w:p w14:paraId="2D3F1FB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73.657,57</w:t>
            </w:r>
          </w:p>
        </w:tc>
        <w:tc>
          <w:tcPr>
            <w:tcW w:w="1264" w:type="dxa"/>
            <w:tcBorders>
              <w:top w:val="nil"/>
              <w:left w:val="nil"/>
              <w:bottom w:val="single" w:sz="4" w:space="0" w:color="auto"/>
              <w:right w:val="single" w:sz="4" w:space="0" w:color="auto"/>
            </w:tcBorders>
            <w:shd w:val="clear" w:color="auto" w:fill="auto"/>
            <w:vAlign w:val="center"/>
            <w:hideMark/>
          </w:tcPr>
          <w:p w14:paraId="69AFB2CC"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66,14</w:t>
            </w:r>
          </w:p>
        </w:tc>
        <w:tc>
          <w:tcPr>
            <w:tcW w:w="1264" w:type="dxa"/>
            <w:tcBorders>
              <w:top w:val="nil"/>
              <w:left w:val="nil"/>
              <w:bottom w:val="single" w:sz="4" w:space="0" w:color="auto"/>
              <w:right w:val="single" w:sz="4" w:space="0" w:color="auto"/>
            </w:tcBorders>
            <w:shd w:val="clear" w:color="auto" w:fill="auto"/>
            <w:vAlign w:val="center"/>
            <w:hideMark/>
          </w:tcPr>
          <w:p w14:paraId="146B32B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14.218,45</w:t>
            </w:r>
          </w:p>
        </w:tc>
        <w:tc>
          <w:tcPr>
            <w:tcW w:w="1436" w:type="dxa"/>
            <w:tcBorders>
              <w:top w:val="nil"/>
              <w:left w:val="nil"/>
              <w:bottom w:val="single" w:sz="4" w:space="0" w:color="auto"/>
              <w:right w:val="single" w:sz="4" w:space="0" w:color="auto"/>
            </w:tcBorders>
            <w:shd w:val="clear" w:color="auto" w:fill="auto"/>
            <w:vAlign w:val="center"/>
            <w:hideMark/>
          </w:tcPr>
          <w:p w14:paraId="6F85AB4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12,77</w:t>
            </w:r>
          </w:p>
        </w:tc>
        <w:tc>
          <w:tcPr>
            <w:tcW w:w="1190" w:type="dxa"/>
            <w:tcBorders>
              <w:top w:val="nil"/>
              <w:left w:val="nil"/>
              <w:bottom w:val="single" w:sz="4" w:space="0" w:color="auto"/>
              <w:right w:val="single" w:sz="4" w:space="0" w:color="auto"/>
            </w:tcBorders>
            <w:shd w:val="clear" w:color="auto" w:fill="auto"/>
            <w:vAlign w:val="center"/>
            <w:hideMark/>
          </w:tcPr>
          <w:p w14:paraId="760905AE"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23.484,00</w:t>
            </w:r>
          </w:p>
        </w:tc>
        <w:tc>
          <w:tcPr>
            <w:tcW w:w="1182" w:type="dxa"/>
            <w:tcBorders>
              <w:top w:val="nil"/>
              <w:left w:val="nil"/>
              <w:bottom w:val="single" w:sz="4" w:space="0" w:color="auto"/>
              <w:right w:val="single" w:sz="4" w:space="0" w:color="auto"/>
            </w:tcBorders>
            <w:shd w:val="clear" w:color="auto" w:fill="auto"/>
            <w:vAlign w:val="center"/>
            <w:hideMark/>
          </w:tcPr>
          <w:p w14:paraId="532BCF4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21,09</w:t>
            </w:r>
          </w:p>
        </w:tc>
        <w:tc>
          <w:tcPr>
            <w:tcW w:w="1215" w:type="dxa"/>
            <w:tcBorders>
              <w:top w:val="nil"/>
              <w:left w:val="nil"/>
              <w:bottom w:val="single" w:sz="4" w:space="0" w:color="auto"/>
              <w:right w:val="single" w:sz="4" w:space="0" w:color="auto"/>
            </w:tcBorders>
            <w:shd w:val="clear" w:color="auto" w:fill="auto"/>
            <w:vAlign w:val="center"/>
            <w:hideMark/>
          </w:tcPr>
          <w:p w14:paraId="52BBECB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111.360,02</w:t>
            </w:r>
          </w:p>
        </w:tc>
      </w:tr>
      <w:tr w:rsidR="005D09BE" w:rsidRPr="00D44048" w14:paraId="3CBFF3F2"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480F9261" w14:textId="77777777" w:rsidR="005D09BE" w:rsidRPr="00D44048" w:rsidRDefault="005D09BE" w:rsidP="00F4450D">
            <w:pPr>
              <w:jc w:val="both"/>
              <w:rPr>
                <w:rFonts w:ascii="Arial" w:hAnsi="Arial" w:cs="Arial"/>
                <w:sz w:val="16"/>
                <w:szCs w:val="16"/>
              </w:rPr>
            </w:pPr>
            <w:r w:rsidRPr="00D44048">
              <w:rPr>
                <w:rFonts w:ascii="Arial" w:hAnsi="Arial" w:cs="Arial"/>
                <w:sz w:val="16"/>
                <w:szCs w:val="16"/>
              </w:rPr>
              <w:t>13- C.F.S. PRODUCCIÓN EN INDUSTRIAS DE ARTES GRÁFICAS</w:t>
            </w:r>
          </w:p>
        </w:tc>
        <w:tc>
          <w:tcPr>
            <w:tcW w:w="878" w:type="dxa"/>
            <w:tcBorders>
              <w:top w:val="nil"/>
              <w:left w:val="nil"/>
              <w:bottom w:val="single" w:sz="4" w:space="0" w:color="auto"/>
              <w:right w:val="single" w:sz="4" w:space="0" w:color="auto"/>
            </w:tcBorders>
            <w:shd w:val="clear" w:color="auto" w:fill="auto"/>
            <w:vAlign w:val="center"/>
            <w:hideMark/>
          </w:tcPr>
          <w:p w14:paraId="186F8163"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1º</w:t>
            </w:r>
          </w:p>
        </w:tc>
        <w:tc>
          <w:tcPr>
            <w:tcW w:w="1601" w:type="dxa"/>
            <w:tcBorders>
              <w:top w:val="nil"/>
              <w:left w:val="nil"/>
              <w:bottom w:val="single" w:sz="4" w:space="0" w:color="auto"/>
              <w:right w:val="single" w:sz="4" w:space="0" w:color="auto"/>
            </w:tcBorders>
            <w:shd w:val="clear" w:color="auto" w:fill="auto"/>
            <w:vAlign w:val="center"/>
            <w:hideMark/>
          </w:tcPr>
          <w:p w14:paraId="08C366E5"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0,391</w:t>
            </w:r>
          </w:p>
        </w:tc>
        <w:tc>
          <w:tcPr>
            <w:tcW w:w="1264" w:type="dxa"/>
            <w:tcBorders>
              <w:top w:val="nil"/>
              <w:left w:val="nil"/>
              <w:bottom w:val="single" w:sz="4" w:space="0" w:color="auto"/>
              <w:right w:val="single" w:sz="4" w:space="0" w:color="auto"/>
            </w:tcBorders>
            <w:shd w:val="clear" w:color="auto" w:fill="auto"/>
            <w:vAlign w:val="center"/>
            <w:hideMark/>
          </w:tcPr>
          <w:p w14:paraId="4B4F0DF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1,348</w:t>
            </w:r>
          </w:p>
        </w:tc>
        <w:tc>
          <w:tcPr>
            <w:tcW w:w="1405" w:type="dxa"/>
            <w:tcBorders>
              <w:top w:val="nil"/>
              <w:left w:val="nil"/>
              <w:bottom w:val="single" w:sz="4" w:space="0" w:color="auto"/>
              <w:right w:val="single" w:sz="4" w:space="0" w:color="auto"/>
            </w:tcBorders>
            <w:shd w:val="clear" w:color="auto" w:fill="auto"/>
            <w:vAlign w:val="center"/>
            <w:hideMark/>
          </w:tcPr>
          <w:p w14:paraId="32D6E3F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80.420,94</w:t>
            </w:r>
          </w:p>
        </w:tc>
        <w:tc>
          <w:tcPr>
            <w:tcW w:w="1264" w:type="dxa"/>
            <w:tcBorders>
              <w:top w:val="nil"/>
              <w:left w:val="nil"/>
              <w:bottom w:val="single" w:sz="4" w:space="0" w:color="auto"/>
              <w:right w:val="single" w:sz="4" w:space="0" w:color="auto"/>
            </w:tcBorders>
            <w:shd w:val="clear" w:color="auto" w:fill="auto"/>
            <w:vAlign w:val="center"/>
            <w:hideMark/>
          </w:tcPr>
          <w:p w14:paraId="78F36505"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63,06</w:t>
            </w:r>
          </w:p>
        </w:tc>
        <w:tc>
          <w:tcPr>
            <w:tcW w:w="1264" w:type="dxa"/>
            <w:tcBorders>
              <w:top w:val="nil"/>
              <w:left w:val="nil"/>
              <w:bottom w:val="single" w:sz="4" w:space="0" w:color="auto"/>
              <w:right w:val="single" w:sz="4" w:space="0" w:color="auto"/>
            </w:tcBorders>
            <w:shd w:val="clear" w:color="auto" w:fill="auto"/>
            <w:vAlign w:val="center"/>
            <w:hideMark/>
          </w:tcPr>
          <w:p w14:paraId="2C77742B"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16.288,66</w:t>
            </w:r>
          </w:p>
        </w:tc>
        <w:tc>
          <w:tcPr>
            <w:tcW w:w="1436" w:type="dxa"/>
            <w:tcBorders>
              <w:top w:val="nil"/>
              <w:left w:val="nil"/>
              <w:bottom w:val="single" w:sz="4" w:space="0" w:color="auto"/>
              <w:right w:val="single" w:sz="4" w:space="0" w:color="auto"/>
            </w:tcBorders>
            <w:shd w:val="clear" w:color="auto" w:fill="auto"/>
            <w:vAlign w:val="center"/>
            <w:hideMark/>
          </w:tcPr>
          <w:p w14:paraId="7DB0592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12,77</w:t>
            </w:r>
          </w:p>
        </w:tc>
        <w:tc>
          <w:tcPr>
            <w:tcW w:w="1190" w:type="dxa"/>
            <w:tcBorders>
              <w:top w:val="nil"/>
              <w:left w:val="nil"/>
              <w:bottom w:val="single" w:sz="4" w:space="0" w:color="auto"/>
              <w:right w:val="single" w:sz="4" w:space="0" w:color="auto"/>
            </w:tcBorders>
            <w:shd w:val="clear" w:color="auto" w:fill="auto"/>
            <w:vAlign w:val="center"/>
            <w:hideMark/>
          </w:tcPr>
          <w:p w14:paraId="71583A13"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30.830,88</w:t>
            </w:r>
          </w:p>
        </w:tc>
        <w:tc>
          <w:tcPr>
            <w:tcW w:w="1182" w:type="dxa"/>
            <w:tcBorders>
              <w:top w:val="nil"/>
              <w:left w:val="nil"/>
              <w:bottom w:val="single" w:sz="4" w:space="0" w:color="auto"/>
              <w:right w:val="single" w:sz="4" w:space="0" w:color="auto"/>
            </w:tcBorders>
            <w:shd w:val="clear" w:color="auto" w:fill="auto"/>
            <w:vAlign w:val="center"/>
            <w:hideMark/>
          </w:tcPr>
          <w:p w14:paraId="60B8EB1A"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24,17</w:t>
            </w:r>
          </w:p>
        </w:tc>
        <w:tc>
          <w:tcPr>
            <w:tcW w:w="1215" w:type="dxa"/>
            <w:tcBorders>
              <w:top w:val="nil"/>
              <w:left w:val="nil"/>
              <w:bottom w:val="single" w:sz="4" w:space="0" w:color="auto"/>
              <w:right w:val="single" w:sz="4" w:space="0" w:color="auto"/>
            </w:tcBorders>
            <w:shd w:val="clear" w:color="auto" w:fill="auto"/>
            <w:vAlign w:val="center"/>
            <w:hideMark/>
          </w:tcPr>
          <w:p w14:paraId="31203C8E"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127.540,48</w:t>
            </w:r>
          </w:p>
        </w:tc>
      </w:tr>
      <w:tr w:rsidR="005D09BE" w:rsidRPr="00D44048" w14:paraId="103B576C"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2AFE5505" w14:textId="77777777" w:rsidR="005D09BE" w:rsidRPr="00D44048"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7A106CF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2º</w:t>
            </w:r>
          </w:p>
        </w:tc>
        <w:tc>
          <w:tcPr>
            <w:tcW w:w="1601" w:type="dxa"/>
            <w:tcBorders>
              <w:top w:val="nil"/>
              <w:left w:val="nil"/>
              <w:bottom w:val="single" w:sz="4" w:space="0" w:color="auto"/>
              <w:right w:val="single" w:sz="4" w:space="0" w:color="auto"/>
            </w:tcBorders>
            <w:shd w:val="clear" w:color="auto" w:fill="auto"/>
            <w:vAlign w:val="center"/>
            <w:hideMark/>
          </w:tcPr>
          <w:p w14:paraId="6330485E"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1,13</w:t>
            </w:r>
          </w:p>
        </w:tc>
        <w:tc>
          <w:tcPr>
            <w:tcW w:w="1264" w:type="dxa"/>
            <w:tcBorders>
              <w:top w:val="nil"/>
              <w:left w:val="nil"/>
              <w:bottom w:val="single" w:sz="4" w:space="0" w:color="auto"/>
              <w:right w:val="single" w:sz="4" w:space="0" w:color="auto"/>
            </w:tcBorders>
            <w:shd w:val="clear" w:color="auto" w:fill="auto"/>
            <w:vAlign w:val="center"/>
            <w:hideMark/>
          </w:tcPr>
          <w:p w14:paraId="4E5530D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0,478</w:t>
            </w:r>
          </w:p>
        </w:tc>
        <w:tc>
          <w:tcPr>
            <w:tcW w:w="1405" w:type="dxa"/>
            <w:tcBorders>
              <w:top w:val="nil"/>
              <w:left w:val="nil"/>
              <w:bottom w:val="single" w:sz="4" w:space="0" w:color="auto"/>
              <w:right w:val="single" w:sz="4" w:space="0" w:color="auto"/>
            </w:tcBorders>
            <w:shd w:val="clear" w:color="auto" w:fill="auto"/>
            <w:vAlign w:val="center"/>
            <w:hideMark/>
          </w:tcPr>
          <w:p w14:paraId="35406BA6"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77.598,56</w:t>
            </w:r>
          </w:p>
        </w:tc>
        <w:tc>
          <w:tcPr>
            <w:tcW w:w="1264" w:type="dxa"/>
            <w:tcBorders>
              <w:top w:val="nil"/>
              <w:left w:val="nil"/>
              <w:bottom w:val="single" w:sz="4" w:space="0" w:color="auto"/>
              <w:right w:val="single" w:sz="4" w:space="0" w:color="auto"/>
            </w:tcBorders>
            <w:shd w:val="clear" w:color="auto" w:fill="auto"/>
            <w:vAlign w:val="center"/>
            <w:hideMark/>
          </w:tcPr>
          <w:p w14:paraId="036E7F3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62,73</w:t>
            </w:r>
          </w:p>
        </w:tc>
        <w:tc>
          <w:tcPr>
            <w:tcW w:w="1264" w:type="dxa"/>
            <w:tcBorders>
              <w:top w:val="nil"/>
              <w:left w:val="nil"/>
              <w:bottom w:val="single" w:sz="4" w:space="0" w:color="auto"/>
              <w:right w:val="single" w:sz="4" w:space="0" w:color="auto"/>
            </w:tcBorders>
            <w:shd w:val="clear" w:color="auto" w:fill="auto"/>
            <w:vAlign w:val="center"/>
            <w:hideMark/>
          </w:tcPr>
          <w:p w14:paraId="41135EDC"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15.280,02</w:t>
            </w:r>
          </w:p>
        </w:tc>
        <w:tc>
          <w:tcPr>
            <w:tcW w:w="1436" w:type="dxa"/>
            <w:tcBorders>
              <w:top w:val="nil"/>
              <w:left w:val="nil"/>
              <w:bottom w:val="single" w:sz="4" w:space="0" w:color="auto"/>
              <w:right w:val="single" w:sz="4" w:space="0" w:color="auto"/>
            </w:tcBorders>
            <w:shd w:val="clear" w:color="auto" w:fill="auto"/>
            <w:vAlign w:val="center"/>
            <w:hideMark/>
          </w:tcPr>
          <w:p w14:paraId="1F2AFDC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12,35</w:t>
            </w:r>
          </w:p>
        </w:tc>
        <w:tc>
          <w:tcPr>
            <w:tcW w:w="1190" w:type="dxa"/>
            <w:tcBorders>
              <w:top w:val="nil"/>
              <w:left w:val="nil"/>
              <w:bottom w:val="single" w:sz="4" w:space="0" w:color="auto"/>
              <w:right w:val="single" w:sz="4" w:space="0" w:color="auto"/>
            </w:tcBorders>
            <w:shd w:val="clear" w:color="auto" w:fill="auto"/>
            <w:vAlign w:val="center"/>
            <w:hideMark/>
          </w:tcPr>
          <w:p w14:paraId="4F55BB2A"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30.830,88</w:t>
            </w:r>
          </w:p>
        </w:tc>
        <w:tc>
          <w:tcPr>
            <w:tcW w:w="1182" w:type="dxa"/>
            <w:tcBorders>
              <w:top w:val="nil"/>
              <w:left w:val="nil"/>
              <w:bottom w:val="single" w:sz="4" w:space="0" w:color="auto"/>
              <w:right w:val="single" w:sz="4" w:space="0" w:color="auto"/>
            </w:tcBorders>
            <w:shd w:val="clear" w:color="auto" w:fill="auto"/>
            <w:vAlign w:val="center"/>
            <w:hideMark/>
          </w:tcPr>
          <w:p w14:paraId="26FA233C"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24,92</w:t>
            </w:r>
          </w:p>
        </w:tc>
        <w:tc>
          <w:tcPr>
            <w:tcW w:w="1215" w:type="dxa"/>
            <w:tcBorders>
              <w:top w:val="nil"/>
              <w:left w:val="nil"/>
              <w:bottom w:val="single" w:sz="4" w:space="0" w:color="auto"/>
              <w:right w:val="single" w:sz="4" w:space="0" w:color="auto"/>
            </w:tcBorders>
            <w:shd w:val="clear" w:color="auto" w:fill="auto"/>
            <w:vAlign w:val="center"/>
            <w:hideMark/>
          </w:tcPr>
          <w:p w14:paraId="65267AA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123.709,46</w:t>
            </w:r>
          </w:p>
        </w:tc>
      </w:tr>
      <w:tr w:rsidR="005D09BE" w:rsidRPr="00D44048" w14:paraId="0B803787"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4F95710C" w14:textId="77777777" w:rsidR="005D09BE" w:rsidRPr="00D44048" w:rsidRDefault="005D09BE" w:rsidP="00F4450D">
            <w:pPr>
              <w:jc w:val="both"/>
              <w:rPr>
                <w:rFonts w:ascii="Arial" w:hAnsi="Arial" w:cs="Arial"/>
                <w:sz w:val="16"/>
                <w:szCs w:val="16"/>
              </w:rPr>
            </w:pPr>
            <w:r w:rsidRPr="00D44048">
              <w:rPr>
                <w:rFonts w:ascii="Arial" w:hAnsi="Arial" w:cs="Arial"/>
                <w:sz w:val="16"/>
                <w:szCs w:val="16"/>
              </w:rPr>
              <w:t>14- C.F.S. DISEÑO EN FABRICACIÓN MECÁNICA (LOE)</w:t>
            </w:r>
          </w:p>
        </w:tc>
        <w:tc>
          <w:tcPr>
            <w:tcW w:w="878" w:type="dxa"/>
            <w:tcBorders>
              <w:top w:val="nil"/>
              <w:left w:val="nil"/>
              <w:bottom w:val="single" w:sz="4" w:space="0" w:color="auto"/>
              <w:right w:val="single" w:sz="4" w:space="0" w:color="auto"/>
            </w:tcBorders>
            <w:shd w:val="clear" w:color="auto" w:fill="auto"/>
            <w:vAlign w:val="center"/>
            <w:hideMark/>
          </w:tcPr>
          <w:p w14:paraId="331EB6A5"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1º</w:t>
            </w:r>
          </w:p>
        </w:tc>
        <w:tc>
          <w:tcPr>
            <w:tcW w:w="1601" w:type="dxa"/>
            <w:tcBorders>
              <w:top w:val="nil"/>
              <w:left w:val="nil"/>
              <w:bottom w:val="single" w:sz="4" w:space="0" w:color="auto"/>
              <w:right w:val="single" w:sz="4" w:space="0" w:color="auto"/>
            </w:tcBorders>
            <w:shd w:val="clear" w:color="auto" w:fill="auto"/>
            <w:vAlign w:val="center"/>
            <w:hideMark/>
          </w:tcPr>
          <w:p w14:paraId="3C51B74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0,783</w:t>
            </w:r>
          </w:p>
        </w:tc>
        <w:tc>
          <w:tcPr>
            <w:tcW w:w="1264" w:type="dxa"/>
            <w:tcBorders>
              <w:top w:val="nil"/>
              <w:left w:val="nil"/>
              <w:bottom w:val="single" w:sz="4" w:space="0" w:color="auto"/>
              <w:right w:val="single" w:sz="4" w:space="0" w:color="auto"/>
            </w:tcBorders>
            <w:shd w:val="clear" w:color="auto" w:fill="auto"/>
            <w:vAlign w:val="center"/>
            <w:hideMark/>
          </w:tcPr>
          <w:p w14:paraId="25EFEDE4"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0,913</w:t>
            </w:r>
          </w:p>
        </w:tc>
        <w:tc>
          <w:tcPr>
            <w:tcW w:w="1405" w:type="dxa"/>
            <w:tcBorders>
              <w:top w:val="nil"/>
              <w:left w:val="nil"/>
              <w:bottom w:val="single" w:sz="4" w:space="0" w:color="auto"/>
              <w:right w:val="single" w:sz="4" w:space="0" w:color="auto"/>
            </w:tcBorders>
            <w:shd w:val="clear" w:color="auto" w:fill="auto"/>
            <w:vAlign w:val="center"/>
            <w:hideMark/>
          </w:tcPr>
          <w:p w14:paraId="0085FCE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80.123,72</w:t>
            </w:r>
          </w:p>
        </w:tc>
        <w:tc>
          <w:tcPr>
            <w:tcW w:w="1264" w:type="dxa"/>
            <w:tcBorders>
              <w:top w:val="nil"/>
              <w:left w:val="nil"/>
              <w:bottom w:val="single" w:sz="4" w:space="0" w:color="auto"/>
              <w:right w:val="single" w:sz="4" w:space="0" w:color="auto"/>
            </w:tcBorders>
            <w:shd w:val="clear" w:color="auto" w:fill="auto"/>
            <w:vAlign w:val="center"/>
            <w:hideMark/>
          </w:tcPr>
          <w:p w14:paraId="2F44D34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65,04</w:t>
            </w:r>
          </w:p>
        </w:tc>
        <w:tc>
          <w:tcPr>
            <w:tcW w:w="1264" w:type="dxa"/>
            <w:tcBorders>
              <w:top w:val="nil"/>
              <w:left w:val="nil"/>
              <w:bottom w:val="single" w:sz="4" w:space="0" w:color="auto"/>
              <w:right w:val="single" w:sz="4" w:space="0" w:color="auto"/>
            </w:tcBorders>
            <w:shd w:val="clear" w:color="auto" w:fill="auto"/>
            <w:vAlign w:val="center"/>
            <w:hideMark/>
          </w:tcPr>
          <w:p w14:paraId="7E6B54EA"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15.741,39</w:t>
            </w:r>
          </w:p>
        </w:tc>
        <w:tc>
          <w:tcPr>
            <w:tcW w:w="1436" w:type="dxa"/>
            <w:tcBorders>
              <w:top w:val="nil"/>
              <w:left w:val="nil"/>
              <w:bottom w:val="single" w:sz="4" w:space="0" w:color="auto"/>
              <w:right w:val="single" w:sz="4" w:space="0" w:color="auto"/>
            </w:tcBorders>
            <w:shd w:val="clear" w:color="auto" w:fill="auto"/>
            <w:vAlign w:val="center"/>
            <w:hideMark/>
          </w:tcPr>
          <w:p w14:paraId="76A58AD4"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12,78</w:t>
            </w:r>
          </w:p>
        </w:tc>
        <w:tc>
          <w:tcPr>
            <w:tcW w:w="1190" w:type="dxa"/>
            <w:tcBorders>
              <w:top w:val="nil"/>
              <w:left w:val="nil"/>
              <w:bottom w:val="single" w:sz="4" w:space="0" w:color="auto"/>
              <w:right w:val="single" w:sz="4" w:space="0" w:color="auto"/>
            </w:tcBorders>
            <w:shd w:val="clear" w:color="auto" w:fill="auto"/>
            <w:vAlign w:val="center"/>
            <w:hideMark/>
          </w:tcPr>
          <w:p w14:paraId="47CBEC5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27.326,36</w:t>
            </w:r>
          </w:p>
        </w:tc>
        <w:tc>
          <w:tcPr>
            <w:tcW w:w="1182" w:type="dxa"/>
            <w:tcBorders>
              <w:top w:val="nil"/>
              <w:left w:val="nil"/>
              <w:bottom w:val="single" w:sz="4" w:space="0" w:color="auto"/>
              <w:right w:val="single" w:sz="4" w:space="0" w:color="auto"/>
            </w:tcBorders>
            <w:shd w:val="clear" w:color="auto" w:fill="auto"/>
            <w:vAlign w:val="center"/>
            <w:hideMark/>
          </w:tcPr>
          <w:p w14:paraId="7535984B"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22,18</w:t>
            </w:r>
          </w:p>
        </w:tc>
        <w:tc>
          <w:tcPr>
            <w:tcW w:w="1215" w:type="dxa"/>
            <w:tcBorders>
              <w:top w:val="nil"/>
              <w:left w:val="nil"/>
              <w:bottom w:val="single" w:sz="4" w:space="0" w:color="auto"/>
              <w:right w:val="single" w:sz="4" w:space="0" w:color="auto"/>
            </w:tcBorders>
            <w:shd w:val="clear" w:color="auto" w:fill="auto"/>
            <w:vAlign w:val="center"/>
            <w:hideMark/>
          </w:tcPr>
          <w:p w14:paraId="2420704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123.191,47</w:t>
            </w:r>
          </w:p>
        </w:tc>
      </w:tr>
      <w:tr w:rsidR="005D09BE" w:rsidRPr="00D44048" w14:paraId="442F732F"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50DEE074" w14:textId="77777777" w:rsidR="005D09BE" w:rsidRPr="00D44048"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115594A4"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2º</w:t>
            </w:r>
          </w:p>
        </w:tc>
        <w:tc>
          <w:tcPr>
            <w:tcW w:w="1601" w:type="dxa"/>
            <w:tcBorders>
              <w:top w:val="nil"/>
              <w:left w:val="nil"/>
              <w:bottom w:val="single" w:sz="4" w:space="0" w:color="auto"/>
              <w:right w:val="single" w:sz="4" w:space="0" w:color="auto"/>
            </w:tcBorders>
            <w:shd w:val="clear" w:color="auto" w:fill="auto"/>
            <w:vAlign w:val="center"/>
            <w:hideMark/>
          </w:tcPr>
          <w:p w14:paraId="1B340A8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1,522</w:t>
            </w:r>
          </w:p>
        </w:tc>
        <w:tc>
          <w:tcPr>
            <w:tcW w:w="1264" w:type="dxa"/>
            <w:tcBorders>
              <w:top w:val="nil"/>
              <w:left w:val="nil"/>
              <w:bottom w:val="single" w:sz="4" w:space="0" w:color="auto"/>
              <w:right w:val="single" w:sz="4" w:space="0" w:color="auto"/>
            </w:tcBorders>
            <w:shd w:val="clear" w:color="auto" w:fill="auto"/>
            <w:vAlign w:val="center"/>
            <w:hideMark/>
          </w:tcPr>
          <w:p w14:paraId="3684CAAA"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0,09</w:t>
            </w:r>
          </w:p>
        </w:tc>
        <w:tc>
          <w:tcPr>
            <w:tcW w:w="1405" w:type="dxa"/>
            <w:tcBorders>
              <w:top w:val="nil"/>
              <w:left w:val="nil"/>
              <w:bottom w:val="single" w:sz="4" w:space="0" w:color="auto"/>
              <w:right w:val="single" w:sz="4" w:space="0" w:color="auto"/>
            </w:tcBorders>
            <w:shd w:val="clear" w:color="auto" w:fill="auto"/>
            <w:vAlign w:val="center"/>
            <w:hideMark/>
          </w:tcPr>
          <w:p w14:paraId="1F5FABA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79.430,39</w:t>
            </w:r>
          </w:p>
        </w:tc>
        <w:tc>
          <w:tcPr>
            <w:tcW w:w="1264" w:type="dxa"/>
            <w:tcBorders>
              <w:top w:val="nil"/>
              <w:left w:val="nil"/>
              <w:bottom w:val="single" w:sz="4" w:space="0" w:color="auto"/>
              <w:right w:val="single" w:sz="4" w:space="0" w:color="auto"/>
            </w:tcBorders>
            <w:shd w:val="clear" w:color="auto" w:fill="auto"/>
            <w:vAlign w:val="center"/>
            <w:hideMark/>
          </w:tcPr>
          <w:p w14:paraId="34483175"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65,17</w:t>
            </w:r>
          </w:p>
        </w:tc>
        <w:tc>
          <w:tcPr>
            <w:tcW w:w="1264" w:type="dxa"/>
            <w:tcBorders>
              <w:top w:val="nil"/>
              <w:left w:val="nil"/>
              <w:bottom w:val="single" w:sz="4" w:space="0" w:color="auto"/>
              <w:right w:val="single" w:sz="4" w:space="0" w:color="auto"/>
            </w:tcBorders>
            <w:shd w:val="clear" w:color="auto" w:fill="auto"/>
            <w:vAlign w:val="center"/>
            <w:hideMark/>
          </w:tcPr>
          <w:p w14:paraId="509E138B"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15.119,49</w:t>
            </w:r>
          </w:p>
        </w:tc>
        <w:tc>
          <w:tcPr>
            <w:tcW w:w="1436" w:type="dxa"/>
            <w:tcBorders>
              <w:top w:val="nil"/>
              <w:left w:val="nil"/>
              <w:bottom w:val="single" w:sz="4" w:space="0" w:color="auto"/>
              <w:right w:val="single" w:sz="4" w:space="0" w:color="auto"/>
            </w:tcBorders>
            <w:shd w:val="clear" w:color="auto" w:fill="auto"/>
            <w:vAlign w:val="center"/>
            <w:hideMark/>
          </w:tcPr>
          <w:p w14:paraId="5B60A49E"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12,41</w:t>
            </w:r>
          </w:p>
        </w:tc>
        <w:tc>
          <w:tcPr>
            <w:tcW w:w="1190" w:type="dxa"/>
            <w:tcBorders>
              <w:top w:val="nil"/>
              <w:left w:val="nil"/>
              <w:bottom w:val="single" w:sz="4" w:space="0" w:color="auto"/>
              <w:right w:val="single" w:sz="4" w:space="0" w:color="auto"/>
            </w:tcBorders>
            <w:shd w:val="clear" w:color="auto" w:fill="auto"/>
            <w:vAlign w:val="center"/>
            <w:hideMark/>
          </w:tcPr>
          <w:p w14:paraId="25983B8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27.326,36</w:t>
            </w:r>
          </w:p>
        </w:tc>
        <w:tc>
          <w:tcPr>
            <w:tcW w:w="1182" w:type="dxa"/>
            <w:tcBorders>
              <w:top w:val="nil"/>
              <w:left w:val="nil"/>
              <w:bottom w:val="single" w:sz="4" w:space="0" w:color="auto"/>
              <w:right w:val="single" w:sz="4" w:space="0" w:color="auto"/>
            </w:tcBorders>
            <w:shd w:val="clear" w:color="auto" w:fill="auto"/>
            <w:vAlign w:val="center"/>
            <w:hideMark/>
          </w:tcPr>
          <w:p w14:paraId="5C30AD1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22,42</w:t>
            </w:r>
          </w:p>
        </w:tc>
        <w:tc>
          <w:tcPr>
            <w:tcW w:w="1215" w:type="dxa"/>
            <w:tcBorders>
              <w:top w:val="nil"/>
              <w:left w:val="nil"/>
              <w:bottom w:val="single" w:sz="4" w:space="0" w:color="auto"/>
              <w:right w:val="single" w:sz="4" w:space="0" w:color="auto"/>
            </w:tcBorders>
            <w:shd w:val="clear" w:color="auto" w:fill="auto"/>
            <w:vAlign w:val="center"/>
            <w:hideMark/>
          </w:tcPr>
          <w:p w14:paraId="526D3FA5"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121.876,24</w:t>
            </w:r>
          </w:p>
        </w:tc>
      </w:tr>
      <w:tr w:rsidR="005D09BE" w:rsidRPr="00D44048" w14:paraId="479C14C0"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6B62AE89" w14:textId="77777777" w:rsidR="005D09BE" w:rsidRPr="00D44048" w:rsidRDefault="005D09BE" w:rsidP="00F4450D">
            <w:pPr>
              <w:jc w:val="both"/>
              <w:rPr>
                <w:rFonts w:ascii="Arial" w:hAnsi="Arial" w:cs="Arial"/>
                <w:sz w:val="16"/>
                <w:szCs w:val="16"/>
              </w:rPr>
            </w:pPr>
            <w:r w:rsidRPr="00D44048">
              <w:rPr>
                <w:rFonts w:ascii="Arial" w:hAnsi="Arial" w:cs="Arial"/>
                <w:sz w:val="16"/>
                <w:szCs w:val="16"/>
              </w:rPr>
              <w:lastRenderedPageBreak/>
              <w:t>15- C.F.S. INTEGRACIÓN SOCIAL</w:t>
            </w:r>
          </w:p>
        </w:tc>
        <w:tc>
          <w:tcPr>
            <w:tcW w:w="878" w:type="dxa"/>
            <w:tcBorders>
              <w:top w:val="nil"/>
              <w:left w:val="nil"/>
              <w:bottom w:val="single" w:sz="4" w:space="0" w:color="auto"/>
              <w:right w:val="single" w:sz="4" w:space="0" w:color="auto"/>
            </w:tcBorders>
            <w:shd w:val="clear" w:color="auto" w:fill="auto"/>
            <w:vAlign w:val="center"/>
            <w:hideMark/>
          </w:tcPr>
          <w:p w14:paraId="43CE9D2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1º</w:t>
            </w:r>
          </w:p>
        </w:tc>
        <w:tc>
          <w:tcPr>
            <w:tcW w:w="1601" w:type="dxa"/>
            <w:tcBorders>
              <w:top w:val="nil"/>
              <w:left w:val="nil"/>
              <w:bottom w:val="single" w:sz="4" w:space="0" w:color="auto"/>
              <w:right w:val="single" w:sz="4" w:space="0" w:color="auto"/>
            </w:tcBorders>
            <w:shd w:val="clear" w:color="auto" w:fill="auto"/>
            <w:vAlign w:val="center"/>
            <w:hideMark/>
          </w:tcPr>
          <w:p w14:paraId="686FC3D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1,131</w:t>
            </w:r>
          </w:p>
        </w:tc>
        <w:tc>
          <w:tcPr>
            <w:tcW w:w="1264" w:type="dxa"/>
            <w:tcBorders>
              <w:top w:val="nil"/>
              <w:left w:val="nil"/>
              <w:bottom w:val="single" w:sz="4" w:space="0" w:color="auto"/>
              <w:right w:val="single" w:sz="4" w:space="0" w:color="auto"/>
            </w:tcBorders>
            <w:shd w:val="clear" w:color="auto" w:fill="auto"/>
            <w:vAlign w:val="center"/>
            <w:hideMark/>
          </w:tcPr>
          <w:p w14:paraId="22B93E24"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0,609</w:t>
            </w:r>
          </w:p>
        </w:tc>
        <w:tc>
          <w:tcPr>
            <w:tcW w:w="1405" w:type="dxa"/>
            <w:tcBorders>
              <w:top w:val="nil"/>
              <w:left w:val="nil"/>
              <w:bottom w:val="single" w:sz="4" w:space="0" w:color="auto"/>
              <w:right w:val="single" w:sz="4" w:space="0" w:color="auto"/>
            </w:tcBorders>
            <w:shd w:val="clear" w:color="auto" w:fill="auto"/>
            <w:vAlign w:val="center"/>
            <w:hideMark/>
          </w:tcPr>
          <w:p w14:paraId="3791AA8B"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83.582,21</w:t>
            </w:r>
          </w:p>
        </w:tc>
        <w:tc>
          <w:tcPr>
            <w:tcW w:w="1264" w:type="dxa"/>
            <w:tcBorders>
              <w:top w:val="nil"/>
              <w:left w:val="nil"/>
              <w:bottom w:val="single" w:sz="4" w:space="0" w:color="auto"/>
              <w:right w:val="single" w:sz="4" w:space="0" w:color="auto"/>
            </w:tcBorders>
            <w:shd w:val="clear" w:color="auto" w:fill="auto"/>
            <w:vAlign w:val="center"/>
            <w:hideMark/>
          </w:tcPr>
          <w:p w14:paraId="6A486A9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69,51</w:t>
            </w:r>
          </w:p>
        </w:tc>
        <w:tc>
          <w:tcPr>
            <w:tcW w:w="1264" w:type="dxa"/>
            <w:tcBorders>
              <w:top w:val="nil"/>
              <w:left w:val="nil"/>
              <w:bottom w:val="single" w:sz="4" w:space="0" w:color="auto"/>
              <w:right w:val="single" w:sz="4" w:space="0" w:color="auto"/>
            </w:tcBorders>
            <w:shd w:val="clear" w:color="auto" w:fill="auto"/>
            <w:vAlign w:val="center"/>
            <w:hideMark/>
          </w:tcPr>
          <w:p w14:paraId="772D0EDE"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16.704,32</w:t>
            </w:r>
          </w:p>
        </w:tc>
        <w:tc>
          <w:tcPr>
            <w:tcW w:w="1436" w:type="dxa"/>
            <w:tcBorders>
              <w:top w:val="nil"/>
              <w:left w:val="nil"/>
              <w:bottom w:val="single" w:sz="4" w:space="0" w:color="auto"/>
              <w:right w:val="single" w:sz="4" w:space="0" w:color="auto"/>
            </w:tcBorders>
            <w:shd w:val="clear" w:color="auto" w:fill="auto"/>
            <w:vAlign w:val="center"/>
            <w:hideMark/>
          </w:tcPr>
          <w:p w14:paraId="16A064D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13,89</w:t>
            </w:r>
          </w:p>
        </w:tc>
        <w:tc>
          <w:tcPr>
            <w:tcW w:w="1190" w:type="dxa"/>
            <w:tcBorders>
              <w:top w:val="nil"/>
              <w:left w:val="nil"/>
              <w:bottom w:val="single" w:sz="4" w:space="0" w:color="auto"/>
              <w:right w:val="single" w:sz="4" w:space="0" w:color="auto"/>
            </w:tcBorders>
            <w:shd w:val="clear" w:color="auto" w:fill="auto"/>
            <w:vAlign w:val="center"/>
            <w:hideMark/>
          </w:tcPr>
          <w:p w14:paraId="22487DAB"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19.949,86</w:t>
            </w:r>
          </w:p>
        </w:tc>
        <w:tc>
          <w:tcPr>
            <w:tcW w:w="1182" w:type="dxa"/>
            <w:tcBorders>
              <w:top w:val="nil"/>
              <w:left w:val="nil"/>
              <w:bottom w:val="single" w:sz="4" w:space="0" w:color="auto"/>
              <w:right w:val="single" w:sz="4" w:space="0" w:color="auto"/>
            </w:tcBorders>
            <w:shd w:val="clear" w:color="auto" w:fill="auto"/>
            <w:vAlign w:val="center"/>
            <w:hideMark/>
          </w:tcPr>
          <w:p w14:paraId="5209D77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16,60</w:t>
            </w:r>
          </w:p>
        </w:tc>
        <w:tc>
          <w:tcPr>
            <w:tcW w:w="1215" w:type="dxa"/>
            <w:tcBorders>
              <w:top w:val="nil"/>
              <w:left w:val="nil"/>
              <w:bottom w:val="single" w:sz="4" w:space="0" w:color="auto"/>
              <w:right w:val="single" w:sz="4" w:space="0" w:color="auto"/>
            </w:tcBorders>
            <w:shd w:val="clear" w:color="auto" w:fill="auto"/>
            <w:vAlign w:val="center"/>
            <w:hideMark/>
          </w:tcPr>
          <w:p w14:paraId="5E9CFCD3"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120.236,39</w:t>
            </w:r>
          </w:p>
        </w:tc>
      </w:tr>
      <w:tr w:rsidR="005D09BE" w:rsidRPr="00D44048" w14:paraId="56D8ADBE"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49D4EB62" w14:textId="77777777" w:rsidR="005D09BE" w:rsidRPr="00D44048"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0856DC15"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2º</w:t>
            </w:r>
          </w:p>
        </w:tc>
        <w:tc>
          <w:tcPr>
            <w:tcW w:w="1601" w:type="dxa"/>
            <w:tcBorders>
              <w:top w:val="nil"/>
              <w:left w:val="nil"/>
              <w:bottom w:val="single" w:sz="4" w:space="0" w:color="auto"/>
              <w:right w:val="single" w:sz="4" w:space="0" w:color="auto"/>
            </w:tcBorders>
            <w:shd w:val="clear" w:color="auto" w:fill="auto"/>
            <w:vAlign w:val="center"/>
            <w:hideMark/>
          </w:tcPr>
          <w:p w14:paraId="0745BE1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0,87</w:t>
            </w:r>
          </w:p>
        </w:tc>
        <w:tc>
          <w:tcPr>
            <w:tcW w:w="1264" w:type="dxa"/>
            <w:tcBorders>
              <w:top w:val="nil"/>
              <w:left w:val="nil"/>
              <w:bottom w:val="single" w:sz="4" w:space="0" w:color="auto"/>
              <w:right w:val="single" w:sz="4" w:space="0" w:color="auto"/>
            </w:tcBorders>
            <w:shd w:val="clear" w:color="auto" w:fill="auto"/>
            <w:vAlign w:val="center"/>
            <w:hideMark/>
          </w:tcPr>
          <w:p w14:paraId="19993AA4"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0,609</w:t>
            </w:r>
          </w:p>
        </w:tc>
        <w:tc>
          <w:tcPr>
            <w:tcW w:w="1405" w:type="dxa"/>
            <w:tcBorders>
              <w:top w:val="nil"/>
              <w:left w:val="nil"/>
              <w:bottom w:val="single" w:sz="4" w:space="0" w:color="auto"/>
              <w:right w:val="single" w:sz="4" w:space="0" w:color="auto"/>
            </w:tcBorders>
            <w:shd w:val="clear" w:color="auto" w:fill="auto"/>
            <w:vAlign w:val="center"/>
            <w:hideMark/>
          </w:tcPr>
          <w:p w14:paraId="266B5C5A"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70.660,23</w:t>
            </w:r>
          </w:p>
        </w:tc>
        <w:tc>
          <w:tcPr>
            <w:tcW w:w="1264" w:type="dxa"/>
            <w:tcBorders>
              <w:top w:val="nil"/>
              <w:left w:val="nil"/>
              <w:bottom w:val="single" w:sz="4" w:space="0" w:color="auto"/>
              <w:right w:val="single" w:sz="4" w:space="0" w:color="auto"/>
            </w:tcBorders>
            <w:shd w:val="clear" w:color="auto" w:fill="auto"/>
            <w:vAlign w:val="center"/>
            <w:hideMark/>
          </w:tcPr>
          <w:p w14:paraId="7FC2BA1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67,32</w:t>
            </w:r>
          </w:p>
        </w:tc>
        <w:tc>
          <w:tcPr>
            <w:tcW w:w="1264" w:type="dxa"/>
            <w:tcBorders>
              <w:top w:val="nil"/>
              <w:left w:val="nil"/>
              <w:bottom w:val="single" w:sz="4" w:space="0" w:color="auto"/>
              <w:right w:val="single" w:sz="4" w:space="0" w:color="auto"/>
            </w:tcBorders>
            <w:shd w:val="clear" w:color="auto" w:fill="auto"/>
            <w:vAlign w:val="center"/>
            <w:hideMark/>
          </w:tcPr>
          <w:p w14:paraId="6C69020E"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14.353,34</w:t>
            </w:r>
          </w:p>
        </w:tc>
        <w:tc>
          <w:tcPr>
            <w:tcW w:w="1436" w:type="dxa"/>
            <w:tcBorders>
              <w:top w:val="nil"/>
              <w:left w:val="nil"/>
              <w:bottom w:val="single" w:sz="4" w:space="0" w:color="auto"/>
              <w:right w:val="single" w:sz="4" w:space="0" w:color="auto"/>
            </w:tcBorders>
            <w:shd w:val="clear" w:color="auto" w:fill="auto"/>
            <w:vAlign w:val="center"/>
            <w:hideMark/>
          </w:tcPr>
          <w:p w14:paraId="1380B1E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13,67</w:t>
            </w:r>
          </w:p>
        </w:tc>
        <w:tc>
          <w:tcPr>
            <w:tcW w:w="1190" w:type="dxa"/>
            <w:tcBorders>
              <w:top w:val="nil"/>
              <w:left w:val="nil"/>
              <w:bottom w:val="single" w:sz="4" w:space="0" w:color="auto"/>
              <w:right w:val="single" w:sz="4" w:space="0" w:color="auto"/>
            </w:tcBorders>
            <w:shd w:val="clear" w:color="auto" w:fill="auto"/>
            <w:vAlign w:val="center"/>
            <w:hideMark/>
          </w:tcPr>
          <w:p w14:paraId="4B34894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19.949,86</w:t>
            </w:r>
          </w:p>
        </w:tc>
        <w:tc>
          <w:tcPr>
            <w:tcW w:w="1182" w:type="dxa"/>
            <w:tcBorders>
              <w:top w:val="nil"/>
              <w:left w:val="nil"/>
              <w:bottom w:val="single" w:sz="4" w:space="0" w:color="auto"/>
              <w:right w:val="single" w:sz="4" w:space="0" w:color="auto"/>
            </w:tcBorders>
            <w:shd w:val="clear" w:color="auto" w:fill="auto"/>
            <w:vAlign w:val="center"/>
            <w:hideMark/>
          </w:tcPr>
          <w:p w14:paraId="3984789C"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19,01</w:t>
            </w:r>
          </w:p>
        </w:tc>
        <w:tc>
          <w:tcPr>
            <w:tcW w:w="1215" w:type="dxa"/>
            <w:tcBorders>
              <w:top w:val="nil"/>
              <w:left w:val="nil"/>
              <w:bottom w:val="single" w:sz="4" w:space="0" w:color="auto"/>
              <w:right w:val="single" w:sz="4" w:space="0" w:color="auto"/>
            </w:tcBorders>
            <w:shd w:val="clear" w:color="auto" w:fill="auto"/>
            <w:vAlign w:val="center"/>
            <w:hideMark/>
          </w:tcPr>
          <w:p w14:paraId="2A13DB8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104.963,43</w:t>
            </w:r>
          </w:p>
        </w:tc>
      </w:tr>
    </w:tbl>
    <w:p w14:paraId="518E2F9C" w14:textId="77777777" w:rsidR="005D09BE" w:rsidRPr="00D44048" w:rsidRDefault="005D09BE" w:rsidP="005D09BE">
      <w:pPr>
        <w:pStyle w:val="DICTA-TEXTO"/>
        <w:tabs>
          <w:tab w:val="clear" w:pos="992"/>
        </w:tabs>
        <w:spacing w:after="0" w:line="240" w:lineRule="auto"/>
        <w:ind w:firstLine="0"/>
        <w:rPr>
          <w:rFonts w:cs="Arial"/>
          <w:sz w:val="20"/>
          <w:lang w:val="es-ES_tradnl"/>
        </w:rPr>
      </w:pPr>
    </w:p>
    <w:p w14:paraId="56C5487D" w14:textId="77777777" w:rsidR="005D09BE" w:rsidRPr="00D44048" w:rsidRDefault="005D09BE" w:rsidP="005D09BE">
      <w:pPr>
        <w:pStyle w:val="DICTA-TEXTO"/>
        <w:tabs>
          <w:tab w:val="clear" w:pos="992"/>
        </w:tabs>
        <w:spacing w:after="0" w:line="240" w:lineRule="auto"/>
        <w:ind w:firstLine="0"/>
        <w:rPr>
          <w:rFonts w:cs="Arial"/>
          <w:sz w:val="20"/>
          <w:lang w:val="es-ES_tradnl"/>
        </w:rPr>
      </w:pPr>
    </w:p>
    <w:p w14:paraId="697AD4ED" w14:textId="77777777" w:rsidR="005D09BE" w:rsidRPr="00D44048" w:rsidRDefault="005D09BE" w:rsidP="005D09BE">
      <w:pPr>
        <w:pStyle w:val="DICTA-TEXTO"/>
        <w:tabs>
          <w:tab w:val="clear" w:pos="992"/>
        </w:tabs>
        <w:spacing w:after="0" w:line="240" w:lineRule="auto"/>
        <w:ind w:firstLine="0"/>
        <w:rPr>
          <w:rFonts w:cs="Arial"/>
          <w:sz w:val="20"/>
          <w:lang w:val="es-ES_tradnl"/>
        </w:rPr>
      </w:pPr>
    </w:p>
    <w:p w14:paraId="2847690E" w14:textId="77777777" w:rsidR="005D09BE" w:rsidRPr="00D44048" w:rsidRDefault="005D09BE" w:rsidP="005D09BE">
      <w:pPr>
        <w:pStyle w:val="DICTA-TEXTO"/>
        <w:tabs>
          <w:tab w:val="clear" w:pos="992"/>
        </w:tabs>
        <w:spacing w:after="0" w:line="240" w:lineRule="auto"/>
        <w:ind w:firstLine="0"/>
        <w:rPr>
          <w:rFonts w:cs="Arial"/>
          <w:sz w:val="20"/>
          <w:lang w:val="es-ES_tradnl"/>
        </w:rPr>
      </w:pPr>
      <w:r w:rsidRPr="00D44048">
        <w:rPr>
          <w:rFonts w:cs="Arial"/>
          <w:sz w:val="20"/>
          <w:lang w:val="es-ES_tradnl"/>
        </w:rPr>
        <w:t>CICLOS FORMATIVOS DE GRADO BÁSICO/FORMACIÓN PROFESIONAL BÁSICA</w:t>
      </w:r>
    </w:p>
    <w:p w14:paraId="56961993" w14:textId="77777777" w:rsidR="005D09BE" w:rsidRPr="00D44048" w:rsidRDefault="005D09BE" w:rsidP="005D09BE">
      <w:pPr>
        <w:pStyle w:val="DICTA-TEXTO"/>
        <w:tabs>
          <w:tab w:val="clear" w:pos="992"/>
        </w:tabs>
        <w:spacing w:after="0" w:line="240" w:lineRule="auto"/>
        <w:ind w:firstLine="0"/>
        <w:rPr>
          <w:rFonts w:cs="Arial"/>
          <w:sz w:val="20"/>
          <w:lang w:val="es-ES_tradnl"/>
        </w:rPr>
      </w:pPr>
    </w:p>
    <w:tbl>
      <w:tblPr>
        <w:tblW w:w="15698" w:type="dxa"/>
        <w:tblCellMar>
          <w:left w:w="70" w:type="dxa"/>
          <w:right w:w="70" w:type="dxa"/>
        </w:tblCellMar>
        <w:tblLook w:val="04A0" w:firstRow="1" w:lastRow="0" w:firstColumn="1" w:lastColumn="0" w:noHBand="0" w:noVBand="1"/>
      </w:tblPr>
      <w:tblGrid>
        <w:gridCol w:w="3083"/>
        <w:gridCol w:w="1112"/>
        <w:gridCol w:w="1721"/>
        <w:gridCol w:w="1199"/>
        <w:gridCol w:w="1247"/>
        <w:gridCol w:w="1276"/>
        <w:gridCol w:w="1276"/>
        <w:gridCol w:w="1435"/>
        <w:gridCol w:w="1117"/>
        <w:gridCol w:w="1116"/>
        <w:gridCol w:w="1116"/>
      </w:tblGrid>
      <w:tr w:rsidR="005D09BE" w:rsidRPr="00D44048" w14:paraId="57E12CFD" w14:textId="77777777" w:rsidTr="00F4450D">
        <w:trPr>
          <w:trHeight w:val="471"/>
        </w:trPr>
        <w:tc>
          <w:tcPr>
            <w:tcW w:w="308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75FEDEC" w14:textId="77777777" w:rsidR="005D09BE" w:rsidRPr="00D44048" w:rsidRDefault="005D09BE" w:rsidP="00F4450D">
            <w:pPr>
              <w:jc w:val="both"/>
              <w:rPr>
                <w:rFonts w:ascii="Arial" w:hAnsi="Arial" w:cs="Arial"/>
                <w:sz w:val="16"/>
                <w:szCs w:val="16"/>
              </w:rPr>
            </w:pPr>
            <w:r w:rsidRPr="00D44048">
              <w:rPr>
                <w:rFonts w:ascii="Arial" w:hAnsi="Arial" w:cs="Arial"/>
                <w:sz w:val="16"/>
                <w:szCs w:val="16"/>
              </w:rPr>
              <w:t>CICLOS FORMATIVOS DE GRADO BÁSICO/FORMACIÓN PROFESIONAL BÁSICA</w:t>
            </w:r>
          </w:p>
        </w:tc>
        <w:tc>
          <w:tcPr>
            <w:tcW w:w="111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637688E" w14:textId="77777777" w:rsidR="005D09BE" w:rsidRPr="00D44048" w:rsidRDefault="005D09BE" w:rsidP="00F4450D">
            <w:pPr>
              <w:jc w:val="center"/>
              <w:rPr>
                <w:rFonts w:ascii="Arial" w:hAnsi="Arial" w:cs="Arial"/>
                <w:sz w:val="16"/>
                <w:szCs w:val="16"/>
              </w:rPr>
            </w:pPr>
            <w:r w:rsidRPr="00D44048">
              <w:rPr>
                <w:rFonts w:ascii="Arial" w:hAnsi="Arial" w:cs="Arial"/>
                <w:bCs/>
                <w:sz w:val="16"/>
                <w:szCs w:val="16"/>
              </w:rPr>
              <w:t>CURSO</w:t>
            </w:r>
          </w:p>
        </w:tc>
        <w:tc>
          <w:tcPr>
            <w:tcW w:w="2920" w:type="dxa"/>
            <w:gridSpan w:val="2"/>
            <w:tcBorders>
              <w:top w:val="single" w:sz="8" w:space="0" w:color="auto"/>
              <w:left w:val="nil"/>
              <w:bottom w:val="single" w:sz="8" w:space="0" w:color="auto"/>
              <w:right w:val="single" w:sz="8" w:space="0" w:color="000000"/>
            </w:tcBorders>
            <w:shd w:val="clear" w:color="auto" w:fill="auto"/>
            <w:vAlign w:val="center"/>
            <w:hideMark/>
          </w:tcPr>
          <w:p w14:paraId="66B2BFB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RATIO PROFESOR</w:t>
            </w:r>
          </w:p>
        </w:tc>
        <w:tc>
          <w:tcPr>
            <w:tcW w:w="1247" w:type="dxa"/>
            <w:vMerge w:val="restart"/>
            <w:tcBorders>
              <w:top w:val="single" w:sz="8" w:space="0" w:color="auto"/>
              <w:left w:val="nil"/>
              <w:bottom w:val="single" w:sz="8" w:space="0" w:color="000000"/>
              <w:right w:val="single" w:sz="8" w:space="0" w:color="auto"/>
            </w:tcBorders>
            <w:shd w:val="clear" w:color="auto" w:fill="auto"/>
            <w:vAlign w:val="center"/>
            <w:hideMark/>
          </w:tcPr>
          <w:p w14:paraId="7270B44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SALARIOS PERSONAL</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8C1E75B"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 MÓDULO</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1D571C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GASTOS VARIABLES</w:t>
            </w:r>
          </w:p>
        </w:tc>
        <w:tc>
          <w:tcPr>
            <w:tcW w:w="14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47B232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 MÓDULO</w:t>
            </w:r>
          </w:p>
        </w:tc>
        <w:tc>
          <w:tcPr>
            <w:tcW w:w="11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300882E"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OTROS GASTOS</w:t>
            </w:r>
          </w:p>
        </w:tc>
        <w:tc>
          <w:tcPr>
            <w:tcW w:w="11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6750D9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 MÓDULO</w:t>
            </w:r>
          </w:p>
        </w:tc>
        <w:tc>
          <w:tcPr>
            <w:tcW w:w="11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3978BF6" w14:textId="77777777" w:rsidR="005D09BE" w:rsidRPr="00D44048" w:rsidRDefault="005D09BE" w:rsidP="00F4450D">
            <w:pPr>
              <w:jc w:val="center"/>
              <w:rPr>
                <w:rFonts w:ascii="Arial" w:hAnsi="Arial" w:cs="Arial"/>
                <w:sz w:val="16"/>
                <w:szCs w:val="16"/>
              </w:rPr>
            </w:pPr>
            <w:proofErr w:type="gramStart"/>
            <w:r w:rsidRPr="00D44048">
              <w:rPr>
                <w:rFonts w:ascii="Arial" w:hAnsi="Arial" w:cs="Arial"/>
                <w:sz w:val="16"/>
                <w:szCs w:val="16"/>
              </w:rPr>
              <w:t>TOTAL</w:t>
            </w:r>
            <w:proofErr w:type="gramEnd"/>
            <w:r w:rsidRPr="00D44048">
              <w:rPr>
                <w:rFonts w:ascii="Arial" w:hAnsi="Arial" w:cs="Arial"/>
                <w:sz w:val="16"/>
                <w:szCs w:val="16"/>
              </w:rPr>
              <w:t xml:space="preserve"> MÓDULO</w:t>
            </w:r>
          </w:p>
        </w:tc>
      </w:tr>
      <w:tr w:rsidR="005D09BE" w:rsidRPr="00D44048" w14:paraId="3EE5CF64" w14:textId="77777777" w:rsidTr="00F4450D">
        <w:trPr>
          <w:trHeight w:val="217"/>
        </w:trPr>
        <w:tc>
          <w:tcPr>
            <w:tcW w:w="3083" w:type="dxa"/>
            <w:vMerge/>
            <w:tcBorders>
              <w:top w:val="single" w:sz="8" w:space="0" w:color="auto"/>
              <w:left w:val="single" w:sz="8" w:space="0" w:color="auto"/>
              <w:bottom w:val="single" w:sz="8" w:space="0" w:color="000000"/>
              <w:right w:val="single" w:sz="8" w:space="0" w:color="auto"/>
            </w:tcBorders>
            <w:vAlign w:val="center"/>
            <w:hideMark/>
          </w:tcPr>
          <w:p w14:paraId="7487D0D4" w14:textId="77777777" w:rsidR="005D09BE" w:rsidRPr="00D44048" w:rsidRDefault="005D09BE" w:rsidP="00F4450D">
            <w:pPr>
              <w:jc w:val="both"/>
              <w:rPr>
                <w:rFonts w:ascii="Arial" w:hAnsi="Arial" w:cs="Arial"/>
                <w:sz w:val="16"/>
                <w:szCs w:val="16"/>
              </w:rPr>
            </w:pPr>
          </w:p>
        </w:tc>
        <w:tc>
          <w:tcPr>
            <w:tcW w:w="1112" w:type="dxa"/>
            <w:vMerge/>
            <w:tcBorders>
              <w:top w:val="single" w:sz="8" w:space="0" w:color="auto"/>
              <w:left w:val="single" w:sz="8" w:space="0" w:color="auto"/>
              <w:bottom w:val="single" w:sz="8" w:space="0" w:color="000000"/>
              <w:right w:val="single" w:sz="8" w:space="0" w:color="auto"/>
            </w:tcBorders>
            <w:vAlign w:val="center"/>
            <w:hideMark/>
          </w:tcPr>
          <w:p w14:paraId="19635CF0" w14:textId="77777777" w:rsidR="005D09BE" w:rsidRPr="00D44048" w:rsidRDefault="005D09BE" w:rsidP="00F4450D">
            <w:pPr>
              <w:jc w:val="center"/>
              <w:rPr>
                <w:rFonts w:ascii="Arial" w:hAnsi="Arial" w:cs="Arial"/>
                <w:sz w:val="16"/>
                <w:szCs w:val="16"/>
              </w:rPr>
            </w:pPr>
          </w:p>
        </w:tc>
        <w:tc>
          <w:tcPr>
            <w:tcW w:w="1721" w:type="dxa"/>
            <w:tcBorders>
              <w:top w:val="nil"/>
              <w:left w:val="nil"/>
              <w:bottom w:val="single" w:sz="8" w:space="0" w:color="auto"/>
              <w:right w:val="single" w:sz="8" w:space="0" w:color="auto"/>
            </w:tcBorders>
            <w:shd w:val="clear" w:color="auto" w:fill="auto"/>
            <w:noWrap/>
            <w:vAlign w:val="center"/>
            <w:hideMark/>
          </w:tcPr>
          <w:p w14:paraId="13F129D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TITULAR</w:t>
            </w:r>
          </w:p>
        </w:tc>
        <w:tc>
          <w:tcPr>
            <w:tcW w:w="1199" w:type="dxa"/>
            <w:tcBorders>
              <w:top w:val="nil"/>
              <w:left w:val="nil"/>
              <w:bottom w:val="single" w:sz="8" w:space="0" w:color="auto"/>
              <w:right w:val="single" w:sz="8" w:space="0" w:color="auto"/>
            </w:tcBorders>
            <w:shd w:val="clear" w:color="auto" w:fill="auto"/>
            <w:noWrap/>
            <w:vAlign w:val="center"/>
            <w:hideMark/>
          </w:tcPr>
          <w:p w14:paraId="25DF2853"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AGREGADO</w:t>
            </w:r>
          </w:p>
        </w:tc>
        <w:tc>
          <w:tcPr>
            <w:tcW w:w="1247" w:type="dxa"/>
            <w:vMerge/>
            <w:tcBorders>
              <w:top w:val="single" w:sz="8" w:space="0" w:color="auto"/>
              <w:left w:val="nil"/>
              <w:bottom w:val="single" w:sz="8" w:space="0" w:color="000000"/>
              <w:right w:val="single" w:sz="8" w:space="0" w:color="auto"/>
            </w:tcBorders>
            <w:vAlign w:val="center"/>
            <w:hideMark/>
          </w:tcPr>
          <w:p w14:paraId="7D1ABE5B" w14:textId="77777777" w:rsidR="005D09BE" w:rsidRPr="00D44048" w:rsidRDefault="005D09BE" w:rsidP="00F4450D">
            <w:pPr>
              <w:jc w:val="center"/>
              <w:rPr>
                <w:rFonts w:ascii="Arial" w:hAnsi="Arial" w:cs="Arial"/>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0605B0D5" w14:textId="77777777" w:rsidR="005D09BE" w:rsidRPr="00D44048" w:rsidRDefault="005D09BE" w:rsidP="00F4450D">
            <w:pPr>
              <w:jc w:val="center"/>
              <w:rPr>
                <w:rFonts w:ascii="Arial" w:hAnsi="Arial" w:cs="Arial"/>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235D93F4" w14:textId="77777777" w:rsidR="005D09BE" w:rsidRPr="00D44048" w:rsidRDefault="005D09BE" w:rsidP="00F4450D">
            <w:pPr>
              <w:jc w:val="center"/>
              <w:rPr>
                <w:rFonts w:ascii="Arial" w:hAnsi="Arial" w:cs="Arial"/>
                <w:sz w:val="16"/>
                <w:szCs w:val="16"/>
              </w:rPr>
            </w:pPr>
          </w:p>
        </w:tc>
        <w:tc>
          <w:tcPr>
            <w:tcW w:w="1435" w:type="dxa"/>
            <w:vMerge/>
            <w:tcBorders>
              <w:top w:val="single" w:sz="8" w:space="0" w:color="auto"/>
              <w:left w:val="single" w:sz="8" w:space="0" w:color="auto"/>
              <w:bottom w:val="single" w:sz="8" w:space="0" w:color="000000"/>
              <w:right w:val="single" w:sz="8" w:space="0" w:color="auto"/>
            </w:tcBorders>
            <w:vAlign w:val="center"/>
            <w:hideMark/>
          </w:tcPr>
          <w:p w14:paraId="5801B06F" w14:textId="77777777" w:rsidR="005D09BE" w:rsidRPr="00D44048" w:rsidRDefault="005D09BE" w:rsidP="00F4450D">
            <w:pPr>
              <w:jc w:val="center"/>
              <w:rPr>
                <w:rFonts w:ascii="Arial" w:hAnsi="Arial" w:cs="Arial"/>
                <w:sz w:val="16"/>
                <w:szCs w:val="16"/>
              </w:rPr>
            </w:pPr>
          </w:p>
        </w:tc>
        <w:tc>
          <w:tcPr>
            <w:tcW w:w="1117" w:type="dxa"/>
            <w:vMerge/>
            <w:tcBorders>
              <w:top w:val="single" w:sz="8" w:space="0" w:color="auto"/>
              <w:left w:val="single" w:sz="8" w:space="0" w:color="auto"/>
              <w:bottom w:val="single" w:sz="8" w:space="0" w:color="000000"/>
              <w:right w:val="single" w:sz="8" w:space="0" w:color="auto"/>
            </w:tcBorders>
            <w:vAlign w:val="center"/>
            <w:hideMark/>
          </w:tcPr>
          <w:p w14:paraId="53DA8663" w14:textId="77777777" w:rsidR="005D09BE" w:rsidRPr="00D44048" w:rsidRDefault="005D09BE" w:rsidP="00F4450D">
            <w:pPr>
              <w:jc w:val="center"/>
              <w:rPr>
                <w:rFonts w:ascii="Arial" w:hAnsi="Arial" w:cs="Arial"/>
                <w:sz w:val="16"/>
                <w:szCs w:val="16"/>
              </w:rPr>
            </w:pPr>
          </w:p>
        </w:tc>
        <w:tc>
          <w:tcPr>
            <w:tcW w:w="1116" w:type="dxa"/>
            <w:vMerge/>
            <w:tcBorders>
              <w:top w:val="single" w:sz="8" w:space="0" w:color="auto"/>
              <w:left w:val="single" w:sz="8" w:space="0" w:color="auto"/>
              <w:bottom w:val="single" w:sz="8" w:space="0" w:color="000000"/>
              <w:right w:val="single" w:sz="8" w:space="0" w:color="auto"/>
            </w:tcBorders>
            <w:vAlign w:val="center"/>
            <w:hideMark/>
          </w:tcPr>
          <w:p w14:paraId="01626BAB" w14:textId="77777777" w:rsidR="005D09BE" w:rsidRPr="00D44048" w:rsidRDefault="005D09BE" w:rsidP="00F4450D">
            <w:pPr>
              <w:jc w:val="center"/>
              <w:rPr>
                <w:rFonts w:ascii="Arial" w:hAnsi="Arial" w:cs="Arial"/>
                <w:sz w:val="16"/>
                <w:szCs w:val="16"/>
              </w:rPr>
            </w:pPr>
          </w:p>
        </w:tc>
        <w:tc>
          <w:tcPr>
            <w:tcW w:w="1116" w:type="dxa"/>
            <w:vMerge/>
            <w:tcBorders>
              <w:top w:val="single" w:sz="8" w:space="0" w:color="auto"/>
              <w:left w:val="single" w:sz="8" w:space="0" w:color="auto"/>
              <w:bottom w:val="single" w:sz="8" w:space="0" w:color="000000"/>
              <w:right w:val="single" w:sz="8" w:space="0" w:color="auto"/>
            </w:tcBorders>
            <w:vAlign w:val="center"/>
            <w:hideMark/>
          </w:tcPr>
          <w:p w14:paraId="37C94195" w14:textId="77777777" w:rsidR="005D09BE" w:rsidRPr="00D44048" w:rsidRDefault="005D09BE" w:rsidP="00F4450D">
            <w:pPr>
              <w:jc w:val="center"/>
              <w:rPr>
                <w:rFonts w:ascii="Arial" w:hAnsi="Arial" w:cs="Arial"/>
                <w:sz w:val="16"/>
                <w:szCs w:val="16"/>
              </w:rPr>
            </w:pPr>
          </w:p>
        </w:tc>
      </w:tr>
      <w:tr w:rsidR="005D09BE" w:rsidRPr="00D44048" w14:paraId="0B99FF52" w14:textId="77777777" w:rsidTr="00F4450D">
        <w:trPr>
          <w:trHeight w:val="22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1152019A" w14:textId="77777777" w:rsidR="005D09BE" w:rsidRPr="00D44048" w:rsidRDefault="005D09BE" w:rsidP="00F4450D">
            <w:pPr>
              <w:jc w:val="both"/>
              <w:rPr>
                <w:rFonts w:ascii="Arial" w:hAnsi="Arial" w:cs="Arial"/>
                <w:sz w:val="16"/>
                <w:szCs w:val="16"/>
              </w:rPr>
            </w:pPr>
            <w:r w:rsidRPr="00D44048">
              <w:rPr>
                <w:rFonts w:ascii="Arial" w:hAnsi="Arial" w:cs="Arial"/>
                <w:sz w:val="16"/>
                <w:szCs w:val="22"/>
              </w:rPr>
              <w:t>Servicios Comerciales</w:t>
            </w:r>
          </w:p>
        </w:tc>
        <w:tc>
          <w:tcPr>
            <w:tcW w:w="1112" w:type="dxa"/>
            <w:tcBorders>
              <w:top w:val="nil"/>
              <w:left w:val="nil"/>
              <w:bottom w:val="single" w:sz="8" w:space="0" w:color="auto"/>
              <w:right w:val="single" w:sz="8" w:space="0" w:color="auto"/>
            </w:tcBorders>
            <w:shd w:val="clear" w:color="auto" w:fill="auto"/>
            <w:vAlign w:val="center"/>
            <w:hideMark/>
          </w:tcPr>
          <w:p w14:paraId="1214355C" w14:textId="77777777" w:rsidR="005D09BE" w:rsidRPr="00D44048" w:rsidRDefault="005D09BE" w:rsidP="00F4450D">
            <w:pPr>
              <w:jc w:val="center"/>
              <w:rPr>
                <w:rFonts w:ascii="Arial" w:hAnsi="Arial" w:cs="Arial"/>
                <w:sz w:val="16"/>
                <w:szCs w:val="16"/>
              </w:rPr>
            </w:pPr>
            <w:r w:rsidRPr="00D44048">
              <w:rPr>
                <w:rFonts w:ascii="Arial" w:hAnsi="Arial" w:cs="Arial"/>
                <w:sz w:val="16"/>
                <w:szCs w:val="22"/>
              </w:rPr>
              <w:t>1º</w:t>
            </w:r>
          </w:p>
        </w:tc>
        <w:tc>
          <w:tcPr>
            <w:tcW w:w="1721" w:type="dxa"/>
            <w:tcBorders>
              <w:top w:val="nil"/>
              <w:left w:val="nil"/>
              <w:bottom w:val="single" w:sz="8" w:space="0" w:color="auto"/>
              <w:right w:val="single" w:sz="8" w:space="0" w:color="auto"/>
            </w:tcBorders>
            <w:shd w:val="clear" w:color="auto" w:fill="auto"/>
            <w:vAlign w:val="center"/>
            <w:hideMark/>
          </w:tcPr>
          <w:p w14:paraId="2C4FB7AE" w14:textId="77777777" w:rsidR="005D09BE" w:rsidRPr="00D44048" w:rsidRDefault="005D09BE" w:rsidP="00F4450D">
            <w:pPr>
              <w:jc w:val="center"/>
              <w:rPr>
                <w:rFonts w:ascii="Arial" w:hAnsi="Arial" w:cs="Arial"/>
                <w:sz w:val="16"/>
                <w:szCs w:val="16"/>
              </w:rPr>
            </w:pPr>
            <w:r w:rsidRPr="00D44048">
              <w:rPr>
                <w:rFonts w:ascii="Arial" w:hAnsi="Arial" w:cs="Arial"/>
                <w:sz w:val="16"/>
                <w:szCs w:val="22"/>
              </w:rPr>
              <w:t>0,522</w:t>
            </w:r>
          </w:p>
        </w:tc>
        <w:tc>
          <w:tcPr>
            <w:tcW w:w="1199" w:type="dxa"/>
            <w:tcBorders>
              <w:top w:val="nil"/>
              <w:left w:val="nil"/>
              <w:bottom w:val="single" w:sz="8" w:space="0" w:color="auto"/>
              <w:right w:val="single" w:sz="8" w:space="0" w:color="auto"/>
            </w:tcBorders>
            <w:shd w:val="clear" w:color="auto" w:fill="auto"/>
            <w:vAlign w:val="center"/>
            <w:hideMark/>
          </w:tcPr>
          <w:p w14:paraId="09465CF7" w14:textId="77777777" w:rsidR="005D09BE" w:rsidRPr="00D44048" w:rsidRDefault="005D09BE" w:rsidP="00F4450D">
            <w:pPr>
              <w:jc w:val="center"/>
              <w:rPr>
                <w:rFonts w:ascii="Arial" w:hAnsi="Arial" w:cs="Arial"/>
                <w:sz w:val="16"/>
                <w:szCs w:val="16"/>
              </w:rPr>
            </w:pPr>
            <w:r w:rsidRPr="00D44048">
              <w:rPr>
                <w:rFonts w:ascii="Arial" w:hAnsi="Arial" w:cs="Arial"/>
                <w:sz w:val="16"/>
                <w:szCs w:val="22"/>
              </w:rPr>
              <w:t>0,783</w:t>
            </w:r>
          </w:p>
        </w:tc>
        <w:tc>
          <w:tcPr>
            <w:tcW w:w="1247" w:type="dxa"/>
            <w:tcBorders>
              <w:top w:val="nil"/>
              <w:left w:val="nil"/>
              <w:bottom w:val="single" w:sz="8" w:space="0" w:color="auto"/>
              <w:right w:val="single" w:sz="8" w:space="0" w:color="auto"/>
            </w:tcBorders>
            <w:shd w:val="clear" w:color="auto" w:fill="auto"/>
            <w:vAlign w:val="center"/>
            <w:hideMark/>
          </w:tcPr>
          <w:p w14:paraId="6B691F8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3AEBA043"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64,55</w:t>
            </w:r>
          </w:p>
        </w:tc>
        <w:tc>
          <w:tcPr>
            <w:tcW w:w="1276" w:type="dxa"/>
            <w:tcBorders>
              <w:top w:val="nil"/>
              <w:left w:val="nil"/>
              <w:bottom w:val="single" w:sz="8" w:space="0" w:color="auto"/>
              <w:right w:val="single" w:sz="8" w:space="0" w:color="auto"/>
            </w:tcBorders>
            <w:shd w:val="clear" w:color="auto" w:fill="auto"/>
            <w:vAlign w:val="center"/>
            <w:hideMark/>
          </w:tcPr>
          <w:p w14:paraId="7C700DEB"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71D2D99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14,56</w:t>
            </w:r>
          </w:p>
        </w:tc>
        <w:tc>
          <w:tcPr>
            <w:tcW w:w="1117" w:type="dxa"/>
            <w:tcBorders>
              <w:top w:val="nil"/>
              <w:left w:val="nil"/>
              <w:bottom w:val="single" w:sz="8" w:space="0" w:color="auto"/>
              <w:right w:val="single" w:sz="8" w:space="0" w:color="auto"/>
            </w:tcBorders>
            <w:shd w:val="clear" w:color="auto" w:fill="auto"/>
            <w:vAlign w:val="center"/>
            <w:hideMark/>
          </w:tcPr>
          <w:p w14:paraId="40F190C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19.835,21</w:t>
            </w:r>
          </w:p>
        </w:tc>
        <w:tc>
          <w:tcPr>
            <w:tcW w:w="1116" w:type="dxa"/>
            <w:tcBorders>
              <w:top w:val="nil"/>
              <w:left w:val="nil"/>
              <w:bottom w:val="single" w:sz="8" w:space="0" w:color="auto"/>
              <w:right w:val="single" w:sz="8" w:space="0" w:color="auto"/>
            </w:tcBorders>
            <w:shd w:val="clear" w:color="auto" w:fill="auto"/>
            <w:vAlign w:val="center"/>
            <w:hideMark/>
          </w:tcPr>
          <w:p w14:paraId="0E4BFAF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20,89</w:t>
            </w:r>
          </w:p>
        </w:tc>
        <w:tc>
          <w:tcPr>
            <w:tcW w:w="1116" w:type="dxa"/>
            <w:tcBorders>
              <w:top w:val="nil"/>
              <w:left w:val="nil"/>
              <w:bottom w:val="single" w:sz="8" w:space="0" w:color="auto"/>
              <w:right w:val="single" w:sz="8" w:space="0" w:color="auto"/>
            </w:tcBorders>
            <w:shd w:val="clear" w:color="auto" w:fill="auto"/>
            <w:vAlign w:val="center"/>
            <w:hideMark/>
          </w:tcPr>
          <w:p w14:paraId="13E6781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94.980,19</w:t>
            </w:r>
          </w:p>
        </w:tc>
      </w:tr>
      <w:tr w:rsidR="005D09BE" w:rsidRPr="00D44048" w14:paraId="526D1D10" w14:textId="77777777" w:rsidTr="00F4450D">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2DE4B505" w14:textId="77777777" w:rsidR="005D09BE" w:rsidRPr="00D44048" w:rsidRDefault="005D09BE" w:rsidP="00F4450D">
            <w:pPr>
              <w:jc w:val="both"/>
              <w:rPr>
                <w:rFonts w:ascii="Arial" w:hAnsi="Arial"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3A015E8D" w14:textId="77777777" w:rsidR="005D09BE" w:rsidRPr="00D44048" w:rsidRDefault="005D09BE" w:rsidP="00F4450D">
            <w:pPr>
              <w:jc w:val="center"/>
              <w:rPr>
                <w:rFonts w:ascii="Arial" w:hAnsi="Arial" w:cs="Arial"/>
                <w:sz w:val="16"/>
                <w:szCs w:val="16"/>
              </w:rPr>
            </w:pPr>
            <w:r w:rsidRPr="00D44048">
              <w:rPr>
                <w:rFonts w:ascii="Arial" w:hAnsi="Arial" w:cs="Arial"/>
                <w:sz w:val="16"/>
                <w:szCs w:val="22"/>
              </w:rPr>
              <w:t>2º</w:t>
            </w:r>
          </w:p>
        </w:tc>
        <w:tc>
          <w:tcPr>
            <w:tcW w:w="1721" w:type="dxa"/>
            <w:tcBorders>
              <w:top w:val="nil"/>
              <w:left w:val="nil"/>
              <w:bottom w:val="single" w:sz="8" w:space="0" w:color="auto"/>
              <w:right w:val="single" w:sz="8" w:space="0" w:color="auto"/>
            </w:tcBorders>
            <w:shd w:val="clear" w:color="auto" w:fill="auto"/>
            <w:vAlign w:val="center"/>
            <w:hideMark/>
          </w:tcPr>
          <w:p w14:paraId="619529FA" w14:textId="77777777" w:rsidR="005D09BE" w:rsidRPr="00D44048" w:rsidRDefault="005D09BE" w:rsidP="00F4450D">
            <w:pPr>
              <w:jc w:val="center"/>
              <w:rPr>
                <w:rFonts w:ascii="Arial" w:hAnsi="Arial" w:cs="Arial"/>
                <w:sz w:val="16"/>
                <w:szCs w:val="16"/>
              </w:rPr>
            </w:pPr>
            <w:r w:rsidRPr="00D44048">
              <w:rPr>
                <w:rFonts w:ascii="Arial" w:hAnsi="Arial" w:cs="Arial"/>
                <w:sz w:val="16"/>
                <w:szCs w:val="22"/>
              </w:rPr>
              <w:t>0,522</w:t>
            </w:r>
          </w:p>
        </w:tc>
        <w:tc>
          <w:tcPr>
            <w:tcW w:w="1199" w:type="dxa"/>
            <w:tcBorders>
              <w:top w:val="nil"/>
              <w:left w:val="nil"/>
              <w:bottom w:val="single" w:sz="8" w:space="0" w:color="auto"/>
              <w:right w:val="single" w:sz="8" w:space="0" w:color="auto"/>
            </w:tcBorders>
            <w:shd w:val="clear" w:color="auto" w:fill="auto"/>
            <w:vAlign w:val="center"/>
            <w:hideMark/>
          </w:tcPr>
          <w:p w14:paraId="32784519" w14:textId="77777777" w:rsidR="005D09BE" w:rsidRPr="00D44048" w:rsidRDefault="005D09BE" w:rsidP="00F4450D">
            <w:pPr>
              <w:jc w:val="center"/>
              <w:rPr>
                <w:rFonts w:ascii="Arial" w:hAnsi="Arial" w:cs="Arial"/>
                <w:sz w:val="16"/>
                <w:szCs w:val="16"/>
              </w:rPr>
            </w:pPr>
            <w:r w:rsidRPr="00D44048">
              <w:rPr>
                <w:rFonts w:ascii="Arial" w:hAnsi="Arial" w:cs="Arial"/>
                <w:sz w:val="16"/>
                <w:szCs w:val="22"/>
              </w:rPr>
              <w:t>0,783</w:t>
            </w:r>
          </w:p>
        </w:tc>
        <w:tc>
          <w:tcPr>
            <w:tcW w:w="1247" w:type="dxa"/>
            <w:tcBorders>
              <w:top w:val="nil"/>
              <w:left w:val="nil"/>
              <w:bottom w:val="single" w:sz="8" w:space="0" w:color="auto"/>
              <w:right w:val="single" w:sz="8" w:space="0" w:color="auto"/>
            </w:tcBorders>
            <w:shd w:val="clear" w:color="auto" w:fill="auto"/>
            <w:vAlign w:val="center"/>
            <w:hideMark/>
          </w:tcPr>
          <w:p w14:paraId="4AFF8B6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4894A90B"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64,55</w:t>
            </w:r>
          </w:p>
        </w:tc>
        <w:tc>
          <w:tcPr>
            <w:tcW w:w="1276" w:type="dxa"/>
            <w:tcBorders>
              <w:top w:val="nil"/>
              <w:left w:val="nil"/>
              <w:bottom w:val="single" w:sz="8" w:space="0" w:color="auto"/>
              <w:right w:val="single" w:sz="8" w:space="0" w:color="auto"/>
            </w:tcBorders>
            <w:shd w:val="clear" w:color="auto" w:fill="auto"/>
            <w:vAlign w:val="center"/>
            <w:hideMark/>
          </w:tcPr>
          <w:p w14:paraId="0A25D9A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691C6AAE"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14,56</w:t>
            </w:r>
          </w:p>
        </w:tc>
        <w:tc>
          <w:tcPr>
            <w:tcW w:w="1117" w:type="dxa"/>
            <w:tcBorders>
              <w:top w:val="nil"/>
              <w:left w:val="nil"/>
              <w:bottom w:val="single" w:sz="8" w:space="0" w:color="auto"/>
              <w:right w:val="single" w:sz="8" w:space="0" w:color="auto"/>
            </w:tcBorders>
            <w:shd w:val="clear" w:color="auto" w:fill="auto"/>
            <w:vAlign w:val="center"/>
            <w:hideMark/>
          </w:tcPr>
          <w:p w14:paraId="0235953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19.835,21</w:t>
            </w:r>
          </w:p>
        </w:tc>
        <w:tc>
          <w:tcPr>
            <w:tcW w:w="1116" w:type="dxa"/>
            <w:tcBorders>
              <w:top w:val="nil"/>
              <w:left w:val="nil"/>
              <w:bottom w:val="single" w:sz="8" w:space="0" w:color="auto"/>
              <w:right w:val="single" w:sz="8" w:space="0" w:color="auto"/>
            </w:tcBorders>
            <w:shd w:val="clear" w:color="auto" w:fill="auto"/>
            <w:vAlign w:val="center"/>
            <w:hideMark/>
          </w:tcPr>
          <w:p w14:paraId="5CA9359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20,89</w:t>
            </w:r>
          </w:p>
        </w:tc>
        <w:tc>
          <w:tcPr>
            <w:tcW w:w="1116" w:type="dxa"/>
            <w:tcBorders>
              <w:top w:val="nil"/>
              <w:left w:val="nil"/>
              <w:bottom w:val="single" w:sz="8" w:space="0" w:color="auto"/>
              <w:right w:val="single" w:sz="8" w:space="0" w:color="auto"/>
            </w:tcBorders>
            <w:shd w:val="clear" w:color="auto" w:fill="auto"/>
            <w:vAlign w:val="center"/>
            <w:hideMark/>
          </w:tcPr>
          <w:p w14:paraId="6278E16E"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94.980,19</w:t>
            </w:r>
          </w:p>
        </w:tc>
      </w:tr>
      <w:tr w:rsidR="005D09BE" w:rsidRPr="00D44048" w14:paraId="74D0CD5E" w14:textId="77777777" w:rsidTr="00F4450D">
        <w:trPr>
          <w:trHeight w:val="22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3F00E26D" w14:textId="77777777" w:rsidR="005D09BE" w:rsidRPr="00D44048" w:rsidRDefault="005D09BE" w:rsidP="00F4450D">
            <w:pPr>
              <w:jc w:val="both"/>
              <w:rPr>
                <w:rFonts w:ascii="Arial" w:hAnsi="Arial" w:cs="Arial"/>
                <w:sz w:val="16"/>
                <w:szCs w:val="16"/>
              </w:rPr>
            </w:pPr>
            <w:r w:rsidRPr="00D44048">
              <w:rPr>
                <w:rFonts w:ascii="Arial" w:hAnsi="Arial" w:cs="Arial"/>
                <w:sz w:val="16"/>
                <w:szCs w:val="22"/>
              </w:rPr>
              <w:t>Servicios Administrativos</w:t>
            </w:r>
          </w:p>
        </w:tc>
        <w:tc>
          <w:tcPr>
            <w:tcW w:w="1112" w:type="dxa"/>
            <w:tcBorders>
              <w:top w:val="nil"/>
              <w:left w:val="nil"/>
              <w:bottom w:val="single" w:sz="8" w:space="0" w:color="auto"/>
              <w:right w:val="single" w:sz="8" w:space="0" w:color="auto"/>
            </w:tcBorders>
            <w:shd w:val="clear" w:color="auto" w:fill="auto"/>
            <w:vAlign w:val="center"/>
            <w:hideMark/>
          </w:tcPr>
          <w:p w14:paraId="1FFB53DB" w14:textId="77777777" w:rsidR="005D09BE" w:rsidRPr="00D44048" w:rsidRDefault="005D09BE" w:rsidP="00F4450D">
            <w:pPr>
              <w:jc w:val="center"/>
              <w:rPr>
                <w:rFonts w:ascii="Arial" w:hAnsi="Arial" w:cs="Arial"/>
                <w:sz w:val="16"/>
                <w:szCs w:val="16"/>
              </w:rPr>
            </w:pPr>
            <w:r w:rsidRPr="00D44048">
              <w:rPr>
                <w:rFonts w:ascii="Arial" w:hAnsi="Arial" w:cs="Arial"/>
                <w:sz w:val="16"/>
                <w:szCs w:val="22"/>
              </w:rPr>
              <w:t>1º</w:t>
            </w:r>
          </w:p>
        </w:tc>
        <w:tc>
          <w:tcPr>
            <w:tcW w:w="1721" w:type="dxa"/>
            <w:tcBorders>
              <w:top w:val="nil"/>
              <w:left w:val="nil"/>
              <w:bottom w:val="single" w:sz="8" w:space="0" w:color="auto"/>
              <w:right w:val="single" w:sz="8" w:space="0" w:color="auto"/>
            </w:tcBorders>
            <w:shd w:val="clear" w:color="auto" w:fill="auto"/>
            <w:vAlign w:val="center"/>
            <w:hideMark/>
          </w:tcPr>
          <w:p w14:paraId="07CCAD63" w14:textId="77777777" w:rsidR="005D09BE" w:rsidRPr="00D44048" w:rsidRDefault="005D09BE" w:rsidP="00F4450D">
            <w:pPr>
              <w:jc w:val="center"/>
              <w:rPr>
                <w:rFonts w:ascii="Arial" w:hAnsi="Arial" w:cs="Arial"/>
                <w:sz w:val="16"/>
                <w:szCs w:val="16"/>
              </w:rPr>
            </w:pPr>
            <w:r w:rsidRPr="00D44048">
              <w:rPr>
                <w:rFonts w:ascii="Arial" w:hAnsi="Arial" w:cs="Arial"/>
                <w:sz w:val="16"/>
                <w:szCs w:val="22"/>
              </w:rPr>
              <w:t>0,522</w:t>
            </w:r>
          </w:p>
        </w:tc>
        <w:tc>
          <w:tcPr>
            <w:tcW w:w="1199" w:type="dxa"/>
            <w:tcBorders>
              <w:top w:val="nil"/>
              <w:left w:val="nil"/>
              <w:bottom w:val="single" w:sz="8" w:space="0" w:color="auto"/>
              <w:right w:val="single" w:sz="8" w:space="0" w:color="auto"/>
            </w:tcBorders>
            <w:shd w:val="clear" w:color="auto" w:fill="auto"/>
            <w:vAlign w:val="center"/>
            <w:hideMark/>
          </w:tcPr>
          <w:p w14:paraId="5224649D" w14:textId="77777777" w:rsidR="005D09BE" w:rsidRPr="00D44048" w:rsidRDefault="005D09BE" w:rsidP="00F4450D">
            <w:pPr>
              <w:jc w:val="center"/>
              <w:rPr>
                <w:rFonts w:ascii="Arial" w:hAnsi="Arial" w:cs="Arial"/>
                <w:sz w:val="16"/>
                <w:szCs w:val="16"/>
              </w:rPr>
            </w:pPr>
            <w:r w:rsidRPr="00D44048">
              <w:rPr>
                <w:rFonts w:ascii="Arial" w:hAnsi="Arial" w:cs="Arial"/>
                <w:sz w:val="16"/>
                <w:szCs w:val="22"/>
              </w:rPr>
              <w:t>0,783</w:t>
            </w:r>
          </w:p>
        </w:tc>
        <w:tc>
          <w:tcPr>
            <w:tcW w:w="1247" w:type="dxa"/>
            <w:tcBorders>
              <w:top w:val="nil"/>
              <w:left w:val="nil"/>
              <w:bottom w:val="single" w:sz="8" w:space="0" w:color="auto"/>
              <w:right w:val="single" w:sz="8" w:space="0" w:color="auto"/>
            </w:tcBorders>
            <w:shd w:val="clear" w:color="auto" w:fill="auto"/>
            <w:vAlign w:val="center"/>
            <w:hideMark/>
          </w:tcPr>
          <w:p w14:paraId="5934B6F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565C436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64,12</w:t>
            </w:r>
          </w:p>
        </w:tc>
        <w:tc>
          <w:tcPr>
            <w:tcW w:w="1276" w:type="dxa"/>
            <w:tcBorders>
              <w:top w:val="nil"/>
              <w:left w:val="nil"/>
              <w:bottom w:val="single" w:sz="8" w:space="0" w:color="auto"/>
              <w:right w:val="single" w:sz="8" w:space="0" w:color="auto"/>
            </w:tcBorders>
            <w:shd w:val="clear" w:color="auto" w:fill="auto"/>
            <w:vAlign w:val="center"/>
            <w:hideMark/>
          </w:tcPr>
          <w:p w14:paraId="2C9385B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327C89A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14,47</w:t>
            </w:r>
          </w:p>
        </w:tc>
        <w:tc>
          <w:tcPr>
            <w:tcW w:w="1117" w:type="dxa"/>
            <w:tcBorders>
              <w:top w:val="nil"/>
              <w:left w:val="nil"/>
              <w:bottom w:val="single" w:sz="8" w:space="0" w:color="auto"/>
              <w:right w:val="single" w:sz="8" w:space="0" w:color="auto"/>
            </w:tcBorders>
            <w:shd w:val="clear" w:color="auto" w:fill="auto"/>
            <w:vAlign w:val="center"/>
            <w:hideMark/>
          </w:tcPr>
          <w:p w14:paraId="6EB9A7E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20.470,81</w:t>
            </w:r>
          </w:p>
        </w:tc>
        <w:tc>
          <w:tcPr>
            <w:tcW w:w="1116" w:type="dxa"/>
            <w:tcBorders>
              <w:top w:val="nil"/>
              <w:left w:val="nil"/>
              <w:bottom w:val="single" w:sz="8" w:space="0" w:color="auto"/>
              <w:right w:val="single" w:sz="8" w:space="0" w:color="auto"/>
            </w:tcBorders>
            <w:shd w:val="clear" w:color="auto" w:fill="auto"/>
            <w:vAlign w:val="center"/>
            <w:hideMark/>
          </w:tcPr>
          <w:p w14:paraId="636B39C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21,41</w:t>
            </w:r>
          </w:p>
        </w:tc>
        <w:tc>
          <w:tcPr>
            <w:tcW w:w="1116" w:type="dxa"/>
            <w:tcBorders>
              <w:top w:val="nil"/>
              <w:left w:val="nil"/>
              <w:bottom w:val="single" w:sz="8" w:space="0" w:color="auto"/>
              <w:right w:val="single" w:sz="8" w:space="0" w:color="auto"/>
            </w:tcBorders>
            <w:shd w:val="clear" w:color="auto" w:fill="auto"/>
            <w:vAlign w:val="center"/>
            <w:hideMark/>
          </w:tcPr>
          <w:p w14:paraId="2393B69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95.615,79</w:t>
            </w:r>
          </w:p>
        </w:tc>
      </w:tr>
      <w:tr w:rsidR="005D09BE" w:rsidRPr="00D44048" w14:paraId="1843A425" w14:textId="77777777" w:rsidTr="00F4450D">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09637B6C" w14:textId="77777777" w:rsidR="005D09BE" w:rsidRPr="00D44048" w:rsidRDefault="005D09BE" w:rsidP="00F4450D">
            <w:pPr>
              <w:jc w:val="both"/>
              <w:rPr>
                <w:rFonts w:ascii="Arial" w:hAnsi="Arial"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4882A3D8" w14:textId="77777777" w:rsidR="005D09BE" w:rsidRPr="00D44048" w:rsidRDefault="005D09BE" w:rsidP="00F4450D">
            <w:pPr>
              <w:jc w:val="center"/>
              <w:rPr>
                <w:rFonts w:ascii="Arial" w:hAnsi="Arial" w:cs="Arial"/>
                <w:sz w:val="16"/>
                <w:szCs w:val="16"/>
              </w:rPr>
            </w:pPr>
            <w:r w:rsidRPr="00D44048">
              <w:rPr>
                <w:rFonts w:ascii="Arial" w:hAnsi="Arial" w:cs="Arial"/>
                <w:sz w:val="16"/>
                <w:szCs w:val="22"/>
              </w:rPr>
              <w:t>2º</w:t>
            </w:r>
          </w:p>
        </w:tc>
        <w:tc>
          <w:tcPr>
            <w:tcW w:w="1721" w:type="dxa"/>
            <w:tcBorders>
              <w:top w:val="nil"/>
              <w:left w:val="nil"/>
              <w:bottom w:val="single" w:sz="8" w:space="0" w:color="auto"/>
              <w:right w:val="single" w:sz="8" w:space="0" w:color="auto"/>
            </w:tcBorders>
            <w:shd w:val="clear" w:color="auto" w:fill="auto"/>
            <w:vAlign w:val="center"/>
            <w:hideMark/>
          </w:tcPr>
          <w:p w14:paraId="56D4657E" w14:textId="77777777" w:rsidR="005D09BE" w:rsidRPr="00D44048" w:rsidRDefault="005D09BE" w:rsidP="00F4450D">
            <w:pPr>
              <w:jc w:val="center"/>
              <w:rPr>
                <w:rFonts w:ascii="Arial" w:hAnsi="Arial" w:cs="Arial"/>
                <w:sz w:val="16"/>
                <w:szCs w:val="16"/>
              </w:rPr>
            </w:pPr>
            <w:r w:rsidRPr="00D44048">
              <w:rPr>
                <w:rFonts w:ascii="Arial" w:hAnsi="Arial" w:cs="Arial"/>
                <w:sz w:val="16"/>
                <w:szCs w:val="22"/>
              </w:rPr>
              <w:t>0,522</w:t>
            </w:r>
          </w:p>
        </w:tc>
        <w:tc>
          <w:tcPr>
            <w:tcW w:w="1199" w:type="dxa"/>
            <w:tcBorders>
              <w:top w:val="nil"/>
              <w:left w:val="nil"/>
              <w:bottom w:val="single" w:sz="8" w:space="0" w:color="auto"/>
              <w:right w:val="single" w:sz="8" w:space="0" w:color="auto"/>
            </w:tcBorders>
            <w:shd w:val="clear" w:color="auto" w:fill="auto"/>
            <w:vAlign w:val="center"/>
            <w:hideMark/>
          </w:tcPr>
          <w:p w14:paraId="2D466C50" w14:textId="77777777" w:rsidR="005D09BE" w:rsidRPr="00D44048" w:rsidRDefault="005D09BE" w:rsidP="00F4450D">
            <w:pPr>
              <w:jc w:val="center"/>
              <w:rPr>
                <w:rFonts w:ascii="Arial" w:hAnsi="Arial" w:cs="Arial"/>
                <w:sz w:val="16"/>
                <w:szCs w:val="16"/>
              </w:rPr>
            </w:pPr>
            <w:r w:rsidRPr="00D44048">
              <w:rPr>
                <w:rFonts w:ascii="Arial" w:hAnsi="Arial" w:cs="Arial"/>
                <w:sz w:val="16"/>
                <w:szCs w:val="22"/>
              </w:rPr>
              <w:t>0,783</w:t>
            </w:r>
          </w:p>
        </w:tc>
        <w:tc>
          <w:tcPr>
            <w:tcW w:w="1247" w:type="dxa"/>
            <w:tcBorders>
              <w:top w:val="nil"/>
              <w:left w:val="nil"/>
              <w:bottom w:val="single" w:sz="8" w:space="0" w:color="auto"/>
              <w:right w:val="single" w:sz="8" w:space="0" w:color="auto"/>
            </w:tcBorders>
            <w:shd w:val="clear" w:color="auto" w:fill="auto"/>
            <w:vAlign w:val="center"/>
            <w:hideMark/>
          </w:tcPr>
          <w:p w14:paraId="01B6153A"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41591595"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64,12</w:t>
            </w:r>
          </w:p>
        </w:tc>
        <w:tc>
          <w:tcPr>
            <w:tcW w:w="1276" w:type="dxa"/>
            <w:tcBorders>
              <w:top w:val="nil"/>
              <w:left w:val="nil"/>
              <w:bottom w:val="single" w:sz="8" w:space="0" w:color="auto"/>
              <w:right w:val="single" w:sz="8" w:space="0" w:color="auto"/>
            </w:tcBorders>
            <w:shd w:val="clear" w:color="auto" w:fill="auto"/>
            <w:vAlign w:val="center"/>
            <w:hideMark/>
          </w:tcPr>
          <w:p w14:paraId="119DC1DC"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6C22DF66"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14,47</w:t>
            </w:r>
          </w:p>
        </w:tc>
        <w:tc>
          <w:tcPr>
            <w:tcW w:w="1117" w:type="dxa"/>
            <w:tcBorders>
              <w:top w:val="nil"/>
              <w:left w:val="nil"/>
              <w:bottom w:val="single" w:sz="8" w:space="0" w:color="auto"/>
              <w:right w:val="single" w:sz="8" w:space="0" w:color="auto"/>
            </w:tcBorders>
            <w:shd w:val="clear" w:color="auto" w:fill="auto"/>
            <w:vAlign w:val="center"/>
            <w:hideMark/>
          </w:tcPr>
          <w:p w14:paraId="10E13B0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20.470,81</w:t>
            </w:r>
          </w:p>
        </w:tc>
        <w:tc>
          <w:tcPr>
            <w:tcW w:w="1116" w:type="dxa"/>
            <w:tcBorders>
              <w:top w:val="nil"/>
              <w:left w:val="nil"/>
              <w:bottom w:val="single" w:sz="8" w:space="0" w:color="auto"/>
              <w:right w:val="single" w:sz="8" w:space="0" w:color="auto"/>
            </w:tcBorders>
            <w:shd w:val="clear" w:color="auto" w:fill="auto"/>
            <w:vAlign w:val="center"/>
            <w:hideMark/>
          </w:tcPr>
          <w:p w14:paraId="2BA22F7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21,41</w:t>
            </w:r>
          </w:p>
        </w:tc>
        <w:tc>
          <w:tcPr>
            <w:tcW w:w="1116" w:type="dxa"/>
            <w:tcBorders>
              <w:top w:val="nil"/>
              <w:left w:val="nil"/>
              <w:bottom w:val="single" w:sz="8" w:space="0" w:color="auto"/>
              <w:right w:val="single" w:sz="8" w:space="0" w:color="auto"/>
            </w:tcBorders>
            <w:shd w:val="clear" w:color="auto" w:fill="auto"/>
            <w:vAlign w:val="center"/>
            <w:hideMark/>
          </w:tcPr>
          <w:p w14:paraId="0803E3B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95.615,79</w:t>
            </w:r>
          </w:p>
        </w:tc>
      </w:tr>
      <w:tr w:rsidR="005D09BE" w:rsidRPr="00D44048" w14:paraId="6136CA3D" w14:textId="77777777" w:rsidTr="00F4450D">
        <w:trPr>
          <w:trHeight w:val="22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75FCEFE9" w14:textId="77777777" w:rsidR="005D09BE" w:rsidRPr="00D44048" w:rsidRDefault="005D09BE" w:rsidP="00F4450D">
            <w:pPr>
              <w:jc w:val="both"/>
              <w:rPr>
                <w:rFonts w:ascii="Arial" w:hAnsi="Arial" w:cs="Arial"/>
                <w:sz w:val="16"/>
                <w:szCs w:val="16"/>
              </w:rPr>
            </w:pPr>
            <w:r w:rsidRPr="00D44048">
              <w:rPr>
                <w:rFonts w:ascii="Arial" w:hAnsi="Arial" w:cs="Arial"/>
                <w:sz w:val="16"/>
                <w:szCs w:val="22"/>
              </w:rPr>
              <w:t>Informática de Oficina</w:t>
            </w:r>
          </w:p>
        </w:tc>
        <w:tc>
          <w:tcPr>
            <w:tcW w:w="1112" w:type="dxa"/>
            <w:tcBorders>
              <w:top w:val="nil"/>
              <w:left w:val="nil"/>
              <w:bottom w:val="single" w:sz="8" w:space="0" w:color="auto"/>
              <w:right w:val="single" w:sz="8" w:space="0" w:color="auto"/>
            </w:tcBorders>
            <w:shd w:val="clear" w:color="auto" w:fill="auto"/>
            <w:vAlign w:val="center"/>
            <w:hideMark/>
          </w:tcPr>
          <w:p w14:paraId="038CC0FF" w14:textId="77777777" w:rsidR="005D09BE" w:rsidRPr="00D44048" w:rsidRDefault="005D09BE" w:rsidP="00F4450D">
            <w:pPr>
              <w:jc w:val="center"/>
              <w:rPr>
                <w:rFonts w:ascii="Arial" w:hAnsi="Arial" w:cs="Arial"/>
                <w:sz w:val="16"/>
                <w:szCs w:val="16"/>
              </w:rPr>
            </w:pPr>
            <w:r w:rsidRPr="00D44048">
              <w:rPr>
                <w:rFonts w:ascii="Arial" w:hAnsi="Arial" w:cs="Arial"/>
                <w:sz w:val="16"/>
                <w:szCs w:val="22"/>
              </w:rPr>
              <w:t>1º</w:t>
            </w:r>
          </w:p>
        </w:tc>
        <w:tc>
          <w:tcPr>
            <w:tcW w:w="1721" w:type="dxa"/>
            <w:tcBorders>
              <w:top w:val="nil"/>
              <w:left w:val="nil"/>
              <w:bottom w:val="single" w:sz="8" w:space="0" w:color="auto"/>
              <w:right w:val="single" w:sz="8" w:space="0" w:color="auto"/>
            </w:tcBorders>
            <w:shd w:val="clear" w:color="auto" w:fill="auto"/>
            <w:vAlign w:val="center"/>
            <w:hideMark/>
          </w:tcPr>
          <w:p w14:paraId="49D4BA26" w14:textId="77777777" w:rsidR="005D09BE" w:rsidRPr="00D44048" w:rsidRDefault="005D09BE" w:rsidP="00F4450D">
            <w:pPr>
              <w:jc w:val="center"/>
              <w:rPr>
                <w:rFonts w:ascii="Arial" w:hAnsi="Arial" w:cs="Arial"/>
                <w:sz w:val="16"/>
                <w:szCs w:val="16"/>
              </w:rPr>
            </w:pPr>
            <w:r w:rsidRPr="00D44048">
              <w:rPr>
                <w:rFonts w:ascii="Arial" w:hAnsi="Arial" w:cs="Arial"/>
                <w:sz w:val="16"/>
                <w:szCs w:val="22"/>
              </w:rPr>
              <w:t>0,522</w:t>
            </w:r>
          </w:p>
        </w:tc>
        <w:tc>
          <w:tcPr>
            <w:tcW w:w="1199" w:type="dxa"/>
            <w:tcBorders>
              <w:top w:val="nil"/>
              <w:left w:val="nil"/>
              <w:bottom w:val="single" w:sz="8" w:space="0" w:color="auto"/>
              <w:right w:val="single" w:sz="8" w:space="0" w:color="auto"/>
            </w:tcBorders>
            <w:shd w:val="clear" w:color="auto" w:fill="auto"/>
            <w:vAlign w:val="center"/>
            <w:hideMark/>
          </w:tcPr>
          <w:p w14:paraId="00F61089" w14:textId="77777777" w:rsidR="005D09BE" w:rsidRPr="00D44048" w:rsidRDefault="005D09BE" w:rsidP="00F4450D">
            <w:pPr>
              <w:jc w:val="center"/>
              <w:rPr>
                <w:rFonts w:ascii="Arial" w:hAnsi="Arial" w:cs="Arial"/>
                <w:sz w:val="16"/>
                <w:szCs w:val="16"/>
              </w:rPr>
            </w:pPr>
            <w:r w:rsidRPr="00D44048">
              <w:rPr>
                <w:rFonts w:ascii="Arial" w:hAnsi="Arial" w:cs="Arial"/>
                <w:sz w:val="16"/>
                <w:szCs w:val="22"/>
              </w:rPr>
              <w:t>0,783</w:t>
            </w:r>
          </w:p>
        </w:tc>
        <w:tc>
          <w:tcPr>
            <w:tcW w:w="1247" w:type="dxa"/>
            <w:tcBorders>
              <w:top w:val="nil"/>
              <w:left w:val="nil"/>
              <w:bottom w:val="single" w:sz="8" w:space="0" w:color="auto"/>
              <w:right w:val="single" w:sz="8" w:space="0" w:color="auto"/>
            </w:tcBorders>
            <w:shd w:val="clear" w:color="auto" w:fill="auto"/>
            <w:vAlign w:val="center"/>
            <w:hideMark/>
          </w:tcPr>
          <w:p w14:paraId="7AE50B3E"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3FED418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64,12</w:t>
            </w:r>
          </w:p>
        </w:tc>
        <w:tc>
          <w:tcPr>
            <w:tcW w:w="1276" w:type="dxa"/>
            <w:tcBorders>
              <w:top w:val="nil"/>
              <w:left w:val="nil"/>
              <w:bottom w:val="single" w:sz="8" w:space="0" w:color="auto"/>
              <w:right w:val="single" w:sz="8" w:space="0" w:color="auto"/>
            </w:tcBorders>
            <w:shd w:val="clear" w:color="auto" w:fill="auto"/>
            <w:vAlign w:val="center"/>
            <w:hideMark/>
          </w:tcPr>
          <w:p w14:paraId="0BF8EFE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681757EA"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14,47</w:t>
            </w:r>
          </w:p>
        </w:tc>
        <w:tc>
          <w:tcPr>
            <w:tcW w:w="1117" w:type="dxa"/>
            <w:tcBorders>
              <w:top w:val="nil"/>
              <w:left w:val="nil"/>
              <w:bottom w:val="single" w:sz="8" w:space="0" w:color="auto"/>
              <w:right w:val="single" w:sz="8" w:space="0" w:color="auto"/>
            </w:tcBorders>
            <w:shd w:val="clear" w:color="auto" w:fill="auto"/>
            <w:vAlign w:val="center"/>
            <w:hideMark/>
          </w:tcPr>
          <w:p w14:paraId="6294894B"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20.470,81</w:t>
            </w:r>
          </w:p>
        </w:tc>
        <w:tc>
          <w:tcPr>
            <w:tcW w:w="1116" w:type="dxa"/>
            <w:tcBorders>
              <w:top w:val="nil"/>
              <w:left w:val="nil"/>
              <w:bottom w:val="single" w:sz="8" w:space="0" w:color="auto"/>
              <w:right w:val="single" w:sz="8" w:space="0" w:color="auto"/>
            </w:tcBorders>
            <w:shd w:val="clear" w:color="auto" w:fill="auto"/>
            <w:vAlign w:val="center"/>
            <w:hideMark/>
          </w:tcPr>
          <w:p w14:paraId="7763E18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21,41</w:t>
            </w:r>
          </w:p>
        </w:tc>
        <w:tc>
          <w:tcPr>
            <w:tcW w:w="1116" w:type="dxa"/>
            <w:tcBorders>
              <w:top w:val="nil"/>
              <w:left w:val="nil"/>
              <w:bottom w:val="single" w:sz="8" w:space="0" w:color="auto"/>
              <w:right w:val="single" w:sz="8" w:space="0" w:color="auto"/>
            </w:tcBorders>
            <w:shd w:val="clear" w:color="auto" w:fill="auto"/>
            <w:vAlign w:val="center"/>
            <w:hideMark/>
          </w:tcPr>
          <w:p w14:paraId="4DD0E03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95.615,79</w:t>
            </w:r>
          </w:p>
        </w:tc>
      </w:tr>
      <w:tr w:rsidR="005D09BE" w:rsidRPr="00D44048" w14:paraId="110E32CC" w14:textId="77777777" w:rsidTr="00F4450D">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0DF976B5" w14:textId="77777777" w:rsidR="005D09BE" w:rsidRPr="00D44048" w:rsidRDefault="005D09BE" w:rsidP="00F4450D">
            <w:pPr>
              <w:jc w:val="both"/>
              <w:rPr>
                <w:rFonts w:ascii="Arial" w:hAnsi="Arial"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364BAA7D" w14:textId="77777777" w:rsidR="005D09BE" w:rsidRPr="00D44048" w:rsidRDefault="005D09BE" w:rsidP="00F4450D">
            <w:pPr>
              <w:jc w:val="center"/>
              <w:rPr>
                <w:rFonts w:ascii="Arial" w:hAnsi="Arial" w:cs="Arial"/>
                <w:sz w:val="16"/>
                <w:szCs w:val="16"/>
              </w:rPr>
            </w:pPr>
            <w:r w:rsidRPr="00D44048">
              <w:rPr>
                <w:rFonts w:ascii="Arial" w:hAnsi="Arial" w:cs="Arial"/>
                <w:sz w:val="16"/>
                <w:szCs w:val="22"/>
              </w:rPr>
              <w:t>2º</w:t>
            </w:r>
          </w:p>
        </w:tc>
        <w:tc>
          <w:tcPr>
            <w:tcW w:w="1721" w:type="dxa"/>
            <w:tcBorders>
              <w:top w:val="nil"/>
              <w:left w:val="nil"/>
              <w:bottom w:val="single" w:sz="8" w:space="0" w:color="auto"/>
              <w:right w:val="single" w:sz="8" w:space="0" w:color="auto"/>
            </w:tcBorders>
            <w:shd w:val="clear" w:color="auto" w:fill="auto"/>
            <w:vAlign w:val="center"/>
            <w:hideMark/>
          </w:tcPr>
          <w:p w14:paraId="0FD841BF" w14:textId="77777777" w:rsidR="005D09BE" w:rsidRPr="00D44048" w:rsidRDefault="005D09BE" w:rsidP="00F4450D">
            <w:pPr>
              <w:jc w:val="center"/>
              <w:rPr>
                <w:rFonts w:ascii="Arial" w:hAnsi="Arial" w:cs="Arial"/>
                <w:sz w:val="16"/>
                <w:szCs w:val="16"/>
              </w:rPr>
            </w:pPr>
            <w:r w:rsidRPr="00D44048">
              <w:rPr>
                <w:rFonts w:ascii="Arial" w:hAnsi="Arial" w:cs="Arial"/>
                <w:sz w:val="16"/>
                <w:szCs w:val="22"/>
              </w:rPr>
              <w:t>0,522</w:t>
            </w:r>
          </w:p>
        </w:tc>
        <w:tc>
          <w:tcPr>
            <w:tcW w:w="1199" w:type="dxa"/>
            <w:tcBorders>
              <w:top w:val="nil"/>
              <w:left w:val="nil"/>
              <w:bottom w:val="single" w:sz="8" w:space="0" w:color="auto"/>
              <w:right w:val="single" w:sz="8" w:space="0" w:color="auto"/>
            </w:tcBorders>
            <w:shd w:val="clear" w:color="auto" w:fill="auto"/>
            <w:vAlign w:val="center"/>
            <w:hideMark/>
          </w:tcPr>
          <w:p w14:paraId="765F0909" w14:textId="77777777" w:rsidR="005D09BE" w:rsidRPr="00D44048" w:rsidRDefault="005D09BE" w:rsidP="00F4450D">
            <w:pPr>
              <w:jc w:val="center"/>
              <w:rPr>
                <w:rFonts w:ascii="Arial" w:hAnsi="Arial" w:cs="Arial"/>
                <w:sz w:val="16"/>
                <w:szCs w:val="16"/>
              </w:rPr>
            </w:pPr>
            <w:r w:rsidRPr="00D44048">
              <w:rPr>
                <w:rFonts w:ascii="Arial" w:hAnsi="Arial" w:cs="Arial"/>
                <w:sz w:val="16"/>
                <w:szCs w:val="22"/>
              </w:rPr>
              <w:t>0,783</w:t>
            </w:r>
          </w:p>
        </w:tc>
        <w:tc>
          <w:tcPr>
            <w:tcW w:w="1247" w:type="dxa"/>
            <w:tcBorders>
              <w:top w:val="nil"/>
              <w:left w:val="nil"/>
              <w:bottom w:val="single" w:sz="8" w:space="0" w:color="auto"/>
              <w:right w:val="single" w:sz="8" w:space="0" w:color="auto"/>
            </w:tcBorders>
            <w:shd w:val="clear" w:color="auto" w:fill="auto"/>
            <w:vAlign w:val="center"/>
            <w:hideMark/>
          </w:tcPr>
          <w:p w14:paraId="36EA978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60C305CE"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64,12</w:t>
            </w:r>
          </w:p>
        </w:tc>
        <w:tc>
          <w:tcPr>
            <w:tcW w:w="1276" w:type="dxa"/>
            <w:tcBorders>
              <w:top w:val="nil"/>
              <w:left w:val="nil"/>
              <w:bottom w:val="single" w:sz="8" w:space="0" w:color="auto"/>
              <w:right w:val="single" w:sz="8" w:space="0" w:color="auto"/>
            </w:tcBorders>
            <w:shd w:val="clear" w:color="auto" w:fill="auto"/>
            <w:vAlign w:val="center"/>
            <w:hideMark/>
          </w:tcPr>
          <w:p w14:paraId="34C296CA"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281F8CE4"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14,47</w:t>
            </w:r>
          </w:p>
        </w:tc>
        <w:tc>
          <w:tcPr>
            <w:tcW w:w="1117" w:type="dxa"/>
            <w:tcBorders>
              <w:top w:val="nil"/>
              <w:left w:val="nil"/>
              <w:bottom w:val="single" w:sz="8" w:space="0" w:color="auto"/>
              <w:right w:val="single" w:sz="8" w:space="0" w:color="auto"/>
            </w:tcBorders>
            <w:shd w:val="clear" w:color="auto" w:fill="auto"/>
            <w:vAlign w:val="center"/>
            <w:hideMark/>
          </w:tcPr>
          <w:p w14:paraId="5D6CC19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20.470,81</w:t>
            </w:r>
          </w:p>
        </w:tc>
        <w:tc>
          <w:tcPr>
            <w:tcW w:w="1116" w:type="dxa"/>
            <w:tcBorders>
              <w:top w:val="nil"/>
              <w:left w:val="nil"/>
              <w:bottom w:val="single" w:sz="8" w:space="0" w:color="auto"/>
              <w:right w:val="single" w:sz="8" w:space="0" w:color="auto"/>
            </w:tcBorders>
            <w:shd w:val="clear" w:color="auto" w:fill="auto"/>
            <w:vAlign w:val="center"/>
            <w:hideMark/>
          </w:tcPr>
          <w:p w14:paraId="304AE77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21,41</w:t>
            </w:r>
          </w:p>
        </w:tc>
        <w:tc>
          <w:tcPr>
            <w:tcW w:w="1116" w:type="dxa"/>
            <w:tcBorders>
              <w:top w:val="nil"/>
              <w:left w:val="nil"/>
              <w:bottom w:val="single" w:sz="8" w:space="0" w:color="auto"/>
              <w:right w:val="single" w:sz="8" w:space="0" w:color="auto"/>
            </w:tcBorders>
            <w:shd w:val="clear" w:color="auto" w:fill="auto"/>
            <w:vAlign w:val="center"/>
            <w:hideMark/>
          </w:tcPr>
          <w:p w14:paraId="449E8983"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95.615,79</w:t>
            </w:r>
          </w:p>
        </w:tc>
      </w:tr>
      <w:tr w:rsidR="005D09BE" w:rsidRPr="00D44048" w14:paraId="4F72CEEE" w14:textId="77777777" w:rsidTr="00F4450D">
        <w:trPr>
          <w:trHeight w:val="21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68BF652B" w14:textId="77777777" w:rsidR="005D09BE" w:rsidRPr="00D44048" w:rsidRDefault="005D09BE" w:rsidP="00F4450D">
            <w:pPr>
              <w:jc w:val="both"/>
              <w:rPr>
                <w:rFonts w:ascii="Arial" w:hAnsi="Arial" w:cs="Arial"/>
                <w:sz w:val="16"/>
                <w:szCs w:val="16"/>
              </w:rPr>
            </w:pPr>
            <w:r w:rsidRPr="00D44048">
              <w:rPr>
                <w:rFonts w:ascii="Arial" w:hAnsi="Arial" w:cs="Arial"/>
                <w:sz w:val="16"/>
                <w:szCs w:val="22"/>
              </w:rPr>
              <w:t>Artes Gráficas</w:t>
            </w:r>
          </w:p>
        </w:tc>
        <w:tc>
          <w:tcPr>
            <w:tcW w:w="1112" w:type="dxa"/>
            <w:tcBorders>
              <w:top w:val="nil"/>
              <w:left w:val="nil"/>
              <w:bottom w:val="single" w:sz="8" w:space="0" w:color="auto"/>
              <w:right w:val="single" w:sz="8" w:space="0" w:color="auto"/>
            </w:tcBorders>
            <w:shd w:val="clear" w:color="auto" w:fill="auto"/>
            <w:vAlign w:val="center"/>
            <w:hideMark/>
          </w:tcPr>
          <w:p w14:paraId="11991125" w14:textId="77777777" w:rsidR="005D09BE" w:rsidRPr="00D44048" w:rsidRDefault="005D09BE" w:rsidP="00F4450D">
            <w:pPr>
              <w:jc w:val="center"/>
              <w:rPr>
                <w:rFonts w:ascii="Arial" w:hAnsi="Arial" w:cs="Arial"/>
                <w:sz w:val="16"/>
                <w:szCs w:val="16"/>
              </w:rPr>
            </w:pPr>
            <w:r w:rsidRPr="00D44048">
              <w:rPr>
                <w:rFonts w:ascii="Arial" w:hAnsi="Arial" w:cs="Arial"/>
                <w:sz w:val="16"/>
                <w:szCs w:val="22"/>
              </w:rPr>
              <w:t>1º</w:t>
            </w:r>
          </w:p>
        </w:tc>
        <w:tc>
          <w:tcPr>
            <w:tcW w:w="1721" w:type="dxa"/>
            <w:tcBorders>
              <w:top w:val="nil"/>
              <w:left w:val="nil"/>
              <w:bottom w:val="single" w:sz="8" w:space="0" w:color="auto"/>
              <w:right w:val="single" w:sz="8" w:space="0" w:color="auto"/>
            </w:tcBorders>
            <w:shd w:val="clear" w:color="auto" w:fill="auto"/>
            <w:vAlign w:val="center"/>
            <w:hideMark/>
          </w:tcPr>
          <w:p w14:paraId="383368D9" w14:textId="77777777" w:rsidR="005D09BE" w:rsidRPr="00D44048" w:rsidRDefault="005D09BE" w:rsidP="00F4450D">
            <w:pPr>
              <w:jc w:val="center"/>
              <w:rPr>
                <w:rFonts w:ascii="Arial" w:hAnsi="Arial" w:cs="Arial"/>
                <w:sz w:val="16"/>
                <w:szCs w:val="16"/>
              </w:rPr>
            </w:pPr>
            <w:r w:rsidRPr="00D44048">
              <w:rPr>
                <w:rFonts w:ascii="Arial" w:hAnsi="Arial" w:cs="Arial"/>
                <w:sz w:val="16"/>
                <w:szCs w:val="22"/>
              </w:rPr>
              <w:t>0,522</w:t>
            </w:r>
          </w:p>
        </w:tc>
        <w:tc>
          <w:tcPr>
            <w:tcW w:w="1199" w:type="dxa"/>
            <w:tcBorders>
              <w:top w:val="nil"/>
              <w:left w:val="nil"/>
              <w:bottom w:val="single" w:sz="8" w:space="0" w:color="auto"/>
              <w:right w:val="single" w:sz="8" w:space="0" w:color="auto"/>
            </w:tcBorders>
            <w:shd w:val="clear" w:color="auto" w:fill="auto"/>
            <w:vAlign w:val="center"/>
            <w:hideMark/>
          </w:tcPr>
          <w:p w14:paraId="274A0D59" w14:textId="77777777" w:rsidR="005D09BE" w:rsidRPr="00D44048" w:rsidRDefault="005D09BE" w:rsidP="00F4450D">
            <w:pPr>
              <w:jc w:val="center"/>
              <w:rPr>
                <w:rFonts w:ascii="Arial" w:hAnsi="Arial" w:cs="Arial"/>
                <w:sz w:val="16"/>
                <w:szCs w:val="16"/>
              </w:rPr>
            </w:pPr>
            <w:r w:rsidRPr="00D44048">
              <w:rPr>
                <w:rFonts w:ascii="Arial" w:hAnsi="Arial" w:cs="Arial"/>
                <w:sz w:val="16"/>
                <w:szCs w:val="22"/>
              </w:rPr>
              <w:t>0,783</w:t>
            </w:r>
          </w:p>
        </w:tc>
        <w:tc>
          <w:tcPr>
            <w:tcW w:w="1247" w:type="dxa"/>
            <w:tcBorders>
              <w:top w:val="nil"/>
              <w:left w:val="nil"/>
              <w:bottom w:val="single" w:sz="8" w:space="0" w:color="auto"/>
              <w:right w:val="single" w:sz="8" w:space="0" w:color="auto"/>
            </w:tcBorders>
            <w:shd w:val="clear" w:color="auto" w:fill="auto"/>
            <w:vAlign w:val="center"/>
            <w:hideMark/>
          </w:tcPr>
          <w:p w14:paraId="5EEED1DE"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0AF616E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61,12</w:t>
            </w:r>
          </w:p>
        </w:tc>
        <w:tc>
          <w:tcPr>
            <w:tcW w:w="1276" w:type="dxa"/>
            <w:tcBorders>
              <w:top w:val="nil"/>
              <w:left w:val="nil"/>
              <w:bottom w:val="single" w:sz="8" w:space="0" w:color="auto"/>
              <w:right w:val="single" w:sz="8" w:space="0" w:color="auto"/>
            </w:tcBorders>
            <w:shd w:val="clear" w:color="auto" w:fill="auto"/>
            <w:vAlign w:val="center"/>
            <w:hideMark/>
          </w:tcPr>
          <w:p w14:paraId="1DD8786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1490BA6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13,79</w:t>
            </w:r>
          </w:p>
        </w:tc>
        <w:tc>
          <w:tcPr>
            <w:tcW w:w="1117" w:type="dxa"/>
            <w:tcBorders>
              <w:top w:val="nil"/>
              <w:left w:val="nil"/>
              <w:bottom w:val="single" w:sz="8" w:space="0" w:color="auto"/>
              <w:right w:val="single" w:sz="8" w:space="0" w:color="auto"/>
            </w:tcBorders>
            <w:shd w:val="clear" w:color="auto" w:fill="auto"/>
            <w:vAlign w:val="center"/>
            <w:hideMark/>
          </w:tcPr>
          <w:p w14:paraId="0F4BBBDE"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25.169,06</w:t>
            </w:r>
          </w:p>
        </w:tc>
        <w:tc>
          <w:tcPr>
            <w:tcW w:w="1116" w:type="dxa"/>
            <w:tcBorders>
              <w:top w:val="nil"/>
              <w:left w:val="nil"/>
              <w:bottom w:val="single" w:sz="8" w:space="0" w:color="auto"/>
              <w:right w:val="single" w:sz="8" w:space="0" w:color="auto"/>
            </w:tcBorders>
            <w:shd w:val="clear" w:color="auto" w:fill="auto"/>
            <w:vAlign w:val="center"/>
            <w:hideMark/>
          </w:tcPr>
          <w:p w14:paraId="6772DAD5"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25,09</w:t>
            </w:r>
          </w:p>
        </w:tc>
        <w:tc>
          <w:tcPr>
            <w:tcW w:w="1116" w:type="dxa"/>
            <w:tcBorders>
              <w:top w:val="nil"/>
              <w:left w:val="nil"/>
              <w:bottom w:val="single" w:sz="8" w:space="0" w:color="auto"/>
              <w:right w:val="single" w:sz="8" w:space="0" w:color="auto"/>
            </w:tcBorders>
            <w:shd w:val="clear" w:color="auto" w:fill="auto"/>
            <w:vAlign w:val="center"/>
            <w:hideMark/>
          </w:tcPr>
          <w:p w14:paraId="3C421D8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100.314,04</w:t>
            </w:r>
          </w:p>
        </w:tc>
      </w:tr>
      <w:tr w:rsidR="005D09BE" w:rsidRPr="00D44048" w14:paraId="1B831848" w14:textId="77777777" w:rsidTr="00F4450D">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02795DFA" w14:textId="77777777" w:rsidR="005D09BE" w:rsidRPr="00D44048" w:rsidRDefault="005D09BE" w:rsidP="00F4450D">
            <w:pPr>
              <w:jc w:val="both"/>
              <w:rPr>
                <w:rFonts w:ascii="Arial" w:hAnsi="Arial"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0516E750" w14:textId="77777777" w:rsidR="005D09BE" w:rsidRPr="00D44048" w:rsidRDefault="005D09BE" w:rsidP="00F4450D">
            <w:pPr>
              <w:jc w:val="center"/>
              <w:rPr>
                <w:rFonts w:ascii="Arial" w:hAnsi="Arial" w:cs="Arial"/>
                <w:sz w:val="16"/>
                <w:szCs w:val="16"/>
              </w:rPr>
            </w:pPr>
            <w:r w:rsidRPr="00D44048">
              <w:rPr>
                <w:rFonts w:ascii="Arial" w:hAnsi="Arial" w:cs="Arial"/>
                <w:sz w:val="16"/>
                <w:szCs w:val="22"/>
              </w:rPr>
              <w:t>2º</w:t>
            </w:r>
          </w:p>
        </w:tc>
        <w:tc>
          <w:tcPr>
            <w:tcW w:w="1721" w:type="dxa"/>
            <w:tcBorders>
              <w:top w:val="nil"/>
              <w:left w:val="nil"/>
              <w:bottom w:val="single" w:sz="8" w:space="0" w:color="auto"/>
              <w:right w:val="single" w:sz="8" w:space="0" w:color="auto"/>
            </w:tcBorders>
            <w:shd w:val="clear" w:color="auto" w:fill="auto"/>
            <w:vAlign w:val="center"/>
            <w:hideMark/>
          </w:tcPr>
          <w:p w14:paraId="5AB490F9" w14:textId="77777777" w:rsidR="005D09BE" w:rsidRPr="00D44048" w:rsidRDefault="005D09BE" w:rsidP="00F4450D">
            <w:pPr>
              <w:jc w:val="center"/>
              <w:rPr>
                <w:rFonts w:ascii="Arial" w:hAnsi="Arial" w:cs="Arial"/>
                <w:sz w:val="16"/>
                <w:szCs w:val="16"/>
              </w:rPr>
            </w:pPr>
            <w:r w:rsidRPr="00D44048">
              <w:rPr>
                <w:rFonts w:ascii="Arial" w:hAnsi="Arial" w:cs="Arial"/>
                <w:sz w:val="16"/>
                <w:szCs w:val="22"/>
              </w:rPr>
              <w:t>0,522</w:t>
            </w:r>
          </w:p>
        </w:tc>
        <w:tc>
          <w:tcPr>
            <w:tcW w:w="1199" w:type="dxa"/>
            <w:tcBorders>
              <w:top w:val="nil"/>
              <w:left w:val="nil"/>
              <w:bottom w:val="single" w:sz="8" w:space="0" w:color="auto"/>
              <w:right w:val="single" w:sz="8" w:space="0" w:color="auto"/>
            </w:tcBorders>
            <w:shd w:val="clear" w:color="auto" w:fill="auto"/>
            <w:vAlign w:val="center"/>
            <w:hideMark/>
          </w:tcPr>
          <w:p w14:paraId="5C2A9808" w14:textId="77777777" w:rsidR="005D09BE" w:rsidRPr="00D44048" w:rsidRDefault="005D09BE" w:rsidP="00F4450D">
            <w:pPr>
              <w:jc w:val="center"/>
              <w:rPr>
                <w:rFonts w:ascii="Arial" w:hAnsi="Arial" w:cs="Arial"/>
                <w:sz w:val="16"/>
                <w:szCs w:val="16"/>
              </w:rPr>
            </w:pPr>
            <w:r w:rsidRPr="00D44048">
              <w:rPr>
                <w:rFonts w:ascii="Arial" w:hAnsi="Arial" w:cs="Arial"/>
                <w:sz w:val="16"/>
                <w:szCs w:val="22"/>
              </w:rPr>
              <w:t>0,783</w:t>
            </w:r>
          </w:p>
        </w:tc>
        <w:tc>
          <w:tcPr>
            <w:tcW w:w="1247" w:type="dxa"/>
            <w:tcBorders>
              <w:top w:val="nil"/>
              <w:left w:val="nil"/>
              <w:bottom w:val="single" w:sz="8" w:space="0" w:color="auto"/>
              <w:right w:val="single" w:sz="8" w:space="0" w:color="auto"/>
            </w:tcBorders>
            <w:shd w:val="clear" w:color="auto" w:fill="auto"/>
            <w:vAlign w:val="center"/>
            <w:hideMark/>
          </w:tcPr>
          <w:p w14:paraId="691757E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3F9503F4"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61,12</w:t>
            </w:r>
          </w:p>
        </w:tc>
        <w:tc>
          <w:tcPr>
            <w:tcW w:w="1276" w:type="dxa"/>
            <w:tcBorders>
              <w:top w:val="nil"/>
              <w:left w:val="nil"/>
              <w:bottom w:val="single" w:sz="8" w:space="0" w:color="auto"/>
              <w:right w:val="single" w:sz="8" w:space="0" w:color="auto"/>
            </w:tcBorders>
            <w:shd w:val="clear" w:color="auto" w:fill="auto"/>
            <w:vAlign w:val="center"/>
            <w:hideMark/>
          </w:tcPr>
          <w:p w14:paraId="52C56DD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7B13FF3C"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13,79</w:t>
            </w:r>
          </w:p>
        </w:tc>
        <w:tc>
          <w:tcPr>
            <w:tcW w:w="1117" w:type="dxa"/>
            <w:tcBorders>
              <w:top w:val="nil"/>
              <w:left w:val="nil"/>
              <w:bottom w:val="single" w:sz="8" w:space="0" w:color="auto"/>
              <w:right w:val="single" w:sz="8" w:space="0" w:color="auto"/>
            </w:tcBorders>
            <w:shd w:val="clear" w:color="auto" w:fill="auto"/>
            <w:vAlign w:val="center"/>
            <w:hideMark/>
          </w:tcPr>
          <w:p w14:paraId="4933A61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25.169,06</w:t>
            </w:r>
          </w:p>
        </w:tc>
        <w:tc>
          <w:tcPr>
            <w:tcW w:w="1116" w:type="dxa"/>
            <w:tcBorders>
              <w:top w:val="nil"/>
              <w:left w:val="nil"/>
              <w:bottom w:val="single" w:sz="8" w:space="0" w:color="auto"/>
              <w:right w:val="single" w:sz="8" w:space="0" w:color="auto"/>
            </w:tcBorders>
            <w:shd w:val="clear" w:color="auto" w:fill="auto"/>
            <w:vAlign w:val="center"/>
            <w:hideMark/>
          </w:tcPr>
          <w:p w14:paraId="5D77C5F3"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25,09</w:t>
            </w:r>
          </w:p>
        </w:tc>
        <w:tc>
          <w:tcPr>
            <w:tcW w:w="1116" w:type="dxa"/>
            <w:tcBorders>
              <w:top w:val="nil"/>
              <w:left w:val="nil"/>
              <w:bottom w:val="single" w:sz="8" w:space="0" w:color="auto"/>
              <w:right w:val="single" w:sz="8" w:space="0" w:color="auto"/>
            </w:tcBorders>
            <w:shd w:val="clear" w:color="auto" w:fill="auto"/>
            <w:vAlign w:val="center"/>
            <w:hideMark/>
          </w:tcPr>
          <w:p w14:paraId="56F1F64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100.314,04</w:t>
            </w:r>
          </w:p>
        </w:tc>
      </w:tr>
      <w:tr w:rsidR="005D09BE" w:rsidRPr="00D44048" w14:paraId="3E77D7CE" w14:textId="77777777" w:rsidTr="00F4450D">
        <w:trPr>
          <w:trHeight w:val="22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0F4744FF" w14:textId="77777777" w:rsidR="005D09BE" w:rsidRPr="00D44048" w:rsidRDefault="005D09BE" w:rsidP="00F4450D">
            <w:pPr>
              <w:jc w:val="both"/>
              <w:rPr>
                <w:rFonts w:ascii="Arial" w:hAnsi="Arial" w:cs="Arial"/>
                <w:sz w:val="16"/>
                <w:szCs w:val="16"/>
              </w:rPr>
            </w:pPr>
            <w:r w:rsidRPr="00D44048">
              <w:rPr>
                <w:rFonts w:ascii="Arial" w:hAnsi="Arial" w:cs="Arial"/>
                <w:sz w:val="16"/>
                <w:szCs w:val="22"/>
              </w:rPr>
              <w:t>Electricidad y Electrónica</w:t>
            </w:r>
          </w:p>
        </w:tc>
        <w:tc>
          <w:tcPr>
            <w:tcW w:w="1112" w:type="dxa"/>
            <w:tcBorders>
              <w:top w:val="nil"/>
              <w:left w:val="nil"/>
              <w:bottom w:val="single" w:sz="8" w:space="0" w:color="auto"/>
              <w:right w:val="single" w:sz="8" w:space="0" w:color="auto"/>
            </w:tcBorders>
            <w:shd w:val="clear" w:color="auto" w:fill="auto"/>
            <w:vAlign w:val="center"/>
            <w:hideMark/>
          </w:tcPr>
          <w:p w14:paraId="3C2E9F03" w14:textId="77777777" w:rsidR="005D09BE" w:rsidRPr="00D44048" w:rsidRDefault="005D09BE" w:rsidP="00F4450D">
            <w:pPr>
              <w:jc w:val="center"/>
              <w:rPr>
                <w:rFonts w:ascii="Arial" w:hAnsi="Arial" w:cs="Arial"/>
                <w:sz w:val="16"/>
                <w:szCs w:val="16"/>
              </w:rPr>
            </w:pPr>
            <w:r w:rsidRPr="00D44048">
              <w:rPr>
                <w:rFonts w:ascii="Arial" w:hAnsi="Arial" w:cs="Arial"/>
                <w:sz w:val="16"/>
                <w:szCs w:val="22"/>
              </w:rPr>
              <w:t>1º</w:t>
            </w:r>
          </w:p>
        </w:tc>
        <w:tc>
          <w:tcPr>
            <w:tcW w:w="1721" w:type="dxa"/>
            <w:tcBorders>
              <w:top w:val="nil"/>
              <w:left w:val="nil"/>
              <w:bottom w:val="single" w:sz="8" w:space="0" w:color="auto"/>
              <w:right w:val="single" w:sz="8" w:space="0" w:color="auto"/>
            </w:tcBorders>
            <w:shd w:val="clear" w:color="auto" w:fill="auto"/>
            <w:vAlign w:val="center"/>
            <w:hideMark/>
          </w:tcPr>
          <w:p w14:paraId="63970EA7" w14:textId="77777777" w:rsidR="005D09BE" w:rsidRPr="00D44048" w:rsidRDefault="005D09BE" w:rsidP="00F4450D">
            <w:pPr>
              <w:jc w:val="center"/>
              <w:rPr>
                <w:rFonts w:ascii="Arial" w:hAnsi="Arial" w:cs="Arial"/>
                <w:sz w:val="16"/>
                <w:szCs w:val="16"/>
              </w:rPr>
            </w:pPr>
            <w:r w:rsidRPr="00D44048">
              <w:rPr>
                <w:rFonts w:ascii="Arial" w:hAnsi="Arial" w:cs="Arial"/>
                <w:sz w:val="16"/>
                <w:szCs w:val="22"/>
              </w:rPr>
              <w:t>0,522</w:t>
            </w:r>
          </w:p>
        </w:tc>
        <w:tc>
          <w:tcPr>
            <w:tcW w:w="1199" w:type="dxa"/>
            <w:tcBorders>
              <w:top w:val="nil"/>
              <w:left w:val="nil"/>
              <w:bottom w:val="single" w:sz="8" w:space="0" w:color="auto"/>
              <w:right w:val="single" w:sz="8" w:space="0" w:color="auto"/>
            </w:tcBorders>
            <w:shd w:val="clear" w:color="auto" w:fill="auto"/>
            <w:vAlign w:val="center"/>
            <w:hideMark/>
          </w:tcPr>
          <w:p w14:paraId="351A1155" w14:textId="77777777" w:rsidR="005D09BE" w:rsidRPr="00D44048" w:rsidRDefault="005D09BE" w:rsidP="00F4450D">
            <w:pPr>
              <w:jc w:val="center"/>
              <w:rPr>
                <w:rFonts w:ascii="Arial" w:hAnsi="Arial" w:cs="Arial"/>
                <w:sz w:val="16"/>
                <w:szCs w:val="16"/>
              </w:rPr>
            </w:pPr>
            <w:r w:rsidRPr="00D44048">
              <w:rPr>
                <w:rFonts w:ascii="Arial" w:hAnsi="Arial" w:cs="Arial"/>
                <w:sz w:val="16"/>
                <w:szCs w:val="22"/>
              </w:rPr>
              <w:t>0,783</w:t>
            </w:r>
          </w:p>
        </w:tc>
        <w:tc>
          <w:tcPr>
            <w:tcW w:w="1247" w:type="dxa"/>
            <w:tcBorders>
              <w:top w:val="nil"/>
              <w:left w:val="nil"/>
              <w:bottom w:val="single" w:sz="8" w:space="0" w:color="auto"/>
              <w:right w:val="single" w:sz="8" w:space="0" w:color="auto"/>
            </w:tcBorders>
            <w:shd w:val="clear" w:color="auto" w:fill="auto"/>
            <w:vAlign w:val="center"/>
            <w:hideMark/>
          </w:tcPr>
          <w:p w14:paraId="4417BC9A"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5DAB27C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60,95</w:t>
            </w:r>
          </w:p>
        </w:tc>
        <w:tc>
          <w:tcPr>
            <w:tcW w:w="1276" w:type="dxa"/>
            <w:tcBorders>
              <w:top w:val="nil"/>
              <w:left w:val="nil"/>
              <w:bottom w:val="single" w:sz="8" w:space="0" w:color="auto"/>
              <w:right w:val="single" w:sz="8" w:space="0" w:color="auto"/>
            </w:tcBorders>
            <w:shd w:val="clear" w:color="auto" w:fill="auto"/>
            <w:vAlign w:val="center"/>
            <w:hideMark/>
          </w:tcPr>
          <w:p w14:paraId="0A22C4BC"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72E20AEE"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13,75</w:t>
            </w:r>
          </w:p>
        </w:tc>
        <w:tc>
          <w:tcPr>
            <w:tcW w:w="1117" w:type="dxa"/>
            <w:tcBorders>
              <w:top w:val="nil"/>
              <w:left w:val="nil"/>
              <w:bottom w:val="single" w:sz="8" w:space="0" w:color="auto"/>
              <w:right w:val="single" w:sz="8" w:space="0" w:color="auto"/>
            </w:tcBorders>
            <w:shd w:val="clear" w:color="auto" w:fill="auto"/>
            <w:vAlign w:val="center"/>
            <w:hideMark/>
          </w:tcPr>
          <w:p w14:paraId="64CA33DC"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25.457,74</w:t>
            </w:r>
          </w:p>
        </w:tc>
        <w:tc>
          <w:tcPr>
            <w:tcW w:w="1116" w:type="dxa"/>
            <w:tcBorders>
              <w:top w:val="nil"/>
              <w:left w:val="nil"/>
              <w:bottom w:val="single" w:sz="8" w:space="0" w:color="auto"/>
              <w:right w:val="single" w:sz="8" w:space="0" w:color="auto"/>
            </w:tcBorders>
            <w:shd w:val="clear" w:color="auto" w:fill="auto"/>
            <w:vAlign w:val="center"/>
            <w:hideMark/>
          </w:tcPr>
          <w:p w14:paraId="3C34723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25,30</w:t>
            </w:r>
          </w:p>
        </w:tc>
        <w:tc>
          <w:tcPr>
            <w:tcW w:w="1116" w:type="dxa"/>
            <w:tcBorders>
              <w:top w:val="nil"/>
              <w:left w:val="nil"/>
              <w:bottom w:val="single" w:sz="8" w:space="0" w:color="auto"/>
              <w:right w:val="single" w:sz="8" w:space="0" w:color="auto"/>
            </w:tcBorders>
            <w:shd w:val="clear" w:color="auto" w:fill="auto"/>
            <w:vAlign w:val="center"/>
            <w:hideMark/>
          </w:tcPr>
          <w:p w14:paraId="430F568B"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100.602,72</w:t>
            </w:r>
          </w:p>
        </w:tc>
      </w:tr>
      <w:tr w:rsidR="005D09BE" w:rsidRPr="00D44048" w14:paraId="00FE8E37" w14:textId="77777777" w:rsidTr="00F4450D">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169ED45A" w14:textId="77777777" w:rsidR="005D09BE" w:rsidRPr="00D44048" w:rsidRDefault="005D09BE" w:rsidP="00F4450D">
            <w:pPr>
              <w:jc w:val="both"/>
              <w:rPr>
                <w:rFonts w:ascii="Arial" w:hAnsi="Arial"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6645445B" w14:textId="77777777" w:rsidR="005D09BE" w:rsidRPr="00D44048" w:rsidRDefault="005D09BE" w:rsidP="00F4450D">
            <w:pPr>
              <w:jc w:val="center"/>
              <w:rPr>
                <w:rFonts w:ascii="Arial" w:hAnsi="Arial" w:cs="Arial"/>
                <w:sz w:val="16"/>
                <w:szCs w:val="16"/>
              </w:rPr>
            </w:pPr>
            <w:r w:rsidRPr="00D44048">
              <w:rPr>
                <w:rFonts w:ascii="Arial" w:hAnsi="Arial" w:cs="Arial"/>
                <w:sz w:val="16"/>
                <w:szCs w:val="22"/>
              </w:rPr>
              <w:t>2º</w:t>
            </w:r>
          </w:p>
        </w:tc>
        <w:tc>
          <w:tcPr>
            <w:tcW w:w="1721" w:type="dxa"/>
            <w:tcBorders>
              <w:top w:val="nil"/>
              <w:left w:val="nil"/>
              <w:bottom w:val="single" w:sz="8" w:space="0" w:color="auto"/>
              <w:right w:val="single" w:sz="8" w:space="0" w:color="auto"/>
            </w:tcBorders>
            <w:shd w:val="clear" w:color="auto" w:fill="auto"/>
            <w:vAlign w:val="center"/>
            <w:hideMark/>
          </w:tcPr>
          <w:p w14:paraId="0A5C31BA" w14:textId="77777777" w:rsidR="005D09BE" w:rsidRPr="00D44048" w:rsidRDefault="005D09BE" w:rsidP="00F4450D">
            <w:pPr>
              <w:jc w:val="center"/>
              <w:rPr>
                <w:rFonts w:ascii="Arial" w:hAnsi="Arial" w:cs="Arial"/>
                <w:sz w:val="16"/>
                <w:szCs w:val="16"/>
              </w:rPr>
            </w:pPr>
            <w:r w:rsidRPr="00D44048">
              <w:rPr>
                <w:rFonts w:ascii="Arial" w:hAnsi="Arial" w:cs="Arial"/>
                <w:sz w:val="16"/>
                <w:szCs w:val="22"/>
              </w:rPr>
              <w:t>0,522</w:t>
            </w:r>
          </w:p>
        </w:tc>
        <w:tc>
          <w:tcPr>
            <w:tcW w:w="1199" w:type="dxa"/>
            <w:tcBorders>
              <w:top w:val="nil"/>
              <w:left w:val="nil"/>
              <w:bottom w:val="single" w:sz="8" w:space="0" w:color="auto"/>
              <w:right w:val="single" w:sz="8" w:space="0" w:color="auto"/>
            </w:tcBorders>
            <w:shd w:val="clear" w:color="auto" w:fill="auto"/>
            <w:vAlign w:val="center"/>
            <w:hideMark/>
          </w:tcPr>
          <w:p w14:paraId="0DEC57CF" w14:textId="77777777" w:rsidR="005D09BE" w:rsidRPr="00D44048" w:rsidRDefault="005D09BE" w:rsidP="00F4450D">
            <w:pPr>
              <w:jc w:val="center"/>
              <w:rPr>
                <w:rFonts w:ascii="Arial" w:hAnsi="Arial" w:cs="Arial"/>
                <w:sz w:val="16"/>
                <w:szCs w:val="16"/>
              </w:rPr>
            </w:pPr>
            <w:r w:rsidRPr="00D44048">
              <w:rPr>
                <w:rFonts w:ascii="Arial" w:hAnsi="Arial" w:cs="Arial"/>
                <w:sz w:val="16"/>
                <w:szCs w:val="22"/>
              </w:rPr>
              <w:t>0,783</w:t>
            </w:r>
          </w:p>
        </w:tc>
        <w:tc>
          <w:tcPr>
            <w:tcW w:w="1247" w:type="dxa"/>
            <w:tcBorders>
              <w:top w:val="nil"/>
              <w:left w:val="nil"/>
              <w:bottom w:val="single" w:sz="8" w:space="0" w:color="auto"/>
              <w:right w:val="single" w:sz="8" w:space="0" w:color="auto"/>
            </w:tcBorders>
            <w:shd w:val="clear" w:color="auto" w:fill="auto"/>
            <w:vAlign w:val="center"/>
            <w:hideMark/>
          </w:tcPr>
          <w:p w14:paraId="3EF14C4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4A075253"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60,95</w:t>
            </w:r>
          </w:p>
        </w:tc>
        <w:tc>
          <w:tcPr>
            <w:tcW w:w="1276" w:type="dxa"/>
            <w:tcBorders>
              <w:top w:val="nil"/>
              <w:left w:val="nil"/>
              <w:bottom w:val="single" w:sz="8" w:space="0" w:color="auto"/>
              <w:right w:val="single" w:sz="8" w:space="0" w:color="auto"/>
            </w:tcBorders>
            <w:shd w:val="clear" w:color="auto" w:fill="auto"/>
            <w:vAlign w:val="center"/>
            <w:hideMark/>
          </w:tcPr>
          <w:p w14:paraId="15EE058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675701E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13,75</w:t>
            </w:r>
          </w:p>
        </w:tc>
        <w:tc>
          <w:tcPr>
            <w:tcW w:w="1117" w:type="dxa"/>
            <w:tcBorders>
              <w:top w:val="nil"/>
              <w:left w:val="nil"/>
              <w:bottom w:val="single" w:sz="8" w:space="0" w:color="auto"/>
              <w:right w:val="single" w:sz="8" w:space="0" w:color="auto"/>
            </w:tcBorders>
            <w:shd w:val="clear" w:color="auto" w:fill="auto"/>
            <w:vAlign w:val="center"/>
            <w:hideMark/>
          </w:tcPr>
          <w:p w14:paraId="0FF0F06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25.457,74</w:t>
            </w:r>
          </w:p>
        </w:tc>
        <w:tc>
          <w:tcPr>
            <w:tcW w:w="1116" w:type="dxa"/>
            <w:tcBorders>
              <w:top w:val="nil"/>
              <w:left w:val="nil"/>
              <w:bottom w:val="single" w:sz="8" w:space="0" w:color="auto"/>
              <w:right w:val="single" w:sz="8" w:space="0" w:color="auto"/>
            </w:tcBorders>
            <w:shd w:val="clear" w:color="auto" w:fill="auto"/>
            <w:vAlign w:val="center"/>
            <w:hideMark/>
          </w:tcPr>
          <w:p w14:paraId="2943986E"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25,30</w:t>
            </w:r>
          </w:p>
        </w:tc>
        <w:tc>
          <w:tcPr>
            <w:tcW w:w="1116" w:type="dxa"/>
            <w:tcBorders>
              <w:top w:val="nil"/>
              <w:left w:val="nil"/>
              <w:bottom w:val="single" w:sz="8" w:space="0" w:color="auto"/>
              <w:right w:val="single" w:sz="8" w:space="0" w:color="auto"/>
            </w:tcBorders>
            <w:shd w:val="clear" w:color="auto" w:fill="auto"/>
            <w:vAlign w:val="center"/>
            <w:hideMark/>
          </w:tcPr>
          <w:p w14:paraId="213B74DA"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100.602,72</w:t>
            </w:r>
          </w:p>
        </w:tc>
      </w:tr>
      <w:tr w:rsidR="005D09BE" w:rsidRPr="00D44048" w14:paraId="7562FB1D" w14:textId="77777777" w:rsidTr="00F4450D">
        <w:trPr>
          <w:trHeight w:val="22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40A27E3E" w14:textId="77777777" w:rsidR="005D09BE" w:rsidRPr="00D44048" w:rsidRDefault="005D09BE" w:rsidP="00F4450D">
            <w:pPr>
              <w:jc w:val="both"/>
              <w:rPr>
                <w:rFonts w:ascii="Arial" w:hAnsi="Arial" w:cs="Arial"/>
                <w:sz w:val="16"/>
                <w:szCs w:val="16"/>
              </w:rPr>
            </w:pPr>
            <w:r w:rsidRPr="00D44048">
              <w:rPr>
                <w:rFonts w:ascii="Arial" w:hAnsi="Arial" w:cs="Arial"/>
                <w:sz w:val="16"/>
                <w:szCs w:val="22"/>
              </w:rPr>
              <w:t>Fabricación y montaje</w:t>
            </w:r>
          </w:p>
        </w:tc>
        <w:tc>
          <w:tcPr>
            <w:tcW w:w="1112" w:type="dxa"/>
            <w:tcBorders>
              <w:top w:val="nil"/>
              <w:left w:val="nil"/>
              <w:bottom w:val="single" w:sz="8" w:space="0" w:color="auto"/>
              <w:right w:val="single" w:sz="8" w:space="0" w:color="auto"/>
            </w:tcBorders>
            <w:shd w:val="clear" w:color="auto" w:fill="auto"/>
            <w:vAlign w:val="center"/>
            <w:hideMark/>
          </w:tcPr>
          <w:p w14:paraId="34D1D516" w14:textId="77777777" w:rsidR="005D09BE" w:rsidRPr="00D44048" w:rsidRDefault="005D09BE" w:rsidP="00F4450D">
            <w:pPr>
              <w:jc w:val="center"/>
              <w:rPr>
                <w:rFonts w:ascii="Arial" w:hAnsi="Arial" w:cs="Arial"/>
                <w:sz w:val="16"/>
                <w:szCs w:val="16"/>
              </w:rPr>
            </w:pPr>
            <w:r w:rsidRPr="00D44048">
              <w:rPr>
                <w:rFonts w:ascii="Arial" w:hAnsi="Arial" w:cs="Arial"/>
                <w:sz w:val="16"/>
                <w:szCs w:val="22"/>
              </w:rPr>
              <w:t>1º</w:t>
            </w:r>
          </w:p>
        </w:tc>
        <w:tc>
          <w:tcPr>
            <w:tcW w:w="1721" w:type="dxa"/>
            <w:tcBorders>
              <w:top w:val="nil"/>
              <w:left w:val="nil"/>
              <w:bottom w:val="single" w:sz="8" w:space="0" w:color="auto"/>
              <w:right w:val="single" w:sz="8" w:space="0" w:color="auto"/>
            </w:tcBorders>
            <w:shd w:val="clear" w:color="auto" w:fill="auto"/>
            <w:vAlign w:val="center"/>
            <w:hideMark/>
          </w:tcPr>
          <w:p w14:paraId="70E873A6" w14:textId="77777777" w:rsidR="005D09BE" w:rsidRPr="00D44048" w:rsidRDefault="005D09BE" w:rsidP="00F4450D">
            <w:pPr>
              <w:jc w:val="center"/>
              <w:rPr>
                <w:rFonts w:ascii="Arial" w:hAnsi="Arial" w:cs="Arial"/>
                <w:sz w:val="16"/>
                <w:szCs w:val="16"/>
              </w:rPr>
            </w:pPr>
            <w:r w:rsidRPr="00D44048">
              <w:rPr>
                <w:rFonts w:ascii="Arial" w:hAnsi="Arial" w:cs="Arial"/>
                <w:sz w:val="16"/>
                <w:szCs w:val="22"/>
              </w:rPr>
              <w:t>0,522</w:t>
            </w:r>
          </w:p>
        </w:tc>
        <w:tc>
          <w:tcPr>
            <w:tcW w:w="1199" w:type="dxa"/>
            <w:tcBorders>
              <w:top w:val="nil"/>
              <w:left w:val="nil"/>
              <w:bottom w:val="single" w:sz="8" w:space="0" w:color="auto"/>
              <w:right w:val="single" w:sz="8" w:space="0" w:color="auto"/>
            </w:tcBorders>
            <w:shd w:val="clear" w:color="auto" w:fill="auto"/>
            <w:vAlign w:val="center"/>
            <w:hideMark/>
          </w:tcPr>
          <w:p w14:paraId="20A98C29" w14:textId="77777777" w:rsidR="005D09BE" w:rsidRPr="00D44048" w:rsidRDefault="005D09BE" w:rsidP="00F4450D">
            <w:pPr>
              <w:jc w:val="center"/>
              <w:rPr>
                <w:rFonts w:ascii="Arial" w:hAnsi="Arial" w:cs="Arial"/>
                <w:sz w:val="16"/>
                <w:szCs w:val="16"/>
              </w:rPr>
            </w:pPr>
            <w:r w:rsidRPr="00D44048">
              <w:rPr>
                <w:rFonts w:ascii="Arial" w:hAnsi="Arial" w:cs="Arial"/>
                <w:sz w:val="16"/>
                <w:szCs w:val="22"/>
              </w:rPr>
              <w:t>0,783</w:t>
            </w:r>
          </w:p>
        </w:tc>
        <w:tc>
          <w:tcPr>
            <w:tcW w:w="1247" w:type="dxa"/>
            <w:tcBorders>
              <w:top w:val="nil"/>
              <w:left w:val="nil"/>
              <w:bottom w:val="single" w:sz="8" w:space="0" w:color="auto"/>
              <w:right w:val="single" w:sz="8" w:space="0" w:color="auto"/>
            </w:tcBorders>
            <w:shd w:val="clear" w:color="auto" w:fill="auto"/>
            <w:vAlign w:val="center"/>
            <w:hideMark/>
          </w:tcPr>
          <w:p w14:paraId="2372C74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0552D19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60,81</w:t>
            </w:r>
          </w:p>
        </w:tc>
        <w:tc>
          <w:tcPr>
            <w:tcW w:w="1276" w:type="dxa"/>
            <w:tcBorders>
              <w:top w:val="nil"/>
              <w:left w:val="nil"/>
              <w:bottom w:val="single" w:sz="8" w:space="0" w:color="auto"/>
              <w:right w:val="single" w:sz="8" w:space="0" w:color="auto"/>
            </w:tcBorders>
            <w:shd w:val="clear" w:color="auto" w:fill="auto"/>
            <w:vAlign w:val="center"/>
            <w:hideMark/>
          </w:tcPr>
          <w:p w14:paraId="553F8AE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01C0EC8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13,72</w:t>
            </w:r>
          </w:p>
        </w:tc>
        <w:tc>
          <w:tcPr>
            <w:tcW w:w="1117" w:type="dxa"/>
            <w:tcBorders>
              <w:top w:val="nil"/>
              <w:left w:val="nil"/>
              <w:bottom w:val="single" w:sz="8" w:space="0" w:color="auto"/>
              <w:right w:val="single" w:sz="8" w:space="0" w:color="auto"/>
            </w:tcBorders>
            <w:shd w:val="clear" w:color="auto" w:fill="auto"/>
            <w:vAlign w:val="center"/>
            <w:hideMark/>
          </w:tcPr>
          <w:p w14:paraId="613FCA3E"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25.676,17</w:t>
            </w:r>
          </w:p>
        </w:tc>
        <w:tc>
          <w:tcPr>
            <w:tcW w:w="1116" w:type="dxa"/>
            <w:tcBorders>
              <w:top w:val="nil"/>
              <w:left w:val="nil"/>
              <w:bottom w:val="single" w:sz="8" w:space="0" w:color="auto"/>
              <w:right w:val="single" w:sz="8" w:space="0" w:color="auto"/>
            </w:tcBorders>
            <w:shd w:val="clear" w:color="auto" w:fill="auto"/>
            <w:vAlign w:val="center"/>
            <w:hideMark/>
          </w:tcPr>
          <w:p w14:paraId="673E916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25,47</w:t>
            </w:r>
          </w:p>
        </w:tc>
        <w:tc>
          <w:tcPr>
            <w:tcW w:w="1116" w:type="dxa"/>
            <w:tcBorders>
              <w:top w:val="nil"/>
              <w:left w:val="nil"/>
              <w:bottom w:val="single" w:sz="8" w:space="0" w:color="auto"/>
              <w:right w:val="single" w:sz="8" w:space="0" w:color="auto"/>
            </w:tcBorders>
            <w:shd w:val="clear" w:color="auto" w:fill="auto"/>
            <w:vAlign w:val="center"/>
            <w:hideMark/>
          </w:tcPr>
          <w:p w14:paraId="665C137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100.821,15</w:t>
            </w:r>
          </w:p>
        </w:tc>
      </w:tr>
      <w:tr w:rsidR="005D09BE" w:rsidRPr="00D44048" w14:paraId="0299FF39" w14:textId="77777777" w:rsidTr="00F4450D">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71488DA7" w14:textId="77777777" w:rsidR="005D09BE" w:rsidRPr="00D44048" w:rsidRDefault="005D09BE" w:rsidP="00F4450D">
            <w:pPr>
              <w:jc w:val="both"/>
              <w:rPr>
                <w:rFonts w:ascii="Arial" w:hAnsi="Arial"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076F4545" w14:textId="77777777" w:rsidR="005D09BE" w:rsidRPr="00D44048" w:rsidRDefault="005D09BE" w:rsidP="00F4450D">
            <w:pPr>
              <w:jc w:val="center"/>
              <w:rPr>
                <w:rFonts w:ascii="Arial" w:hAnsi="Arial" w:cs="Arial"/>
                <w:sz w:val="16"/>
                <w:szCs w:val="16"/>
              </w:rPr>
            </w:pPr>
            <w:r w:rsidRPr="00D44048">
              <w:rPr>
                <w:rFonts w:ascii="Arial" w:hAnsi="Arial" w:cs="Arial"/>
                <w:sz w:val="16"/>
                <w:szCs w:val="22"/>
              </w:rPr>
              <w:t>2º</w:t>
            </w:r>
          </w:p>
        </w:tc>
        <w:tc>
          <w:tcPr>
            <w:tcW w:w="1721" w:type="dxa"/>
            <w:tcBorders>
              <w:top w:val="nil"/>
              <w:left w:val="nil"/>
              <w:bottom w:val="single" w:sz="8" w:space="0" w:color="auto"/>
              <w:right w:val="single" w:sz="8" w:space="0" w:color="auto"/>
            </w:tcBorders>
            <w:shd w:val="clear" w:color="auto" w:fill="auto"/>
            <w:vAlign w:val="center"/>
            <w:hideMark/>
          </w:tcPr>
          <w:p w14:paraId="52C11672" w14:textId="77777777" w:rsidR="005D09BE" w:rsidRPr="00D44048" w:rsidRDefault="005D09BE" w:rsidP="00F4450D">
            <w:pPr>
              <w:jc w:val="center"/>
              <w:rPr>
                <w:rFonts w:ascii="Arial" w:hAnsi="Arial" w:cs="Arial"/>
                <w:sz w:val="16"/>
                <w:szCs w:val="16"/>
              </w:rPr>
            </w:pPr>
            <w:r w:rsidRPr="00D44048">
              <w:rPr>
                <w:rFonts w:ascii="Arial" w:hAnsi="Arial" w:cs="Arial"/>
                <w:sz w:val="16"/>
                <w:szCs w:val="22"/>
              </w:rPr>
              <w:t>0,522</w:t>
            </w:r>
          </w:p>
        </w:tc>
        <w:tc>
          <w:tcPr>
            <w:tcW w:w="1199" w:type="dxa"/>
            <w:tcBorders>
              <w:top w:val="nil"/>
              <w:left w:val="nil"/>
              <w:bottom w:val="single" w:sz="8" w:space="0" w:color="auto"/>
              <w:right w:val="single" w:sz="8" w:space="0" w:color="auto"/>
            </w:tcBorders>
            <w:shd w:val="clear" w:color="auto" w:fill="auto"/>
            <w:vAlign w:val="center"/>
            <w:hideMark/>
          </w:tcPr>
          <w:p w14:paraId="5486FDF6" w14:textId="77777777" w:rsidR="005D09BE" w:rsidRPr="00D44048" w:rsidRDefault="005D09BE" w:rsidP="00F4450D">
            <w:pPr>
              <w:jc w:val="center"/>
              <w:rPr>
                <w:rFonts w:ascii="Arial" w:hAnsi="Arial" w:cs="Arial"/>
                <w:sz w:val="16"/>
                <w:szCs w:val="16"/>
              </w:rPr>
            </w:pPr>
            <w:r w:rsidRPr="00D44048">
              <w:rPr>
                <w:rFonts w:ascii="Arial" w:hAnsi="Arial" w:cs="Arial"/>
                <w:sz w:val="16"/>
                <w:szCs w:val="22"/>
              </w:rPr>
              <w:t>0,783</w:t>
            </w:r>
          </w:p>
        </w:tc>
        <w:tc>
          <w:tcPr>
            <w:tcW w:w="1247" w:type="dxa"/>
            <w:tcBorders>
              <w:top w:val="nil"/>
              <w:left w:val="nil"/>
              <w:bottom w:val="single" w:sz="8" w:space="0" w:color="auto"/>
              <w:right w:val="single" w:sz="8" w:space="0" w:color="auto"/>
            </w:tcBorders>
            <w:shd w:val="clear" w:color="auto" w:fill="auto"/>
            <w:vAlign w:val="center"/>
            <w:hideMark/>
          </w:tcPr>
          <w:p w14:paraId="59C9AB7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28C30F8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60,81</w:t>
            </w:r>
          </w:p>
        </w:tc>
        <w:tc>
          <w:tcPr>
            <w:tcW w:w="1276" w:type="dxa"/>
            <w:tcBorders>
              <w:top w:val="nil"/>
              <w:left w:val="nil"/>
              <w:bottom w:val="single" w:sz="8" w:space="0" w:color="auto"/>
              <w:right w:val="single" w:sz="8" w:space="0" w:color="auto"/>
            </w:tcBorders>
            <w:shd w:val="clear" w:color="auto" w:fill="auto"/>
            <w:vAlign w:val="center"/>
            <w:hideMark/>
          </w:tcPr>
          <w:p w14:paraId="5E378316"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12ACC30E"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13,72</w:t>
            </w:r>
          </w:p>
        </w:tc>
        <w:tc>
          <w:tcPr>
            <w:tcW w:w="1117" w:type="dxa"/>
            <w:tcBorders>
              <w:top w:val="nil"/>
              <w:left w:val="nil"/>
              <w:bottom w:val="single" w:sz="8" w:space="0" w:color="auto"/>
              <w:right w:val="single" w:sz="8" w:space="0" w:color="auto"/>
            </w:tcBorders>
            <w:shd w:val="clear" w:color="auto" w:fill="auto"/>
            <w:vAlign w:val="center"/>
            <w:hideMark/>
          </w:tcPr>
          <w:p w14:paraId="08C39E5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25.676,17</w:t>
            </w:r>
          </w:p>
        </w:tc>
        <w:tc>
          <w:tcPr>
            <w:tcW w:w="1116" w:type="dxa"/>
            <w:tcBorders>
              <w:top w:val="nil"/>
              <w:left w:val="nil"/>
              <w:bottom w:val="single" w:sz="8" w:space="0" w:color="auto"/>
              <w:right w:val="single" w:sz="8" w:space="0" w:color="auto"/>
            </w:tcBorders>
            <w:shd w:val="clear" w:color="auto" w:fill="auto"/>
            <w:vAlign w:val="center"/>
            <w:hideMark/>
          </w:tcPr>
          <w:p w14:paraId="539D660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25,47</w:t>
            </w:r>
          </w:p>
        </w:tc>
        <w:tc>
          <w:tcPr>
            <w:tcW w:w="1116" w:type="dxa"/>
            <w:tcBorders>
              <w:top w:val="nil"/>
              <w:left w:val="nil"/>
              <w:bottom w:val="single" w:sz="8" w:space="0" w:color="auto"/>
              <w:right w:val="single" w:sz="8" w:space="0" w:color="auto"/>
            </w:tcBorders>
            <w:shd w:val="clear" w:color="auto" w:fill="auto"/>
            <w:vAlign w:val="center"/>
            <w:hideMark/>
          </w:tcPr>
          <w:p w14:paraId="5860549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100.821,15</w:t>
            </w:r>
          </w:p>
        </w:tc>
      </w:tr>
      <w:tr w:rsidR="005D09BE" w:rsidRPr="00D44048" w14:paraId="7D2679D0" w14:textId="77777777" w:rsidTr="00F4450D">
        <w:trPr>
          <w:trHeight w:val="49"/>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68E0E36E" w14:textId="77777777" w:rsidR="005D09BE" w:rsidRPr="00D44048" w:rsidRDefault="005D09BE" w:rsidP="00F4450D">
            <w:pPr>
              <w:jc w:val="both"/>
              <w:rPr>
                <w:rFonts w:ascii="Arial" w:hAnsi="Arial" w:cs="Arial"/>
                <w:sz w:val="16"/>
                <w:szCs w:val="16"/>
              </w:rPr>
            </w:pPr>
            <w:r w:rsidRPr="00D44048">
              <w:rPr>
                <w:rFonts w:ascii="Arial" w:hAnsi="Arial" w:cs="Arial"/>
                <w:sz w:val="16"/>
                <w:szCs w:val="22"/>
              </w:rPr>
              <w:t>Reforma y Mantenimiento de Edificios</w:t>
            </w:r>
          </w:p>
        </w:tc>
        <w:tc>
          <w:tcPr>
            <w:tcW w:w="1112" w:type="dxa"/>
            <w:tcBorders>
              <w:top w:val="nil"/>
              <w:left w:val="nil"/>
              <w:bottom w:val="single" w:sz="8" w:space="0" w:color="auto"/>
              <w:right w:val="single" w:sz="8" w:space="0" w:color="auto"/>
            </w:tcBorders>
            <w:shd w:val="clear" w:color="auto" w:fill="auto"/>
            <w:vAlign w:val="center"/>
            <w:hideMark/>
          </w:tcPr>
          <w:p w14:paraId="1681D5DF" w14:textId="77777777" w:rsidR="005D09BE" w:rsidRPr="00D44048" w:rsidRDefault="005D09BE" w:rsidP="00F4450D">
            <w:pPr>
              <w:jc w:val="center"/>
              <w:rPr>
                <w:rFonts w:ascii="Arial" w:hAnsi="Arial" w:cs="Arial"/>
                <w:sz w:val="16"/>
                <w:szCs w:val="16"/>
              </w:rPr>
            </w:pPr>
            <w:r w:rsidRPr="00D44048">
              <w:rPr>
                <w:rFonts w:ascii="Arial" w:hAnsi="Arial" w:cs="Arial"/>
                <w:sz w:val="16"/>
                <w:szCs w:val="22"/>
              </w:rPr>
              <w:t>1º</w:t>
            </w:r>
          </w:p>
        </w:tc>
        <w:tc>
          <w:tcPr>
            <w:tcW w:w="1721" w:type="dxa"/>
            <w:tcBorders>
              <w:top w:val="nil"/>
              <w:left w:val="nil"/>
              <w:bottom w:val="single" w:sz="8" w:space="0" w:color="auto"/>
              <w:right w:val="single" w:sz="8" w:space="0" w:color="auto"/>
            </w:tcBorders>
            <w:shd w:val="clear" w:color="auto" w:fill="auto"/>
            <w:vAlign w:val="center"/>
            <w:hideMark/>
          </w:tcPr>
          <w:p w14:paraId="0DF68D81" w14:textId="77777777" w:rsidR="005D09BE" w:rsidRPr="00D44048" w:rsidRDefault="005D09BE" w:rsidP="00F4450D">
            <w:pPr>
              <w:jc w:val="center"/>
              <w:rPr>
                <w:rFonts w:ascii="Arial" w:hAnsi="Arial" w:cs="Arial"/>
                <w:sz w:val="16"/>
                <w:szCs w:val="16"/>
              </w:rPr>
            </w:pPr>
            <w:r w:rsidRPr="00D44048">
              <w:rPr>
                <w:rFonts w:ascii="Arial" w:hAnsi="Arial" w:cs="Arial"/>
                <w:sz w:val="16"/>
                <w:szCs w:val="22"/>
              </w:rPr>
              <w:t>0,522</w:t>
            </w:r>
          </w:p>
        </w:tc>
        <w:tc>
          <w:tcPr>
            <w:tcW w:w="1199" w:type="dxa"/>
            <w:tcBorders>
              <w:top w:val="nil"/>
              <w:left w:val="nil"/>
              <w:bottom w:val="single" w:sz="8" w:space="0" w:color="auto"/>
              <w:right w:val="single" w:sz="8" w:space="0" w:color="auto"/>
            </w:tcBorders>
            <w:shd w:val="clear" w:color="auto" w:fill="auto"/>
            <w:vAlign w:val="center"/>
            <w:hideMark/>
          </w:tcPr>
          <w:p w14:paraId="469F37E6" w14:textId="77777777" w:rsidR="005D09BE" w:rsidRPr="00D44048" w:rsidRDefault="005D09BE" w:rsidP="00F4450D">
            <w:pPr>
              <w:jc w:val="center"/>
              <w:rPr>
                <w:rFonts w:ascii="Arial" w:hAnsi="Arial" w:cs="Arial"/>
                <w:sz w:val="16"/>
                <w:szCs w:val="16"/>
              </w:rPr>
            </w:pPr>
            <w:r w:rsidRPr="00D44048">
              <w:rPr>
                <w:rFonts w:ascii="Arial" w:hAnsi="Arial" w:cs="Arial"/>
                <w:sz w:val="16"/>
                <w:szCs w:val="22"/>
              </w:rPr>
              <w:t>0,783</w:t>
            </w:r>
          </w:p>
        </w:tc>
        <w:tc>
          <w:tcPr>
            <w:tcW w:w="1247" w:type="dxa"/>
            <w:tcBorders>
              <w:top w:val="nil"/>
              <w:left w:val="nil"/>
              <w:bottom w:val="single" w:sz="8" w:space="0" w:color="auto"/>
              <w:right w:val="single" w:sz="8" w:space="0" w:color="auto"/>
            </w:tcBorders>
            <w:shd w:val="clear" w:color="auto" w:fill="auto"/>
            <w:vAlign w:val="center"/>
            <w:hideMark/>
          </w:tcPr>
          <w:p w14:paraId="65304892"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085CF6F6"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59,23</w:t>
            </w:r>
          </w:p>
        </w:tc>
        <w:tc>
          <w:tcPr>
            <w:tcW w:w="1276" w:type="dxa"/>
            <w:tcBorders>
              <w:top w:val="nil"/>
              <w:left w:val="nil"/>
              <w:bottom w:val="single" w:sz="8" w:space="0" w:color="auto"/>
              <w:right w:val="single" w:sz="8" w:space="0" w:color="auto"/>
            </w:tcBorders>
            <w:shd w:val="clear" w:color="auto" w:fill="auto"/>
            <w:vAlign w:val="center"/>
            <w:hideMark/>
          </w:tcPr>
          <w:p w14:paraId="717B00C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16D8A73C"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13,36</w:t>
            </w:r>
          </w:p>
        </w:tc>
        <w:tc>
          <w:tcPr>
            <w:tcW w:w="1117" w:type="dxa"/>
            <w:tcBorders>
              <w:top w:val="nil"/>
              <w:left w:val="nil"/>
              <w:bottom w:val="single" w:sz="8" w:space="0" w:color="auto"/>
              <w:right w:val="single" w:sz="8" w:space="0" w:color="auto"/>
            </w:tcBorders>
            <w:shd w:val="clear" w:color="auto" w:fill="auto"/>
            <w:vAlign w:val="center"/>
            <w:hideMark/>
          </w:tcPr>
          <w:p w14:paraId="1094686A"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28.380,06</w:t>
            </w:r>
          </w:p>
        </w:tc>
        <w:tc>
          <w:tcPr>
            <w:tcW w:w="1116" w:type="dxa"/>
            <w:tcBorders>
              <w:top w:val="nil"/>
              <w:left w:val="nil"/>
              <w:bottom w:val="single" w:sz="8" w:space="0" w:color="auto"/>
              <w:right w:val="single" w:sz="8" w:space="0" w:color="auto"/>
            </w:tcBorders>
            <w:shd w:val="clear" w:color="auto" w:fill="auto"/>
            <w:vAlign w:val="center"/>
            <w:hideMark/>
          </w:tcPr>
          <w:p w14:paraId="2876662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27,41</w:t>
            </w:r>
          </w:p>
        </w:tc>
        <w:tc>
          <w:tcPr>
            <w:tcW w:w="1116" w:type="dxa"/>
            <w:tcBorders>
              <w:top w:val="nil"/>
              <w:left w:val="nil"/>
              <w:bottom w:val="single" w:sz="8" w:space="0" w:color="auto"/>
              <w:right w:val="single" w:sz="8" w:space="0" w:color="auto"/>
            </w:tcBorders>
            <w:shd w:val="clear" w:color="auto" w:fill="auto"/>
            <w:vAlign w:val="center"/>
            <w:hideMark/>
          </w:tcPr>
          <w:p w14:paraId="6139B01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103.525,04</w:t>
            </w:r>
          </w:p>
        </w:tc>
      </w:tr>
      <w:tr w:rsidR="005D09BE" w:rsidRPr="00D44048" w14:paraId="3F280ACB" w14:textId="77777777" w:rsidTr="00F4450D">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481C17A0" w14:textId="77777777" w:rsidR="005D09BE" w:rsidRPr="00D44048" w:rsidRDefault="005D09BE" w:rsidP="00F4450D">
            <w:pPr>
              <w:jc w:val="both"/>
              <w:rPr>
                <w:rFonts w:ascii="Arial" w:hAnsi="Arial"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78C320B9" w14:textId="77777777" w:rsidR="005D09BE" w:rsidRPr="00D44048" w:rsidRDefault="005D09BE" w:rsidP="00F4450D">
            <w:pPr>
              <w:jc w:val="center"/>
              <w:rPr>
                <w:rFonts w:ascii="Arial" w:hAnsi="Arial" w:cs="Arial"/>
                <w:sz w:val="16"/>
                <w:szCs w:val="16"/>
              </w:rPr>
            </w:pPr>
            <w:r w:rsidRPr="00D44048">
              <w:rPr>
                <w:rFonts w:ascii="Arial" w:hAnsi="Arial" w:cs="Arial"/>
                <w:sz w:val="16"/>
                <w:szCs w:val="22"/>
              </w:rPr>
              <w:t>2º</w:t>
            </w:r>
          </w:p>
        </w:tc>
        <w:tc>
          <w:tcPr>
            <w:tcW w:w="1721" w:type="dxa"/>
            <w:tcBorders>
              <w:top w:val="nil"/>
              <w:left w:val="nil"/>
              <w:bottom w:val="single" w:sz="8" w:space="0" w:color="auto"/>
              <w:right w:val="single" w:sz="8" w:space="0" w:color="auto"/>
            </w:tcBorders>
            <w:shd w:val="clear" w:color="auto" w:fill="auto"/>
            <w:vAlign w:val="center"/>
            <w:hideMark/>
          </w:tcPr>
          <w:p w14:paraId="70CB63F9" w14:textId="77777777" w:rsidR="005D09BE" w:rsidRPr="00D44048" w:rsidRDefault="005D09BE" w:rsidP="00F4450D">
            <w:pPr>
              <w:jc w:val="center"/>
              <w:rPr>
                <w:rFonts w:ascii="Arial" w:hAnsi="Arial" w:cs="Arial"/>
                <w:sz w:val="16"/>
                <w:szCs w:val="16"/>
              </w:rPr>
            </w:pPr>
            <w:r w:rsidRPr="00D44048">
              <w:rPr>
                <w:rFonts w:ascii="Arial" w:hAnsi="Arial" w:cs="Arial"/>
                <w:sz w:val="16"/>
                <w:szCs w:val="22"/>
              </w:rPr>
              <w:t>0,522</w:t>
            </w:r>
          </w:p>
        </w:tc>
        <w:tc>
          <w:tcPr>
            <w:tcW w:w="1199" w:type="dxa"/>
            <w:tcBorders>
              <w:top w:val="nil"/>
              <w:left w:val="nil"/>
              <w:bottom w:val="single" w:sz="8" w:space="0" w:color="auto"/>
              <w:right w:val="single" w:sz="8" w:space="0" w:color="auto"/>
            </w:tcBorders>
            <w:shd w:val="clear" w:color="auto" w:fill="auto"/>
            <w:vAlign w:val="center"/>
            <w:hideMark/>
          </w:tcPr>
          <w:p w14:paraId="45C73095" w14:textId="77777777" w:rsidR="005D09BE" w:rsidRPr="00D44048" w:rsidRDefault="005D09BE" w:rsidP="00F4450D">
            <w:pPr>
              <w:jc w:val="center"/>
              <w:rPr>
                <w:rFonts w:ascii="Arial" w:hAnsi="Arial" w:cs="Arial"/>
                <w:sz w:val="16"/>
                <w:szCs w:val="16"/>
              </w:rPr>
            </w:pPr>
            <w:r w:rsidRPr="00D44048">
              <w:rPr>
                <w:rFonts w:ascii="Arial" w:hAnsi="Arial" w:cs="Arial"/>
                <w:sz w:val="16"/>
                <w:szCs w:val="22"/>
              </w:rPr>
              <w:t>0,783</w:t>
            </w:r>
          </w:p>
        </w:tc>
        <w:tc>
          <w:tcPr>
            <w:tcW w:w="1247" w:type="dxa"/>
            <w:tcBorders>
              <w:top w:val="nil"/>
              <w:left w:val="nil"/>
              <w:bottom w:val="single" w:sz="8" w:space="0" w:color="auto"/>
              <w:right w:val="single" w:sz="8" w:space="0" w:color="auto"/>
            </w:tcBorders>
            <w:shd w:val="clear" w:color="auto" w:fill="auto"/>
            <w:vAlign w:val="center"/>
            <w:hideMark/>
          </w:tcPr>
          <w:p w14:paraId="059F97FA"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56960F1C"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59,23</w:t>
            </w:r>
          </w:p>
        </w:tc>
        <w:tc>
          <w:tcPr>
            <w:tcW w:w="1276" w:type="dxa"/>
            <w:tcBorders>
              <w:top w:val="nil"/>
              <w:left w:val="nil"/>
              <w:bottom w:val="single" w:sz="8" w:space="0" w:color="auto"/>
              <w:right w:val="single" w:sz="8" w:space="0" w:color="auto"/>
            </w:tcBorders>
            <w:shd w:val="clear" w:color="auto" w:fill="auto"/>
            <w:vAlign w:val="center"/>
            <w:hideMark/>
          </w:tcPr>
          <w:p w14:paraId="55CE9557"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7144013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13,36</w:t>
            </w:r>
          </w:p>
        </w:tc>
        <w:tc>
          <w:tcPr>
            <w:tcW w:w="1117" w:type="dxa"/>
            <w:tcBorders>
              <w:top w:val="nil"/>
              <w:left w:val="nil"/>
              <w:bottom w:val="single" w:sz="8" w:space="0" w:color="auto"/>
              <w:right w:val="single" w:sz="8" w:space="0" w:color="auto"/>
            </w:tcBorders>
            <w:shd w:val="clear" w:color="auto" w:fill="auto"/>
            <w:vAlign w:val="center"/>
            <w:hideMark/>
          </w:tcPr>
          <w:p w14:paraId="58EFC0A5"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28.380,06</w:t>
            </w:r>
          </w:p>
        </w:tc>
        <w:tc>
          <w:tcPr>
            <w:tcW w:w="1116" w:type="dxa"/>
            <w:tcBorders>
              <w:top w:val="nil"/>
              <w:left w:val="nil"/>
              <w:bottom w:val="single" w:sz="8" w:space="0" w:color="auto"/>
              <w:right w:val="single" w:sz="8" w:space="0" w:color="auto"/>
            </w:tcBorders>
            <w:shd w:val="clear" w:color="auto" w:fill="auto"/>
            <w:vAlign w:val="center"/>
            <w:hideMark/>
          </w:tcPr>
          <w:p w14:paraId="00BE6B2A"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27,41</w:t>
            </w:r>
          </w:p>
        </w:tc>
        <w:tc>
          <w:tcPr>
            <w:tcW w:w="1116" w:type="dxa"/>
            <w:tcBorders>
              <w:top w:val="nil"/>
              <w:left w:val="nil"/>
              <w:bottom w:val="single" w:sz="8" w:space="0" w:color="auto"/>
              <w:right w:val="single" w:sz="8" w:space="0" w:color="auto"/>
            </w:tcBorders>
            <w:shd w:val="clear" w:color="auto" w:fill="auto"/>
            <w:vAlign w:val="center"/>
            <w:hideMark/>
          </w:tcPr>
          <w:p w14:paraId="2421C8FB"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103.525,04</w:t>
            </w:r>
          </w:p>
        </w:tc>
      </w:tr>
    </w:tbl>
    <w:p w14:paraId="7E32E944" w14:textId="77777777" w:rsidR="005D09BE" w:rsidRPr="00D44048" w:rsidRDefault="005D09BE" w:rsidP="005D09BE">
      <w:pPr>
        <w:pStyle w:val="DICTA-TEXTO"/>
        <w:tabs>
          <w:tab w:val="clear" w:pos="992"/>
        </w:tabs>
        <w:spacing w:after="0" w:line="240" w:lineRule="auto"/>
        <w:ind w:firstLine="0"/>
        <w:rPr>
          <w:rFonts w:cs="Arial"/>
          <w:sz w:val="20"/>
          <w:lang w:val="es-ES_tradnl"/>
        </w:rPr>
      </w:pPr>
    </w:p>
    <w:p w14:paraId="022BE439" w14:textId="77777777" w:rsidR="005D09BE" w:rsidRPr="00D44048" w:rsidRDefault="005D09BE" w:rsidP="005D09BE">
      <w:pPr>
        <w:jc w:val="both"/>
        <w:rPr>
          <w:rFonts w:ascii="Arial" w:hAnsi="Arial" w:cs="Arial"/>
          <w:sz w:val="16"/>
          <w:szCs w:val="16"/>
        </w:rPr>
      </w:pPr>
      <w:r w:rsidRPr="00D44048">
        <w:rPr>
          <w:rFonts w:ascii="Arial" w:hAnsi="Arial" w:cs="Arial"/>
          <w:sz w:val="16"/>
          <w:szCs w:val="16"/>
        </w:rPr>
        <w:t>Las ratios del profesorado titular de los niveles de Educación Infantil y Primaria están calculadas con una jornada de 23 horas de docencia directa semanales.</w:t>
      </w:r>
    </w:p>
    <w:p w14:paraId="68DEFE66" w14:textId="77777777" w:rsidR="005D09BE" w:rsidRPr="00D44048" w:rsidRDefault="005D09BE" w:rsidP="005D09BE">
      <w:pPr>
        <w:jc w:val="both"/>
        <w:rPr>
          <w:rFonts w:ascii="Arial" w:hAnsi="Arial" w:cs="Arial"/>
          <w:sz w:val="16"/>
          <w:szCs w:val="16"/>
        </w:rPr>
      </w:pPr>
    </w:p>
    <w:p w14:paraId="4DD288E4" w14:textId="77777777" w:rsidR="005D09BE" w:rsidRPr="00D44048" w:rsidRDefault="005D09BE" w:rsidP="005D09BE">
      <w:pPr>
        <w:jc w:val="both"/>
        <w:rPr>
          <w:rFonts w:ascii="Arial" w:hAnsi="Arial" w:cs="Arial"/>
          <w:sz w:val="16"/>
          <w:szCs w:val="16"/>
        </w:rPr>
      </w:pPr>
      <w:r w:rsidRPr="00D44048">
        <w:rPr>
          <w:rFonts w:ascii="Arial" w:hAnsi="Arial" w:cs="Arial"/>
          <w:sz w:val="16"/>
          <w:szCs w:val="16"/>
        </w:rPr>
        <w:t>Las ratios del profesorado titular de Educación Secundaria y Agregado están calculadas con una jornada de 23 horas lectivas semanales</w:t>
      </w:r>
    </w:p>
    <w:p w14:paraId="20DA6AA5" w14:textId="77777777" w:rsidR="005D09BE" w:rsidRPr="00D44048" w:rsidRDefault="005D09BE" w:rsidP="005D09BE">
      <w:pPr>
        <w:pStyle w:val="DICTA-TEXTO"/>
        <w:tabs>
          <w:tab w:val="clear" w:pos="992"/>
        </w:tabs>
        <w:spacing w:after="0" w:line="240" w:lineRule="auto"/>
        <w:ind w:firstLine="0"/>
        <w:rPr>
          <w:rFonts w:cs="Arial"/>
          <w:sz w:val="16"/>
          <w:szCs w:val="16"/>
          <w:lang w:val="es-ES_tradnl"/>
        </w:rPr>
      </w:pPr>
    </w:p>
    <w:p w14:paraId="763A1148" w14:textId="77777777" w:rsidR="005D09BE" w:rsidRPr="00D44048" w:rsidRDefault="005D09BE" w:rsidP="005D09BE">
      <w:pPr>
        <w:rPr>
          <w:rFonts w:ascii="Arial" w:hAnsi="Arial" w:cs="Arial"/>
          <w:sz w:val="20"/>
        </w:rPr>
      </w:pPr>
      <w:r w:rsidRPr="00D44048">
        <w:rPr>
          <w:rFonts w:ascii="Arial" w:hAnsi="Arial" w:cs="Arial"/>
          <w:sz w:val="20"/>
        </w:rPr>
        <w:br w:type="page"/>
      </w:r>
    </w:p>
    <w:p w14:paraId="2CB5F317" w14:textId="77777777" w:rsidR="005D09BE" w:rsidRPr="00D44048" w:rsidRDefault="005D09BE" w:rsidP="005D09BE">
      <w:pPr>
        <w:pStyle w:val="DICTA-TEXTO"/>
        <w:tabs>
          <w:tab w:val="clear" w:pos="992"/>
        </w:tabs>
        <w:spacing w:after="0" w:line="240" w:lineRule="auto"/>
        <w:ind w:firstLine="0"/>
        <w:rPr>
          <w:rFonts w:cs="Arial"/>
          <w:sz w:val="20"/>
          <w:lang w:val="es-ES_tradnl"/>
        </w:rPr>
      </w:pPr>
    </w:p>
    <w:p w14:paraId="5B3B7D9D" w14:textId="77777777" w:rsidR="005D09BE" w:rsidRPr="00D44048" w:rsidRDefault="005D09BE" w:rsidP="005D09BE">
      <w:pPr>
        <w:pStyle w:val="DICTA-TEXTO"/>
        <w:tabs>
          <w:tab w:val="clear" w:pos="992"/>
        </w:tabs>
        <w:spacing w:after="0" w:line="240" w:lineRule="auto"/>
        <w:ind w:firstLine="0"/>
        <w:rPr>
          <w:rFonts w:cs="Arial"/>
          <w:sz w:val="20"/>
          <w:lang w:val="es-ES_tradnl"/>
        </w:rPr>
      </w:pPr>
      <w:r w:rsidRPr="00D44048">
        <w:rPr>
          <w:rFonts w:cs="Arial"/>
          <w:sz w:val="20"/>
          <w:lang w:val="es-ES_tradnl"/>
        </w:rPr>
        <w:t>MÓDULOS ENTIDADES SIN ÁNIMO DE LUCRO</w:t>
      </w:r>
    </w:p>
    <w:p w14:paraId="144EDC16" w14:textId="77777777" w:rsidR="005D09BE" w:rsidRPr="00D44048" w:rsidRDefault="005D09BE" w:rsidP="005D09BE">
      <w:pPr>
        <w:pStyle w:val="DICTA-TEXTO"/>
        <w:tabs>
          <w:tab w:val="clear" w:pos="992"/>
        </w:tabs>
        <w:spacing w:after="0" w:line="240" w:lineRule="auto"/>
        <w:ind w:firstLine="0"/>
        <w:rPr>
          <w:rFonts w:cs="Arial"/>
          <w:sz w:val="20"/>
          <w:lang w:val="es-ES_tradnl"/>
        </w:rPr>
      </w:pPr>
    </w:p>
    <w:tbl>
      <w:tblPr>
        <w:tblW w:w="8279" w:type="dxa"/>
        <w:tblCellMar>
          <w:left w:w="70" w:type="dxa"/>
          <w:right w:w="70" w:type="dxa"/>
        </w:tblCellMar>
        <w:tblLook w:val="04A0" w:firstRow="1" w:lastRow="0" w:firstColumn="1" w:lastColumn="0" w:noHBand="0" w:noVBand="1"/>
      </w:tblPr>
      <w:tblGrid>
        <w:gridCol w:w="4735"/>
        <w:gridCol w:w="1701"/>
        <w:gridCol w:w="1843"/>
      </w:tblGrid>
      <w:tr w:rsidR="005D09BE" w:rsidRPr="00D44048" w14:paraId="5E8CAD3D" w14:textId="77777777" w:rsidTr="00F4450D">
        <w:trPr>
          <w:cantSplit/>
          <w:trHeight w:val="227"/>
        </w:trPr>
        <w:tc>
          <w:tcPr>
            <w:tcW w:w="4735" w:type="dxa"/>
            <w:tcBorders>
              <w:top w:val="single" w:sz="8" w:space="0" w:color="000000"/>
              <w:left w:val="single" w:sz="8" w:space="0" w:color="auto"/>
              <w:bottom w:val="single" w:sz="8" w:space="0" w:color="000000"/>
              <w:right w:val="single" w:sz="4" w:space="0" w:color="auto"/>
            </w:tcBorders>
            <w:shd w:val="clear" w:color="auto" w:fill="auto"/>
            <w:vAlign w:val="center"/>
            <w:hideMark/>
          </w:tcPr>
          <w:p w14:paraId="305DE89F" w14:textId="77777777" w:rsidR="005D09BE" w:rsidRPr="00D44048" w:rsidRDefault="005D09BE" w:rsidP="00F4450D">
            <w:pPr>
              <w:jc w:val="both"/>
              <w:rPr>
                <w:rFonts w:ascii="Arial" w:hAnsi="Arial" w:cs="Arial"/>
                <w:sz w:val="16"/>
                <w:szCs w:val="16"/>
              </w:rPr>
            </w:pPr>
            <w:r w:rsidRPr="00D44048">
              <w:rPr>
                <w:rFonts w:ascii="Arial" w:hAnsi="Arial" w:cs="Arial"/>
                <w:sz w:val="16"/>
                <w:szCs w:val="16"/>
              </w:rPr>
              <w:t>CICLOS FORMATIVOS DE GRADO BÁSICO/FORMACIÓN PROFESIONAL BÁSICA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1F12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CURSO</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7E4E3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MÓDULO</w:t>
            </w:r>
          </w:p>
        </w:tc>
      </w:tr>
      <w:tr w:rsidR="005D09BE" w:rsidRPr="00D44048" w14:paraId="1CFADB2D" w14:textId="77777777" w:rsidTr="00F4450D">
        <w:trPr>
          <w:cantSplit/>
          <w:trHeight w:val="227"/>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55DEDBA5" w14:textId="77777777" w:rsidR="005D09BE" w:rsidRPr="00D44048" w:rsidRDefault="005D09BE" w:rsidP="00F4450D">
            <w:pPr>
              <w:jc w:val="both"/>
              <w:rPr>
                <w:rFonts w:ascii="Arial" w:hAnsi="Arial" w:cs="Arial"/>
                <w:sz w:val="16"/>
                <w:szCs w:val="16"/>
              </w:rPr>
            </w:pPr>
            <w:r w:rsidRPr="00D44048">
              <w:rPr>
                <w:rFonts w:ascii="Arial" w:hAnsi="Arial" w:cs="Arial"/>
                <w:sz w:val="16"/>
                <w:szCs w:val="22"/>
              </w:rPr>
              <w:t>Electricidad y Electrónica</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14:paraId="619D24A7" w14:textId="77777777" w:rsidR="005D09BE" w:rsidRPr="00D44048" w:rsidRDefault="005D09BE" w:rsidP="00F4450D">
            <w:pPr>
              <w:jc w:val="center"/>
              <w:rPr>
                <w:rFonts w:ascii="Arial" w:hAnsi="Arial" w:cs="Arial"/>
                <w:sz w:val="16"/>
                <w:szCs w:val="16"/>
              </w:rPr>
            </w:pPr>
            <w:r w:rsidRPr="00D44048">
              <w:rPr>
                <w:rFonts w:ascii="Arial" w:hAnsi="Arial" w:cs="Arial"/>
                <w:sz w:val="16"/>
                <w:szCs w:val="22"/>
              </w:rPr>
              <w:t>1º</w:t>
            </w:r>
          </w:p>
        </w:tc>
        <w:tc>
          <w:tcPr>
            <w:tcW w:w="1843" w:type="dxa"/>
            <w:tcBorders>
              <w:top w:val="single" w:sz="4" w:space="0" w:color="auto"/>
              <w:left w:val="nil"/>
              <w:bottom w:val="single" w:sz="8" w:space="0" w:color="auto"/>
              <w:right w:val="single" w:sz="8" w:space="0" w:color="auto"/>
            </w:tcBorders>
            <w:shd w:val="clear" w:color="auto" w:fill="auto"/>
            <w:vAlign w:val="center"/>
            <w:hideMark/>
          </w:tcPr>
          <w:p w14:paraId="6494011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100.602,72</w:t>
            </w:r>
          </w:p>
        </w:tc>
      </w:tr>
      <w:tr w:rsidR="005D09BE" w:rsidRPr="00D44048" w14:paraId="575CB1A3" w14:textId="77777777" w:rsidTr="00F4450D">
        <w:trPr>
          <w:cantSplit/>
          <w:trHeight w:val="227"/>
        </w:trPr>
        <w:tc>
          <w:tcPr>
            <w:tcW w:w="4735" w:type="dxa"/>
            <w:vMerge/>
            <w:tcBorders>
              <w:top w:val="nil"/>
              <w:left w:val="single" w:sz="8" w:space="0" w:color="auto"/>
              <w:bottom w:val="single" w:sz="8" w:space="0" w:color="000000"/>
              <w:right w:val="single" w:sz="8" w:space="0" w:color="auto"/>
            </w:tcBorders>
            <w:vAlign w:val="center"/>
            <w:hideMark/>
          </w:tcPr>
          <w:p w14:paraId="5EB6FE93" w14:textId="77777777" w:rsidR="005D09BE" w:rsidRPr="00D44048" w:rsidRDefault="005D09BE" w:rsidP="00F4450D">
            <w:pPr>
              <w:jc w:val="both"/>
              <w:rPr>
                <w:rFonts w:ascii="Arial" w:hAnsi="Arial"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2D513435" w14:textId="77777777" w:rsidR="005D09BE" w:rsidRPr="00D44048" w:rsidRDefault="005D09BE" w:rsidP="00F4450D">
            <w:pPr>
              <w:jc w:val="center"/>
              <w:rPr>
                <w:rFonts w:ascii="Arial" w:hAnsi="Arial" w:cs="Arial"/>
                <w:sz w:val="16"/>
                <w:szCs w:val="16"/>
              </w:rPr>
            </w:pPr>
            <w:r w:rsidRPr="00D44048">
              <w:rPr>
                <w:rFonts w:ascii="Arial" w:hAnsi="Arial" w:cs="Arial"/>
                <w:sz w:val="16"/>
                <w:szCs w:val="22"/>
              </w:rPr>
              <w:t>2º</w:t>
            </w:r>
          </w:p>
        </w:tc>
        <w:tc>
          <w:tcPr>
            <w:tcW w:w="1843" w:type="dxa"/>
            <w:tcBorders>
              <w:top w:val="nil"/>
              <w:left w:val="nil"/>
              <w:bottom w:val="single" w:sz="8" w:space="0" w:color="auto"/>
              <w:right w:val="single" w:sz="8" w:space="0" w:color="auto"/>
            </w:tcBorders>
            <w:shd w:val="clear" w:color="auto" w:fill="auto"/>
            <w:vAlign w:val="center"/>
            <w:hideMark/>
          </w:tcPr>
          <w:p w14:paraId="1F4C90D3"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100.602,72</w:t>
            </w:r>
          </w:p>
        </w:tc>
      </w:tr>
      <w:tr w:rsidR="005D09BE" w:rsidRPr="00D44048" w14:paraId="00DE1807" w14:textId="77777777" w:rsidTr="00F4450D">
        <w:trPr>
          <w:cantSplit/>
          <w:trHeight w:val="227"/>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1A17A2E4" w14:textId="77777777" w:rsidR="005D09BE" w:rsidRPr="00D44048" w:rsidRDefault="005D09BE" w:rsidP="00F4450D">
            <w:pPr>
              <w:jc w:val="both"/>
              <w:rPr>
                <w:rFonts w:ascii="Arial" w:hAnsi="Arial" w:cs="Arial"/>
                <w:sz w:val="16"/>
                <w:szCs w:val="16"/>
              </w:rPr>
            </w:pPr>
            <w:r w:rsidRPr="00D44048">
              <w:rPr>
                <w:rFonts w:ascii="Arial" w:hAnsi="Arial" w:cs="Arial"/>
                <w:sz w:val="16"/>
                <w:szCs w:val="22"/>
              </w:rPr>
              <w:t>Reforma y Mantenimiento de Edificios</w:t>
            </w:r>
          </w:p>
        </w:tc>
        <w:tc>
          <w:tcPr>
            <w:tcW w:w="1701" w:type="dxa"/>
            <w:tcBorders>
              <w:top w:val="nil"/>
              <w:left w:val="nil"/>
              <w:bottom w:val="single" w:sz="8" w:space="0" w:color="auto"/>
              <w:right w:val="single" w:sz="8" w:space="0" w:color="auto"/>
            </w:tcBorders>
            <w:shd w:val="clear" w:color="auto" w:fill="auto"/>
            <w:vAlign w:val="center"/>
            <w:hideMark/>
          </w:tcPr>
          <w:p w14:paraId="17D0D527" w14:textId="77777777" w:rsidR="005D09BE" w:rsidRPr="00D44048" w:rsidRDefault="005D09BE" w:rsidP="00F4450D">
            <w:pPr>
              <w:jc w:val="center"/>
              <w:rPr>
                <w:rFonts w:ascii="Arial" w:hAnsi="Arial" w:cs="Arial"/>
                <w:sz w:val="16"/>
                <w:szCs w:val="16"/>
              </w:rPr>
            </w:pPr>
            <w:r w:rsidRPr="00D44048">
              <w:rPr>
                <w:rFonts w:ascii="Arial" w:hAnsi="Arial" w:cs="Arial"/>
                <w:sz w:val="16"/>
                <w:szCs w:val="22"/>
              </w:rPr>
              <w:t>1º</w:t>
            </w:r>
          </w:p>
        </w:tc>
        <w:tc>
          <w:tcPr>
            <w:tcW w:w="1843" w:type="dxa"/>
            <w:tcBorders>
              <w:top w:val="nil"/>
              <w:left w:val="nil"/>
              <w:bottom w:val="single" w:sz="8" w:space="0" w:color="auto"/>
              <w:right w:val="single" w:sz="8" w:space="0" w:color="auto"/>
            </w:tcBorders>
            <w:shd w:val="clear" w:color="auto" w:fill="auto"/>
            <w:vAlign w:val="center"/>
            <w:hideMark/>
          </w:tcPr>
          <w:p w14:paraId="418E083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103.525,04</w:t>
            </w:r>
          </w:p>
        </w:tc>
      </w:tr>
      <w:tr w:rsidR="005D09BE" w:rsidRPr="00D44048" w14:paraId="19672F8B" w14:textId="77777777" w:rsidTr="00F4450D">
        <w:trPr>
          <w:cantSplit/>
          <w:trHeight w:val="227"/>
        </w:trPr>
        <w:tc>
          <w:tcPr>
            <w:tcW w:w="4735" w:type="dxa"/>
            <w:vMerge/>
            <w:tcBorders>
              <w:top w:val="nil"/>
              <w:left w:val="single" w:sz="8" w:space="0" w:color="auto"/>
              <w:bottom w:val="single" w:sz="8" w:space="0" w:color="000000"/>
              <w:right w:val="single" w:sz="8" w:space="0" w:color="auto"/>
            </w:tcBorders>
            <w:vAlign w:val="center"/>
            <w:hideMark/>
          </w:tcPr>
          <w:p w14:paraId="634C6330" w14:textId="77777777" w:rsidR="005D09BE" w:rsidRPr="00D44048" w:rsidRDefault="005D09BE" w:rsidP="00F4450D">
            <w:pPr>
              <w:jc w:val="both"/>
              <w:rPr>
                <w:rFonts w:ascii="Arial" w:hAnsi="Arial"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04860D72" w14:textId="77777777" w:rsidR="005D09BE" w:rsidRPr="00D44048" w:rsidRDefault="005D09BE" w:rsidP="00F4450D">
            <w:pPr>
              <w:jc w:val="center"/>
              <w:rPr>
                <w:rFonts w:ascii="Arial" w:hAnsi="Arial" w:cs="Arial"/>
                <w:sz w:val="16"/>
                <w:szCs w:val="16"/>
              </w:rPr>
            </w:pPr>
            <w:r w:rsidRPr="00D44048">
              <w:rPr>
                <w:rFonts w:ascii="Arial" w:hAnsi="Arial" w:cs="Arial"/>
                <w:sz w:val="16"/>
                <w:szCs w:val="22"/>
              </w:rPr>
              <w:t>2º</w:t>
            </w:r>
          </w:p>
        </w:tc>
        <w:tc>
          <w:tcPr>
            <w:tcW w:w="1843" w:type="dxa"/>
            <w:tcBorders>
              <w:top w:val="nil"/>
              <w:left w:val="nil"/>
              <w:bottom w:val="single" w:sz="8" w:space="0" w:color="auto"/>
              <w:right w:val="single" w:sz="8" w:space="0" w:color="auto"/>
            </w:tcBorders>
            <w:shd w:val="clear" w:color="auto" w:fill="auto"/>
            <w:vAlign w:val="center"/>
            <w:hideMark/>
          </w:tcPr>
          <w:p w14:paraId="25BE87A9"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103.525,04</w:t>
            </w:r>
          </w:p>
        </w:tc>
      </w:tr>
      <w:tr w:rsidR="005D09BE" w:rsidRPr="00D44048" w14:paraId="29D7C4E1" w14:textId="77777777" w:rsidTr="00F4450D">
        <w:trPr>
          <w:cantSplit/>
          <w:trHeight w:val="227"/>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2697B679" w14:textId="77777777" w:rsidR="005D09BE" w:rsidRPr="00D44048" w:rsidRDefault="005D09BE" w:rsidP="00F4450D">
            <w:pPr>
              <w:jc w:val="both"/>
              <w:rPr>
                <w:rFonts w:ascii="Arial" w:hAnsi="Arial" w:cs="Arial"/>
                <w:sz w:val="16"/>
                <w:szCs w:val="16"/>
              </w:rPr>
            </w:pPr>
            <w:proofErr w:type="spellStart"/>
            <w:r w:rsidRPr="00D44048">
              <w:rPr>
                <w:rFonts w:ascii="Arial" w:hAnsi="Arial" w:cs="Arial"/>
                <w:sz w:val="16"/>
                <w:szCs w:val="22"/>
              </w:rPr>
              <w:t>Agrojardinería</w:t>
            </w:r>
            <w:proofErr w:type="spellEnd"/>
            <w:r w:rsidRPr="00D44048">
              <w:rPr>
                <w:rFonts w:ascii="Arial" w:hAnsi="Arial" w:cs="Arial"/>
                <w:sz w:val="16"/>
                <w:szCs w:val="22"/>
              </w:rPr>
              <w:t xml:space="preserve"> y Composiciones Florales</w:t>
            </w:r>
          </w:p>
        </w:tc>
        <w:tc>
          <w:tcPr>
            <w:tcW w:w="1701" w:type="dxa"/>
            <w:tcBorders>
              <w:top w:val="nil"/>
              <w:left w:val="nil"/>
              <w:bottom w:val="single" w:sz="8" w:space="0" w:color="auto"/>
              <w:right w:val="single" w:sz="8" w:space="0" w:color="auto"/>
            </w:tcBorders>
            <w:shd w:val="clear" w:color="auto" w:fill="auto"/>
            <w:vAlign w:val="center"/>
            <w:hideMark/>
          </w:tcPr>
          <w:p w14:paraId="254004AB" w14:textId="77777777" w:rsidR="005D09BE" w:rsidRPr="00D44048" w:rsidRDefault="005D09BE" w:rsidP="00F4450D">
            <w:pPr>
              <w:jc w:val="center"/>
              <w:rPr>
                <w:rFonts w:ascii="Arial" w:hAnsi="Arial" w:cs="Arial"/>
                <w:sz w:val="16"/>
                <w:szCs w:val="16"/>
              </w:rPr>
            </w:pPr>
            <w:r w:rsidRPr="00D44048">
              <w:rPr>
                <w:rFonts w:ascii="Arial" w:hAnsi="Arial" w:cs="Arial"/>
                <w:sz w:val="16"/>
                <w:szCs w:val="22"/>
              </w:rPr>
              <w:t>1º</w:t>
            </w:r>
          </w:p>
        </w:tc>
        <w:tc>
          <w:tcPr>
            <w:tcW w:w="1843" w:type="dxa"/>
            <w:tcBorders>
              <w:top w:val="nil"/>
              <w:left w:val="nil"/>
              <w:bottom w:val="single" w:sz="8" w:space="0" w:color="auto"/>
              <w:right w:val="single" w:sz="8" w:space="0" w:color="auto"/>
            </w:tcBorders>
            <w:shd w:val="clear" w:color="auto" w:fill="auto"/>
            <w:vAlign w:val="center"/>
            <w:hideMark/>
          </w:tcPr>
          <w:p w14:paraId="23FFDD41"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95.740,35</w:t>
            </w:r>
          </w:p>
        </w:tc>
      </w:tr>
      <w:tr w:rsidR="005D09BE" w:rsidRPr="00D44048" w14:paraId="462BA19C" w14:textId="77777777" w:rsidTr="00F4450D">
        <w:trPr>
          <w:cantSplit/>
          <w:trHeight w:val="227"/>
        </w:trPr>
        <w:tc>
          <w:tcPr>
            <w:tcW w:w="4735" w:type="dxa"/>
            <w:vMerge/>
            <w:tcBorders>
              <w:top w:val="nil"/>
              <w:left w:val="single" w:sz="8" w:space="0" w:color="auto"/>
              <w:bottom w:val="single" w:sz="8" w:space="0" w:color="000000"/>
              <w:right w:val="single" w:sz="8" w:space="0" w:color="auto"/>
            </w:tcBorders>
            <w:vAlign w:val="center"/>
            <w:hideMark/>
          </w:tcPr>
          <w:p w14:paraId="55A8C367" w14:textId="77777777" w:rsidR="005D09BE" w:rsidRPr="00D44048" w:rsidRDefault="005D09BE" w:rsidP="00F4450D">
            <w:pPr>
              <w:jc w:val="both"/>
              <w:rPr>
                <w:rFonts w:ascii="Arial" w:hAnsi="Arial"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465D3430" w14:textId="77777777" w:rsidR="005D09BE" w:rsidRPr="00D44048" w:rsidRDefault="005D09BE" w:rsidP="00F4450D">
            <w:pPr>
              <w:jc w:val="center"/>
              <w:rPr>
                <w:rFonts w:ascii="Arial" w:hAnsi="Arial" w:cs="Arial"/>
                <w:sz w:val="16"/>
                <w:szCs w:val="16"/>
              </w:rPr>
            </w:pPr>
            <w:r w:rsidRPr="00D44048">
              <w:rPr>
                <w:rFonts w:ascii="Arial" w:hAnsi="Arial" w:cs="Arial"/>
                <w:sz w:val="16"/>
                <w:szCs w:val="22"/>
              </w:rPr>
              <w:t>2º</w:t>
            </w:r>
          </w:p>
        </w:tc>
        <w:tc>
          <w:tcPr>
            <w:tcW w:w="1843" w:type="dxa"/>
            <w:tcBorders>
              <w:top w:val="nil"/>
              <w:left w:val="nil"/>
              <w:bottom w:val="single" w:sz="8" w:space="0" w:color="auto"/>
              <w:right w:val="single" w:sz="8" w:space="0" w:color="auto"/>
            </w:tcBorders>
            <w:shd w:val="clear" w:color="auto" w:fill="auto"/>
            <w:vAlign w:val="center"/>
            <w:hideMark/>
          </w:tcPr>
          <w:p w14:paraId="00A7F340"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95.740,35</w:t>
            </w:r>
          </w:p>
        </w:tc>
      </w:tr>
      <w:tr w:rsidR="005D09BE" w:rsidRPr="00D44048" w14:paraId="5B0FC10C" w14:textId="77777777" w:rsidTr="00F4450D">
        <w:trPr>
          <w:cantSplit/>
          <w:trHeight w:val="227"/>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12E3C2D4" w14:textId="77777777" w:rsidR="005D09BE" w:rsidRPr="00D44048" w:rsidRDefault="005D09BE" w:rsidP="00F4450D">
            <w:pPr>
              <w:jc w:val="both"/>
              <w:rPr>
                <w:rFonts w:ascii="Arial" w:hAnsi="Arial" w:cs="Arial"/>
                <w:sz w:val="16"/>
                <w:szCs w:val="16"/>
              </w:rPr>
            </w:pPr>
            <w:r w:rsidRPr="00D44048">
              <w:rPr>
                <w:rFonts w:ascii="Arial" w:hAnsi="Arial" w:cs="Arial"/>
                <w:sz w:val="16"/>
                <w:szCs w:val="22"/>
              </w:rPr>
              <w:t>Ayudante de Carpintería</w:t>
            </w:r>
          </w:p>
        </w:tc>
        <w:tc>
          <w:tcPr>
            <w:tcW w:w="1701" w:type="dxa"/>
            <w:tcBorders>
              <w:top w:val="nil"/>
              <w:left w:val="nil"/>
              <w:bottom w:val="single" w:sz="8" w:space="0" w:color="auto"/>
              <w:right w:val="single" w:sz="8" w:space="0" w:color="auto"/>
            </w:tcBorders>
            <w:shd w:val="clear" w:color="auto" w:fill="auto"/>
            <w:vAlign w:val="center"/>
            <w:hideMark/>
          </w:tcPr>
          <w:p w14:paraId="46B60633" w14:textId="77777777" w:rsidR="005D09BE" w:rsidRPr="00D44048" w:rsidRDefault="005D09BE" w:rsidP="00F4450D">
            <w:pPr>
              <w:jc w:val="center"/>
              <w:rPr>
                <w:rFonts w:ascii="Arial" w:hAnsi="Arial" w:cs="Arial"/>
                <w:sz w:val="16"/>
                <w:szCs w:val="16"/>
              </w:rPr>
            </w:pPr>
            <w:r w:rsidRPr="00D44048">
              <w:rPr>
                <w:rFonts w:ascii="Arial" w:hAnsi="Arial" w:cs="Arial"/>
                <w:sz w:val="16"/>
                <w:szCs w:val="22"/>
              </w:rPr>
              <w:t>1º</w:t>
            </w:r>
          </w:p>
        </w:tc>
        <w:tc>
          <w:tcPr>
            <w:tcW w:w="1843" w:type="dxa"/>
            <w:tcBorders>
              <w:top w:val="nil"/>
              <w:left w:val="nil"/>
              <w:bottom w:val="single" w:sz="8" w:space="0" w:color="auto"/>
              <w:right w:val="single" w:sz="8" w:space="0" w:color="auto"/>
            </w:tcBorders>
            <w:shd w:val="clear" w:color="auto" w:fill="auto"/>
            <w:vAlign w:val="center"/>
            <w:hideMark/>
          </w:tcPr>
          <w:p w14:paraId="50189B6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100.550,85</w:t>
            </w:r>
          </w:p>
        </w:tc>
      </w:tr>
      <w:tr w:rsidR="005D09BE" w:rsidRPr="00D44048" w14:paraId="3E657F2C" w14:textId="77777777" w:rsidTr="00F4450D">
        <w:trPr>
          <w:cantSplit/>
          <w:trHeight w:val="227"/>
        </w:trPr>
        <w:tc>
          <w:tcPr>
            <w:tcW w:w="4735" w:type="dxa"/>
            <w:vMerge/>
            <w:tcBorders>
              <w:top w:val="nil"/>
              <w:left w:val="single" w:sz="8" w:space="0" w:color="auto"/>
              <w:bottom w:val="single" w:sz="8" w:space="0" w:color="000000"/>
              <w:right w:val="single" w:sz="8" w:space="0" w:color="auto"/>
            </w:tcBorders>
            <w:vAlign w:val="center"/>
            <w:hideMark/>
          </w:tcPr>
          <w:p w14:paraId="066DCD64" w14:textId="77777777" w:rsidR="005D09BE" w:rsidRPr="00D44048" w:rsidRDefault="005D09BE" w:rsidP="00F4450D">
            <w:pPr>
              <w:jc w:val="both"/>
              <w:rPr>
                <w:rFonts w:ascii="Arial" w:hAnsi="Arial"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3D6D3B9D" w14:textId="77777777" w:rsidR="005D09BE" w:rsidRPr="00D44048" w:rsidRDefault="005D09BE" w:rsidP="00F4450D">
            <w:pPr>
              <w:jc w:val="center"/>
              <w:rPr>
                <w:rFonts w:ascii="Arial" w:hAnsi="Arial" w:cs="Arial"/>
                <w:sz w:val="16"/>
                <w:szCs w:val="16"/>
              </w:rPr>
            </w:pPr>
            <w:r w:rsidRPr="00D44048">
              <w:rPr>
                <w:rFonts w:ascii="Arial" w:hAnsi="Arial" w:cs="Arial"/>
                <w:sz w:val="16"/>
                <w:szCs w:val="22"/>
              </w:rPr>
              <w:t>2º</w:t>
            </w:r>
          </w:p>
        </w:tc>
        <w:tc>
          <w:tcPr>
            <w:tcW w:w="1843" w:type="dxa"/>
            <w:tcBorders>
              <w:top w:val="nil"/>
              <w:left w:val="nil"/>
              <w:bottom w:val="single" w:sz="8" w:space="0" w:color="auto"/>
              <w:right w:val="single" w:sz="8" w:space="0" w:color="auto"/>
            </w:tcBorders>
            <w:shd w:val="clear" w:color="auto" w:fill="auto"/>
            <w:vAlign w:val="center"/>
            <w:hideMark/>
          </w:tcPr>
          <w:p w14:paraId="2294B80D"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100.550,85</w:t>
            </w:r>
          </w:p>
        </w:tc>
      </w:tr>
      <w:tr w:rsidR="005D09BE" w:rsidRPr="00D44048" w14:paraId="6501CB22" w14:textId="77777777" w:rsidTr="00F4450D">
        <w:trPr>
          <w:cantSplit/>
          <w:trHeight w:val="227"/>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56CC9A84" w14:textId="77777777" w:rsidR="005D09BE" w:rsidRPr="00D44048" w:rsidRDefault="005D09BE" w:rsidP="00F4450D">
            <w:pPr>
              <w:jc w:val="both"/>
              <w:rPr>
                <w:rFonts w:ascii="Arial" w:hAnsi="Arial" w:cs="Arial"/>
                <w:sz w:val="16"/>
                <w:szCs w:val="16"/>
              </w:rPr>
            </w:pPr>
            <w:r w:rsidRPr="00D44048">
              <w:rPr>
                <w:rFonts w:ascii="Arial" w:hAnsi="Arial" w:cs="Arial"/>
                <w:sz w:val="16"/>
                <w:szCs w:val="22"/>
              </w:rPr>
              <w:t>Cocina y Restauración</w:t>
            </w:r>
          </w:p>
        </w:tc>
        <w:tc>
          <w:tcPr>
            <w:tcW w:w="1701" w:type="dxa"/>
            <w:tcBorders>
              <w:top w:val="nil"/>
              <w:left w:val="nil"/>
              <w:bottom w:val="single" w:sz="8" w:space="0" w:color="auto"/>
              <w:right w:val="single" w:sz="8" w:space="0" w:color="auto"/>
            </w:tcBorders>
            <w:shd w:val="clear" w:color="auto" w:fill="auto"/>
            <w:vAlign w:val="center"/>
            <w:hideMark/>
          </w:tcPr>
          <w:p w14:paraId="0250AA80" w14:textId="77777777" w:rsidR="005D09BE" w:rsidRPr="00D44048" w:rsidRDefault="005D09BE" w:rsidP="00F4450D">
            <w:pPr>
              <w:jc w:val="center"/>
              <w:rPr>
                <w:rFonts w:ascii="Arial" w:hAnsi="Arial" w:cs="Arial"/>
                <w:sz w:val="16"/>
                <w:szCs w:val="16"/>
              </w:rPr>
            </w:pPr>
            <w:r w:rsidRPr="00D44048">
              <w:rPr>
                <w:rFonts w:ascii="Arial" w:hAnsi="Arial" w:cs="Arial"/>
                <w:sz w:val="16"/>
                <w:szCs w:val="22"/>
              </w:rPr>
              <w:t>1º</w:t>
            </w:r>
          </w:p>
        </w:tc>
        <w:tc>
          <w:tcPr>
            <w:tcW w:w="1843" w:type="dxa"/>
            <w:tcBorders>
              <w:top w:val="nil"/>
              <w:left w:val="nil"/>
              <w:bottom w:val="single" w:sz="8" w:space="0" w:color="auto"/>
              <w:right w:val="single" w:sz="8" w:space="0" w:color="auto"/>
            </w:tcBorders>
            <w:shd w:val="clear" w:color="auto" w:fill="auto"/>
            <w:vAlign w:val="center"/>
            <w:hideMark/>
          </w:tcPr>
          <w:p w14:paraId="6BA99D3B"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100.736,43</w:t>
            </w:r>
          </w:p>
        </w:tc>
      </w:tr>
      <w:tr w:rsidR="005D09BE" w:rsidRPr="00D44048" w14:paraId="0F9D5453" w14:textId="77777777" w:rsidTr="00F4450D">
        <w:trPr>
          <w:cantSplit/>
          <w:trHeight w:val="227"/>
        </w:trPr>
        <w:tc>
          <w:tcPr>
            <w:tcW w:w="4735" w:type="dxa"/>
            <w:vMerge/>
            <w:tcBorders>
              <w:top w:val="nil"/>
              <w:left w:val="single" w:sz="8" w:space="0" w:color="auto"/>
              <w:bottom w:val="single" w:sz="8" w:space="0" w:color="000000"/>
              <w:right w:val="single" w:sz="8" w:space="0" w:color="auto"/>
            </w:tcBorders>
            <w:vAlign w:val="center"/>
            <w:hideMark/>
          </w:tcPr>
          <w:p w14:paraId="10DABB16" w14:textId="77777777" w:rsidR="005D09BE" w:rsidRPr="00D44048" w:rsidRDefault="005D09BE" w:rsidP="00F4450D">
            <w:pPr>
              <w:jc w:val="both"/>
              <w:rPr>
                <w:rFonts w:ascii="Arial" w:hAnsi="Arial"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3247E567" w14:textId="77777777" w:rsidR="005D09BE" w:rsidRPr="00D44048" w:rsidRDefault="005D09BE" w:rsidP="00F4450D">
            <w:pPr>
              <w:jc w:val="center"/>
              <w:rPr>
                <w:rFonts w:ascii="Arial" w:hAnsi="Arial" w:cs="Arial"/>
                <w:sz w:val="16"/>
                <w:szCs w:val="16"/>
              </w:rPr>
            </w:pPr>
            <w:r w:rsidRPr="00D44048">
              <w:rPr>
                <w:rFonts w:ascii="Arial" w:hAnsi="Arial" w:cs="Arial"/>
                <w:sz w:val="16"/>
                <w:szCs w:val="22"/>
              </w:rPr>
              <w:t>2º</w:t>
            </w:r>
          </w:p>
        </w:tc>
        <w:tc>
          <w:tcPr>
            <w:tcW w:w="1843" w:type="dxa"/>
            <w:tcBorders>
              <w:top w:val="nil"/>
              <w:left w:val="nil"/>
              <w:bottom w:val="single" w:sz="8" w:space="0" w:color="auto"/>
              <w:right w:val="single" w:sz="8" w:space="0" w:color="auto"/>
            </w:tcBorders>
            <w:shd w:val="clear" w:color="auto" w:fill="auto"/>
            <w:vAlign w:val="center"/>
            <w:hideMark/>
          </w:tcPr>
          <w:p w14:paraId="0B3872EB"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100.736,43</w:t>
            </w:r>
          </w:p>
        </w:tc>
      </w:tr>
      <w:tr w:rsidR="005D09BE" w:rsidRPr="00D44048" w14:paraId="5E23FF46" w14:textId="77777777" w:rsidTr="00F4450D">
        <w:trPr>
          <w:cantSplit/>
          <w:trHeight w:val="227"/>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21B8BB69" w14:textId="77777777" w:rsidR="005D09BE" w:rsidRPr="00D44048" w:rsidRDefault="005D09BE" w:rsidP="00F4450D">
            <w:pPr>
              <w:jc w:val="both"/>
              <w:rPr>
                <w:rFonts w:ascii="Arial" w:hAnsi="Arial" w:cs="Arial"/>
                <w:sz w:val="16"/>
                <w:szCs w:val="16"/>
              </w:rPr>
            </w:pPr>
            <w:r w:rsidRPr="00D44048">
              <w:rPr>
                <w:rFonts w:ascii="Arial" w:hAnsi="Arial" w:cs="Arial"/>
                <w:sz w:val="16"/>
                <w:szCs w:val="22"/>
              </w:rPr>
              <w:t>Carpintería y Mueble</w:t>
            </w:r>
          </w:p>
        </w:tc>
        <w:tc>
          <w:tcPr>
            <w:tcW w:w="1701" w:type="dxa"/>
            <w:tcBorders>
              <w:top w:val="nil"/>
              <w:left w:val="nil"/>
              <w:bottom w:val="single" w:sz="8" w:space="0" w:color="auto"/>
              <w:right w:val="single" w:sz="8" w:space="0" w:color="auto"/>
            </w:tcBorders>
            <w:shd w:val="clear" w:color="auto" w:fill="auto"/>
            <w:vAlign w:val="center"/>
            <w:hideMark/>
          </w:tcPr>
          <w:p w14:paraId="46FA7B05" w14:textId="77777777" w:rsidR="005D09BE" w:rsidRPr="00D44048" w:rsidRDefault="005D09BE" w:rsidP="00F4450D">
            <w:pPr>
              <w:jc w:val="center"/>
              <w:rPr>
                <w:rFonts w:ascii="Arial" w:hAnsi="Arial" w:cs="Arial"/>
                <w:sz w:val="16"/>
                <w:szCs w:val="16"/>
              </w:rPr>
            </w:pPr>
            <w:r w:rsidRPr="00D44048">
              <w:rPr>
                <w:rFonts w:ascii="Arial" w:hAnsi="Arial" w:cs="Arial"/>
                <w:sz w:val="16"/>
                <w:szCs w:val="22"/>
              </w:rPr>
              <w:t>1º</w:t>
            </w:r>
          </w:p>
        </w:tc>
        <w:tc>
          <w:tcPr>
            <w:tcW w:w="1843" w:type="dxa"/>
            <w:tcBorders>
              <w:top w:val="nil"/>
              <w:left w:val="nil"/>
              <w:bottom w:val="single" w:sz="8" w:space="0" w:color="auto"/>
              <w:right w:val="single" w:sz="8" w:space="0" w:color="auto"/>
            </w:tcBorders>
            <w:shd w:val="clear" w:color="auto" w:fill="auto"/>
            <w:vAlign w:val="center"/>
            <w:hideMark/>
          </w:tcPr>
          <w:p w14:paraId="124E3A6C"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100.550,85</w:t>
            </w:r>
          </w:p>
        </w:tc>
      </w:tr>
      <w:tr w:rsidR="005D09BE" w:rsidRPr="00D44048" w14:paraId="1B7AF051" w14:textId="77777777" w:rsidTr="00F4450D">
        <w:trPr>
          <w:cantSplit/>
          <w:trHeight w:val="227"/>
        </w:trPr>
        <w:tc>
          <w:tcPr>
            <w:tcW w:w="4735" w:type="dxa"/>
            <w:vMerge/>
            <w:tcBorders>
              <w:top w:val="nil"/>
              <w:left w:val="single" w:sz="8" w:space="0" w:color="auto"/>
              <w:bottom w:val="single" w:sz="8" w:space="0" w:color="000000"/>
              <w:right w:val="single" w:sz="8" w:space="0" w:color="auto"/>
            </w:tcBorders>
            <w:vAlign w:val="center"/>
            <w:hideMark/>
          </w:tcPr>
          <w:p w14:paraId="2605098E" w14:textId="77777777" w:rsidR="005D09BE" w:rsidRPr="00D44048" w:rsidRDefault="005D09BE" w:rsidP="00F4450D">
            <w:pPr>
              <w:jc w:val="both"/>
              <w:rPr>
                <w:rFonts w:ascii="Arial" w:hAnsi="Arial"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2A4C605B" w14:textId="77777777" w:rsidR="005D09BE" w:rsidRPr="00D44048" w:rsidRDefault="005D09BE" w:rsidP="00F4450D">
            <w:pPr>
              <w:jc w:val="center"/>
              <w:rPr>
                <w:rFonts w:ascii="Arial" w:hAnsi="Arial" w:cs="Arial"/>
                <w:sz w:val="16"/>
                <w:szCs w:val="16"/>
              </w:rPr>
            </w:pPr>
            <w:r w:rsidRPr="00D44048">
              <w:rPr>
                <w:rFonts w:ascii="Arial" w:hAnsi="Arial" w:cs="Arial"/>
                <w:sz w:val="16"/>
                <w:szCs w:val="22"/>
              </w:rPr>
              <w:t>2º</w:t>
            </w:r>
          </w:p>
        </w:tc>
        <w:tc>
          <w:tcPr>
            <w:tcW w:w="1843" w:type="dxa"/>
            <w:tcBorders>
              <w:top w:val="nil"/>
              <w:left w:val="nil"/>
              <w:bottom w:val="single" w:sz="8" w:space="0" w:color="auto"/>
              <w:right w:val="single" w:sz="8" w:space="0" w:color="auto"/>
            </w:tcBorders>
            <w:shd w:val="clear" w:color="auto" w:fill="auto"/>
            <w:vAlign w:val="center"/>
            <w:hideMark/>
          </w:tcPr>
          <w:p w14:paraId="4F195FB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100.550,85</w:t>
            </w:r>
          </w:p>
        </w:tc>
      </w:tr>
      <w:tr w:rsidR="005D09BE" w:rsidRPr="00D44048" w14:paraId="0191CC62" w14:textId="77777777" w:rsidTr="00F4450D">
        <w:trPr>
          <w:cantSplit/>
          <w:trHeight w:val="227"/>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5662034E" w14:textId="77777777" w:rsidR="005D09BE" w:rsidRPr="00D44048" w:rsidRDefault="005D09BE" w:rsidP="00F4450D">
            <w:pPr>
              <w:jc w:val="both"/>
              <w:rPr>
                <w:rFonts w:ascii="Arial" w:hAnsi="Arial" w:cs="Arial"/>
                <w:sz w:val="16"/>
                <w:szCs w:val="16"/>
              </w:rPr>
            </w:pPr>
            <w:r w:rsidRPr="00D44048">
              <w:rPr>
                <w:rFonts w:ascii="Arial" w:hAnsi="Arial" w:cs="Arial"/>
                <w:sz w:val="16"/>
                <w:szCs w:val="22"/>
              </w:rPr>
              <w:t>Ayudante de Mantenimiento de Edificios</w:t>
            </w:r>
          </w:p>
        </w:tc>
        <w:tc>
          <w:tcPr>
            <w:tcW w:w="1701" w:type="dxa"/>
            <w:tcBorders>
              <w:top w:val="nil"/>
              <w:left w:val="nil"/>
              <w:bottom w:val="single" w:sz="8" w:space="0" w:color="auto"/>
              <w:right w:val="single" w:sz="8" w:space="0" w:color="auto"/>
            </w:tcBorders>
            <w:shd w:val="clear" w:color="auto" w:fill="auto"/>
            <w:vAlign w:val="center"/>
            <w:hideMark/>
          </w:tcPr>
          <w:p w14:paraId="0925A3CD" w14:textId="77777777" w:rsidR="005D09BE" w:rsidRPr="00D44048" w:rsidRDefault="005D09BE" w:rsidP="00F4450D">
            <w:pPr>
              <w:jc w:val="center"/>
              <w:rPr>
                <w:rFonts w:ascii="Arial" w:hAnsi="Arial" w:cs="Arial"/>
                <w:sz w:val="16"/>
                <w:szCs w:val="16"/>
              </w:rPr>
            </w:pPr>
            <w:r w:rsidRPr="00D44048">
              <w:rPr>
                <w:rFonts w:ascii="Arial" w:hAnsi="Arial" w:cs="Arial"/>
                <w:sz w:val="16"/>
                <w:szCs w:val="22"/>
              </w:rPr>
              <w:t>1º</w:t>
            </w:r>
          </w:p>
        </w:tc>
        <w:tc>
          <w:tcPr>
            <w:tcW w:w="1843" w:type="dxa"/>
            <w:tcBorders>
              <w:top w:val="nil"/>
              <w:left w:val="nil"/>
              <w:bottom w:val="single" w:sz="8" w:space="0" w:color="auto"/>
              <w:right w:val="single" w:sz="8" w:space="0" w:color="auto"/>
            </w:tcBorders>
            <w:shd w:val="clear" w:color="auto" w:fill="auto"/>
            <w:vAlign w:val="center"/>
            <w:hideMark/>
          </w:tcPr>
          <w:p w14:paraId="0409A87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103.525,04</w:t>
            </w:r>
          </w:p>
        </w:tc>
      </w:tr>
      <w:tr w:rsidR="005D09BE" w:rsidRPr="00D44048" w14:paraId="11636743" w14:textId="77777777" w:rsidTr="00F4450D">
        <w:trPr>
          <w:cantSplit/>
          <w:trHeight w:val="227"/>
        </w:trPr>
        <w:tc>
          <w:tcPr>
            <w:tcW w:w="4735" w:type="dxa"/>
            <w:vMerge/>
            <w:tcBorders>
              <w:top w:val="nil"/>
              <w:left w:val="single" w:sz="8" w:space="0" w:color="auto"/>
              <w:bottom w:val="single" w:sz="8" w:space="0" w:color="000000"/>
              <w:right w:val="single" w:sz="8" w:space="0" w:color="auto"/>
            </w:tcBorders>
            <w:vAlign w:val="center"/>
            <w:hideMark/>
          </w:tcPr>
          <w:p w14:paraId="515A8093" w14:textId="77777777" w:rsidR="005D09BE" w:rsidRPr="00D44048" w:rsidRDefault="005D09BE" w:rsidP="00F4450D">
            <w:pPr>
              <w:jc w:val="both"/>
              <w:rPr>
                <w:rFonts w:ascii="Arial" w:hAnsi="Arial"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1803715B" w14:textId="77777777" w:rsidR="005D09BE" w:rsidRPr="00D44048" w:rsidRDefault="005D09BE" w:rsidP="00F4450D">
            <w:pPr>
              <w:jc w:val="center"/>
              <w:rPr>
                <w:rFonts w:ascii="Arial" w:hAnsi="Arial" w:cs="Arial"/>
                <w:sz w:val="16"/>
                <w:szCs w:val="16"/>
              </w:rPr>
            </w:pPr>
            <w:r w:rsidRPr="00D44048">
              <w:rPr>
                <w:rFonts w:ascii="Arial" w:hAnsi="Arial" w:cs="Arial"/>
                <w:sz w:val="16"/>
                <w:szCs w:val="22"/>
              </w:rPr>
              <w:t>2º</w:t>
            </w:r>
          </w:p>
        </w:tc>
        <w:tc>
          <w:tcPr>
            <w:tcW w:w="1843" w:type="dxa"/>
            <w:tcBorders>
              <w:top w:val="nil"/>
              <w:left w:val="nil"/>
              <w:bottom w:val="single" w:sz="8" w:space="0" w:color="auto"/>
              <w:right w:val="single" w:sz="8" w:space="0" w:color="auto"/>
            </w:tcBorders>
            <w:shd w:val="clear" w:color="auto" w:fill="auto"/>
            <w:vAlign w:val="center"/>
            <w:hideMark/>
          </w:tcPr>
          <w:p w14:paraId="572068DA"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103.525,04</w:t>
            </w:r>
          </w:p>
        </w:tc>
      </w:tr>
      <w:tr w:rsidR="005D09BE" w:rsidRPr="00D44048" w14:paraId="53EB4531" w14:textId="77777777" w:rsidTr="00F4450D">
        <w:trPr>
          <w:cantSplit/>
          <w:trHeight w:val="227"/>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2D7D36AE" w14:textId="77777777" w:rsidR="005D09BE" w:rsidRPr="00D44048" w:rsidRDefault="005D09BE" w:rsidP="00F4450D">
            <w:pPr>
              <w:jc w:val="both"/>
              <w:rPr>
                <w:rFonts w:ascii="Arial" w:hAnsi="Arial" w:cs="Arial"/>
                <w:sz w:val="16"/>
                <w:szCs w:val="16"/>
              </w:rPr>
            </w:pPr>
            <w:r w:rsidRPr="00D44048">
              <w:rPr>
                <w:rFonts w:ascii="Arial" w:hAnsi="Arial" w:cs="Arial"/>
                <w:sz w:val="16"/>
                <w:szCs w:val="22"/>
              </w:rPr>
              <w:t>Peluquería y Estética</w:t>
            </w:r>
          </w:p>
        </w:tc>
        <w:tc>
          <w:tcPr>
            <w:tcW w:w="1701" w:type="dxa"/>
            <w:tcBorders>
              <w:top w:val="nil"/>
              <w:left w:val="nil"/>
              <w:bottom w:val="single" w:sz="8" w:space="0" w:color="auto"/>
              <w:right w:val="single" w:sz="8" w:space="0" w:color="auto"/>
            </w:tcBorders>
            <w:shd w:val="clear" w:color="auto" w:fill="auto"/>
            <w:vAlign w:val="center"/>
            <w:hideMark/>
          </w:tcPr>
          <w:p w14:paraId="37A773AC" w14:textId="77777777" w:rsidR="005D09BE" w:rsidRPr="00D44048" w:rsidRDefault="005D09BE" w:rsidP="00F4450D">
            <w:pPr>
              <w:jc w:val="center"/>
              <w:rPr>
                <w:rFonts w:ascii="Arial" w:hAnsi="Arial" w:cs="Arial"/>
                <w:sz w:val="16"/>
                <w:szCs w:val="16"/>
              </w:rPr>
            </w:pPr>
            <w:r w:rsidRPr="00D44048">
              <w:rPr>
                <w:rFonts w:ascii="Arial" w:hAnsi="Arial" w:cs="Arial"/>
                <w:sz w:val="16"/>
                <w:szCs w:val="22"/>
              </w:rPr>
              <w:t>1º</w:t>
            </w:r>
          </w:p>
        </w:tc>
        <w:tc>
          <w:tcPr>
            <w:tcW w:w="1843" w:type="dxa"/>
            <w:tcBorders>
              <w:top w:val="nil"/>
              <w:left w:val="nil"/>
              <w:bottom w:val="single" w:sz="8" w:space="0" w:color="auto"/>
              <w:right w:val="single" w:sz="8" w:space="0" w:color="auto"/>
            </w:tcBorders>
            <w:shd w:val="clear" w:color="auto" w:fill="auto"/>
            <w:vAlign w:val="center"/>
            <w:hideMark/>
          </w:tcPr>
          <w:p w14:paraId="2E0D6BBF"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99.967,85</w:t>
            </w:r>
          </w:p>
        </w:tc>
      </w:tr>
      <w:tr w:rsidR="005D09BE" w:rsidRPr="00D44048" w14:paraId="54A0FC53" w14:textId="77777777" w:rsidTr="00F4450D">
        <w:trPr>
          <w:cantSplit/>
          <w:trHeight w:val="227"/>
        </w:trPr>
        <w:tc>
          <w:tcPr>
            <w:tcW w:w="4735" w:type="dxa"/>
            <w:vMerge/>
            <w:tcBorders>
              <w:top w:val="nil"/>
              <w:left w:val="single" w:sz="8" w:space="0" w:color="auto"/>
              <w:bottom w:val="single" w:sz="8" w:space="0" w:color="000000"/>
              <w:right w:val="single" w:sz="8" w:space="0" w:color="auto"/>
            </w:tcBorders>
            <w:vAlign w:val="center"/>
            <w:hideMark/>
          </w:tcPr>
          <w:p w14:paraId="03CA5B98" w14:textId="77777777" w:rsidR="005D09BE" w:rsidRPr="00D44048" w:rsidRDefault="005D09BE" w:rsidP="00F4450D">
            <w:pPr>
              <w:jc w:val="both"/>
              <w:rPr>
                <w:rFonts w:ascii="Arial" w:hAnsi="Arial"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05289430" w14:textId="77777777" w:rsidR="005D09BE" w:rsidRPr="00D44048" w:rsidRDefault="005D09BE" w:rsidP="00F4450D">
            <w:pPr>
              <w:jc w:val="center"/>
              <w:rPr>
                <w:rFonts w:ascii="Arial" w:hAnsi="Arial" w:cs="Arial"/>
                <w:sz w:val="16"/>
                <w:szCs w:val="16"/>
              </w:rPr>
            </w:pPr>
            <w:r w:rsidRPr="00D44048">
              <w:rPr>
                <w:rFonts w:ascii="Arial" w:hAnsi="Arial" w:cs="Arial"/>
                <w:sz w:val="16"/>
                <w:szCs w:val="22"/>
              </w:rPr>
              <w:t>2º</w:t>
            </w:r>
          </w:p>
        </w:tc>
        <w:tc>
          <w:tcPr>
            <w:tcW w:w="1843" w:type="dxa"/>
            <w:tcBorders>
              <w:top w:val="nil"/>
              <w:left w:val="nil"/>
              <w:bottom w:val="single" w:sz="8" w:space="0" w:color="auto"/>
              <w:right w:val="single" w:sz="8" w:space="0" w:color="auto"/>
            </w:tcBorders>
            <w:shd w:val="clear" w:color="auto" w:fill="auto"/>
            <w:vAlign w:val="center"/>
            <w:hideMark/>
          </w:tcPr>
          <w:p w14:paraId="00C9B13C"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99.967,85</w:t>
            </w:r>
          </w:p>
        </w:tc>
      </w:tr>
      <w:tr w:rsidR="005D09BE" w:rsidRPr="00D44048" w14:paraId="35917986" w14:textId="77777777" w:rsidTr="00F4450D">
        <w:trPr>
          <w:cantSplit/>
          <w:trHeight w:val="227"/>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3EFCD877" w14:textId="77777777" w:rsidR="005D09BE" w:rsidRPr="00D44048" w:rsidRDefault="005D09BE" w:rsidP="00F4450D">
            <w:pPr>
              <w:jc w:val="both"/>
              <w:rPr>
                <w:rFonts w:ascii="Arial" w:hAnsi="Arial" w:cs="Arial"/>
                <w:sz w:val="16"/>
                <w:szCs w:val="16"/>
              </w:rPr>
            </w:pPr>
            <w:r w:rsidRPr="00D44048">
              <w:rPr>
                <w:rFonts w:ascii="Arial" w:hAnsi="Arial" w:cs="Arial"/>
                <w:sz w:val="16"/>
                <w:szCs w:val="22"/>
              </w:rPr>
              <w:t>Ayudante de Fabricación Mecánica</w:t>
            </w:r>
          </w:p>
        </w:tc>
        <w:tc>
          <w:tcPr>
            <w:tcW w:w="1701" w:type="dxa"/>
            <w:tcBorders>
              <w:top w:val="nil"/>
              <w:left w:val="nil"/>
              <w:bottom w:val="single" w:sz="8" w:space="0" w:color="auto"/>
              <w:right w:val="single" w:sz="8" w:space="0" w:color="auto"/>
            </w:tcBorders>
            <w:shd w:val="clear" w:color="auto" w:fill="auto"/>
            <w:vAlign w:val="center"/>
            <w:hideMark/>
          </w:tcPr>
          <w:p w14:paraId="05092A25" w14:textId="77777777" w:rsidR="005D09BE" w:rsidRPr="00D44048" w:rsidRDefault="005D09BE" w:rsidP="00F4450D">
            <w:pPr>
              <w:jc w:val="center"/>
              <w:rPr>
                <w:rFonts w:ascii="Arial" w:hAnsi="Arial" w:cs="Arial"/>
                <w:sz w:val="16"/>
                <w:szCs w:val="16"/>
              </w:rPr>
            </w:pPr>
            <w:r w:rsidRPr="00D44048">
              <w:rPr>
                <w:rFonts w:ascii="Arial" w:hAnsi="Arial" w:cs="Arial"/>
                <w:sz w:val="16"/>
                <w:szCs w:val="22"/>
              </w:rPr>
              <w:t>1º</w:t>
            </w:r>
          </w:p>
        </w:tc>
        <w:tc>
          <w:tcPr>
            <w:tcW w:w="1843" w:type="dxa"/>
            <w:tcBorders>
              <w:top w:val="nil"/>
              <w:left w:val="nil"/>
              <w:bottom w:val="single" w:sz="8" w:space="0" w:color="auto"/>
              <w:right w:val="single" w:sz="8" w:space="0" w:color="auto"/>
            </w:tcBorders>
            <w:shd w:val="clear" w:color="auto" w:fill="auto"/>
            <w:vAlign w:val="center"/>
            <w:hideMark/>
          </w:tcPr>
          <w:p w14:paraId="4BA289E8"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100.828,73</w:t>
            </w:r>
          </w:p>
        </w:tc>
      </w:tr>
      <w:tr w:rsidR="005D09BE" w:rsidRPr="00D44048" w14:paraId="74233F55" w14:textId="77777777" w:rsidTr="00F4450D">
        <w:trPr>
          <w:cantSplit/>
          <w:trHeight w:val="227"/>
        </w:trPr>
        <w:tc>
          <w:tcPr>
            <w:tcW w:w="4735" w:type="dxa"/>
            <w:vMerge/>
            <w:tcBorders>
              <w:top w:val="nil"/>
              <w:left w:val="single" w:sz="8" w:space="0" w:color="auto"/>
              <w:bottom w:val="single" w:sz="4" w:space="0" w:color="auto"/>
              <w:right w:val="single" w:sz="8" w:space="0" w:color="auto"/>
            </w:tcBorders>
            <w:vAlign w:val="center"/>
            <w:hideMark/>
          </w:tcPr>
          <w:p w14:paraId="28EFE744" w14:textId="77777777" w:rsidR="005D09BE" w:rsidRPr="00D44048" w:rsidRDefault="005D09BE" w:rsidP="00F4450D">
            <w:pPr>
              <w:jc w:val="both"/>
              <w:rPr>
                <w:rFonts w:ascii="Arial" w:hAnsi="Arial"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1687F086" w14:textId="77777777" w:rsidR="005D09BE" w:rsidRPr="00D44048" w:rsidRDefault="005D09BE" w:rsidP="00F4450D">
            <w:pPr>
              <w:jc w:val="center"/>
              <w:rPr>
                <w:rFonts w:ascii="Arial" w:hAnsi="Arial" w:cs="Arial"/>
                <w:sz w:val="16"/>
                <w:szCs w:val="16"/>
              </w:rPr>
            </w:pPr>
            <w:r w:rsidRPr="00D44048">
              <w:rPr>
                <w:rFonts w:ascii="Arial" w:hAnsi="Arial" w:cs="Arial"/>
                <w:sz w:val="16"/>
                <w:szCs w:val="22"/>
              </w:rPr>
              <w:t>2º</w:t>
            </w:r>
          </w:p>
        </w:tc>
        <w:tc>
          <w:tcPr>
            <w:tcW w:w="1843" w:type="dxa"/>
            <w:tcBorders>
              <w:top w:val="nil"/>
              <w:left w:val="nil"/>
              <w:bottom w:val="single" w:sz="8" w:space="0" w:color="auto"/>
              <w:right w:val="single" w:sz="8" w:space="0" w:color="auto"/>
            </w:tcBorders>
            <w:shd w:val="clear" w:color="auto" w:fill="auto"/>
            <w:vAlign w:val="center"/>
            <w:hideMark/>
          </w:tcPr>
          <w:p w14:paraId="78230FD4"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100.828,73</w:t>
            </w:r>
          </w:p>
        </w:tc>
      </w:tr>
      <w:tr w:rsidR="005D09BE" w:rsidRPr="00D44048" w14:paraId="6A42B2EA" w14:textId="77777777" w:rsidTr="00F4450D">
        <w:trPr>
          <w:cantSplit/>
          <w:trHeight w:val="227"/>
        </w:trPr>
        <w:tc>
          <w:tcPr>
            <w:tcW w:w="4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1A1E2" w14:textId="196AC633" w:rsidR="005D09BE" w:rsidRPr="00D44048" w:rsidRDefault="005D09BE" w:rsidP="00F4450D">
            <w:pPr>
              <w:jc w:val="both"/>
              <w:rPr>
                <w:rFonts w:ascii="Arial" w:hAnsi="Arial" w:cs="Arial"/>
                <w:sz w:val="16"/>
                <w:szCs w:val="16"/>
              </w:rPr>
            </w:pPr>
            <w:r w:rsidRPr="00D44048">
              <w:rPr>
                <w:rFonts w:ascii="Arial" w:hAnsi="Arial" w:cs="Arial"/>
                <w:sz w:val="16"/>
                <w:szCs w:val="16"/>
              </w:rPr>
              <w:t>E.S.O. PROGRAMA CURR</w:t>
            </w:r>
            <w:r w:rsidR="00AF7255">
              <w:rPr>
                <w:rFonts w:ascii="Arial" w:hAnsi="Arial" w:cs="Arial"/>
                <w:sz w:val="16"/>
                <w:szCs w:val="16"/>
              </w:rPr>
              <w:t>Í</w:t>
            </w:r>
            <w:r w:rsidRPr="00D44048">
              <w:rPr>
                <w:rFonts w:ascii="Arial" w:hAnsi="Arial" w:cs="Arial"/>
                <w:sz w:val="16"/>
                <w:szCs w:val="16"/>
              </w:rPr>
              <w:t>CULO ADAPTADO EXTERNA</w:t>
            </w:r>
          </w:p>
        </w:tc>
        <w:tc>
          <w:tcPr>
            <w:tcW w:w="1701" w:type="dxa"/>
            <w:tcBorders>
              <w:top w:val="nil"/>
              <w:left w:val="single" w:sz="4" w:space="0" w:color="auto"/>
              <w:bottom w:val="single" w:sz="8" w:space="0" w:color="auto"/>
              <w:right w:val="single" w:sz="8" w:space="0" w:color="auto"/>
            </w:tcBorders>
            <w:shd w:val="clear" w:color="auto" w:fill="auto"/>
            <w:noWrap/>
            <w:vAlign w:val="center"/>
            <w:hideMark/>
          </w:tcPr>
          <w:p w14:paraId="7BEC1445" w14:textId="77777777" w:rsidR="005D09BE" w:rsidRPr="00D44048" w:rsidRDefault="005D09BE" w:rsidP="00F4450D">
            <w:pPr>
              <w:jc w:val="center"/>
              <w:rPr>
                <w:rFonts w:ascii="Arial" w:hAnsi="Arial" w:cs="Arial"/>
                <w:sz w:val="16"/>
                <w:szCs w:val="16"/>
              </w:rPr>
            </w:pPr>
          </w:p>
        </w:tc>
        <w:tc>
          <w:tcPr>
            <w:tcW w:w="1843" w:type="dxa"/>
            <w:tcBorders>
              <w:top w:val="nil"/>
              <w:left w:val="nil"/>
              <w:bottom w:val="single" w:sz="8" w:space="0" w:color="auto"/>
              <w:right w:val="single" w:sz="8" w:space="0" w:color="auto"/>
            </w:tcBorders>
            <w:shd w:val="clear" w:color="auto" w:fill="auto"/>
            <w:vAlign w:val="center"/>
            <w:hideMark/>
          </w:tcPr>
          <w:p w14:paraId="2AD28B9C" w14:textId="77777777" w:rsidR="005D09BE" w:rsidRPr="00D44048" w:rsidRDefault="005D09BE" w:rsidP="00F4450D">
            <w:pPr>
              <w:jc w:val="center"/>
              <w:rPr>
                <w:rFonts w:ascii="Arial" w:hAnsi="Arial" w:cs="Arial"/>
                <w:sz w:val="16"/>
                <w:szCs w:val="16"/>
              </w:rPr>
            </w:pPr>
            <w:r w:rsidRPr="00D44048">
              <w:rPr>
                <w:rFonts w:ascii="Arial" w:hAnsi="Arial" w:cs="Arial"/>
                <w:sz w:val="16"/>
                <w:szCs w:val="16"/>
              </w:rPr>
              <w:t>102.377,16</w:t>
            </w:r>
          </w:p>
        </w:tc>
      </w:tr>
    </w:tbl>
    <w:p w14:paraId="1BD6B3A5" w14:textId="77777777" w:rsidR="005D09BE" w:rsidRPr="00D44048" w:rsidRDefault="005D09BE" w:rsidP="005D09BE">
      <w:pPr>
        <w:pStyle w:val="DICTA-TEXTO"/>
        <w:tabs>
          <w:tab w:val="clear" w:pos="992"/>
        </w:tabs>
        <w:spacing w:after="0" w:line="240" w:lineRule="auto"/>
        <w:ind w:firstLine="0"/>
        <w:rPr>
          <w:rFonts w:cs="Arial"/>
          <w:sz w:val="20"/>
          <w:lang w:val="es-ES_tradnl"/>
        </w:rPr>
      </w:pPr>
    </w:p>
    <w:p w14:paraId="16B6855B" w14:textId="77777777" w:rsidR="005D09BE" w:rsidRPr="00D44048" w:rsidRDefault="005D09BE" w:rsidP="005D09BE">
      <w:pPr>
        <w:pStyle w:val="DICTA-TEXTO"/>
        <w:spacing w:after="0" w:line="240" w:lineRule="auto"/>
        <w:ind w:firstLine="0"/>
        <w:jc w:val="center"/>
        <w:rPr>
          <w:rFonts w:cs="Arial"/>
          <w:b/>
          <w:szCs w:val="24"/>
          <w:lang w:val="es-ES_tradnl"/>
        </w:rPr>
      </w:pPr>
      <w:r w:rsidRPr="00D44048">
        <w:rPr>
          <w:rFonts w:cs="Arial"/>
          <w:sz w:val="20"/>
          <w:lang w:val="es-ES_tradnl"/>
        </w:rPr>
        <w:br w:type="page"/>
      </w:r>
      <w:bookmarkStart w:id="4" w:name="_Hlk118455792"/>
      <w:r w:rsidRPr="00D44048">
        <w:rPr>
          <w:rFonts w:cs="Arial"/>
          <w:b/>
          <w:szCs w:val="24"/>
          <w:lang w:val="es-ES_tradnl"/>
        </w:rPr>
        <w:lastRenderedPageBreak/>
        <w:t>ANEXO II</w:t>
      </w:r>
    </w:p>
    <w:p w14:paraId="7326A150" w14:textId="77777777" w:rsidR="005D09BE" w:rsidRPr="00D44048" w:rsidRDefault="005D09BE" w:rsidP="005D09BE">
      <w:pPr>
        <w:pStyle w:val="DICTA-TEXTO"/>
        <w:spacing w:after="0" w:line="240" w:lineRule="auto"/>
        <w:ind w:firstLine="0"/>
        <w:jc w:val="center"/>
        <w:rPr>
          <w:rFonts w:cs="Arial"/>
          <w:b/>
          <w:szCs w:val="24"/>
          <w:lang w:val="es-ES_tradnl"/>
        </w:rPr>
      </w:pPr>
    </w:p>
    <w:p w14:paraId="2C076F2D" w14:textId="77777777" w:rsidR="005D09BE" w:rsidRPr="00D44048" w:rsidRDefault="005D09BE" w:rsidP="005D09BE">
      <w:pPr>
        <w:pStyle w:val="DICTA-TEXTO"/>
        <w:spacing w:after="0" w:line="240" w:lineRule="auto"/>
        <w:ind w:firstLine="0"/>
        <w:jc w:val="center"/>
        <w:rPr>
          <w:rFonts w:cs="Arial"/>
          <w:b/>
          <w:szCs w:val="24"/>
          <w:lang w:val="es-ES_tradnl"/>
        </w:rPr>
      </w:pPr>
    </w:p>
    <w:p w14:paraId="3440E797" w14:textId="77777777" w:rsidR="005D09BE" w:rsidRPr="00D44048" w:rsidRDefault="005D09BE" w:rsidP="005D09BE">
      <w:pPr>
        <w:pStyle w:val="DICTA-TEXTO"/>
        <w:spacing w:after="0" w:line="240" w:lineRule="auto"/>
        <w:ind w:firstLine="0"/>
        <w:jc w:val="center"/>
        <w:rPr>
          <w:rFonts w:cs="Arial"/>
          <w:b/>
          <w:szCs w:val="24"/>
          <w:lang w:val="es-ES_tradnl"/>
        </w:rPr>
      </w:pPr>
      <w:r w:rsidRPr="00D44048">
        <w:rPr>
          <w:rFonts w:cs="Arial"/>
          <w:noProof/>
          <w:lang w:val="es-ES_tradnl"/>
        </w:rPr>
        <w:drawing>
          <wp:inline distT="0" distB="0" distL="0" distR="0" wp14:anchorId="614CF884" wp14:editId="60E6DC08">
            <wp:extent cx="10081260" cy="5077907"/>
            <wp:effectExtent l="0" t="0" r="0"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81260" cy="5077907"/>
                    </a:xfrm>
                    <a:prstGeom prst="rect">
                      <a:avLst/>
                    </a:prstGeom>
                    <a:noFill/>
                    <a:ln>
                      <a:noFill/>
                    </a:ln>
                  </pic:spPr>
                </pic:pic>
              </a:graphicData>
            </a:graphic>
          </wp:inline>
        </w:drawing>
      </w:r>
    </w:p>
    <w:bookmarkEnd w:id="4"/>
    <w:p w14:paraId="39016851" w14:textId="77777777" w:rsidR="005D09BE" w:rsidRPr="00D44048" w:rsidRDefault="005D09BE" w:rsidP="005D09BE">
      <w:pPr>
        <w:rPr>
          <w:rFonts w:ascii="Arial" w:hAnsi="Arial" w:cs="Arial"/>
          <w:sz w:val="20"/>
        </w:rPr>
      </w:pPr>
    </w:p>
    <w:p w14:paraId="060BCAD0" w14:textId="77777777" w:rsidR="005D09BE" w:rsidRPr="00D44048" w:rsidRDefault="005D09BE" w:rsidP="005D09BE">
      <w:pPr>
        <w:rPr>
          <w:rFonts w:ascii="Arial" w:hAnsi="Arial" w:cs="Arial"/>
          <w:sz w:val="20"/>
        </w:rPr>
      </w:pPr>
      <w:r w:rsidRPr="00D44048">
        <w:rPr>
          <w:rFonts w:ascii="Arial" w:hAnsi="Arial" w:cs="Arial"/>
          <w:sz w:val="20"/>
        </w:rPr>
        <w:br w:type="page"/>
      </w:r>
    </w:p>
    <w:p w14:paraId="0D7049CF" w14:textId="77777777" w:rsidR="005D09BE" w:rsidRPr="00D44048" w:rsidRDefault="005D09BE" w:rsidP="005D09BE">
      <w:pPr>
        <w:rPr>
          <w:rFonts w:ascii="Arial" w:hAnsi="Arial" w:cs="Arial"/>
          <w:sz w:val="20"/>
        </w:rPr>
      </w:pPr>
    </w:p>
    <w:p w14:paraId="27CC3F2D" w14:textId="77777777" w:rsidR="005D09BE" w:rsidRPr="00D44048" w:rsidRDefault="005D09BE" w:rsidP="005D09BE">
      <w:pPr>
        <w:rPr>
          <w:rFonts w:ascii="Arial" w:hAnsi="Arial" w:cs="Arial"/>
          <w:sz w:val="20"/>
        </w:rPr>
      </w:pPr>
    </w:p>
    <w:p w14:paraId="7B3F6B6C" w14:textId="77777777" w:rsidR="00053772" w:rsidRPr="00D44048" w:rsidRDefault="005D09BE" w:rsidP="005D09BE">
      <w:pPr>
        <w:rPr>
          <w:rFonts w:ascii="Arial" w:hAnsi="Arial" w:cs="Arial"/>
          <w:sz w:val="20"/>
        </w:rPr>
        <w:sectPr w:rsidR="00053772" w:rsidRPr="00D44048" w:rsidSect="005D09BE">
          <w:headerReference w:type="first" r:id="rId11"/>
          <w:type w:val="continuous"/>
          <w:pgSz w:w="16840" w:h="11907" w:orient="landscape" w:code="9"/>
          <w:pgMar w:top="709" w:right="397" w:bottom="426" w:left="567" w:header="1134" w:footer="1134" w:gutter="0"/>
          <w:paperSrc w:first="7" w:other="7"/>
          <w:cols w:space="720"/>
          <w:docGrid w:linePitch="354"/>
        </w:sectPr>
      </w:pPr>
      <w:r w:rsidRPr="00D44048">
        <w:rPr>
          <w:rFonts w:ascii="Arial" w:hAnsi="Arial" w:cs="Arial"/>
          <w:noProof/>
        </w:rPr>
        <w:drawing>
          <wp:inline distT="0" distB="0" distL="0" distR="0" wp14:anchorId="13941752" wp14:editId="334F544B">
            <wp:extent cx="10081260" cy="4398643"/>
            <wp:effectExtent l="0" t="0" r="0" b="25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81260" cy="4398643"/>
                    </a:xfrm>
                    <a:prstGeom prst="rect">
                      <a:avLst/>
                    </a:prstGeom>
                    <a:noFill/>
                    <a:ln>
                      <a:noFill/>
                    </a:ln>
                  </pic:spPr>
                </pic:pic>
              </a:graphicData>
            </a:graphic>
          </wp:inline>
        </w:drawing>
      </w:r>
    </w:p>
    <w:p w14:paraId="61A064EE" w14:textId="77777777" w:rsidR="005D09BE" w:rsidRPr="00D44048" w:rsidRDefault="005D09BE" w:rsidP="005D09BE">
      <w:pPr>
        <w:rPr>
          <w:rFonts w:ascii="Arial" w:hAnsi="Arial" w:cs="Arial"/>
          <w:sz w:val="20"/>
        </w:rPr>
      </w:pPr>
    </w:p>
    <w:p w14:paraId="7A011FDE" w14:textId="77777777" w:rsidR="00975A08" w:rsidRPr="00D44048" w:rsidRDefault="00975A08" w:rsidP="007233A4">
      <w:pPr>
        <w:ind w:right="-2014"/>
        <w:rPr>
          <w:rFonts w:ascii="Arial" w:hAnsi="Arial" w:cs="Arial"/>
          <w:sz w:val="19"/>
          <w:szCs w:val="19"/>
        </w:rPr>
      </w:pPr>
    </w:p>
    <w:p w14:paraId="6F89118C" w14:textId="639CA14F" w:rsidR="00053772" w:rsidRPr="00D44048" w:rsidRDefault="00053772" w:rsidP="00053772">
      <w:pPr>
        <w:pStyle w:val="OFI-FECHA1"/>
        <w:rPr>
          <w:lang w:val="es-ES_tradnl"/>
        </w:rPr>
      </w:pPr>
      <w:r w:rsidRPr="00D44048">
        <w:rPr>
          <w:lang w:val="es-ES_tradnl"/>
        </w:rPr>
        <w:t xml:space="preserve">Pamplona, </w:t>
      </w:r>
      <w:r w:rsidR="00A976C7" w:rsidRPr="00D44048">
        <w:rPr>
          <w:lang w:val="es-ES_tradnl"/>
        </w:rPr>
        <w:t>4</w:t>
      </w:r>
      <w:r w:rsidRPr="00D44048">
        <w:rPr>
          <w:lang w:val="es-ES_tradnl"/>
        </w:rPr>
        <w:t xml:space="preserve"> de </w:t>
      </w:r>
      <w:r w:rsidR="00A976C7" w:rsidRPr="00D44048">
        <w:rPr>
          <w:lang w:val="es-ES_tradnl"/>
        </w:rPr>
        <w:t>marzo</w:t>
      </w:r>
      <w:r w:rsidRPr="00D44048">
        <w:rPr>
          <w:lang w:val="es-ES_tradnl"/>
        </w:rPr>
        <w:t xml:space="preserve"> de 2024</w:t>
      </w:r>
    </w:p>
    <w:p w14:paraId="78730F55" w14:textId="77777777" w:rsidR="00053772" w:rsidRPr="00D44048" w:rsidRDefault="00053772" w:rsidP="00053772">
      <w:pPr>
        <w:pStyle w:val="OFI-FIRMA1"/>
        <w:spacing w:after="1300"/>
        <w:rPr>
          <w:lang w:val="es-ES_tradnl"/>
        </w:rPr>
      </w:pPr>
      <w:r w:rsidRPr="00D44048">
        <w:rPr>
          <w:lang w:val="es-ES_tradnl"/>
        </w:rPr>
        <w:t>La Presidenta de la Comisión</w:t>
      </w:r>
    </w:p>
    <w:p w14:paraId="71202A3C" w14:textId="77777777" w:rsidR="00053772" w:rsidRPr="00D44048" w:rsidRDefault="00053772" w:rsidP="00053772">
      <w:pPr>
        <w:pStyle w:val="OFI-FIRMA2"/>
      </w:pPr>
      <w:r w:rsidRPr="00D44048">
        <w:t>Isabel Aramburu Bergua</w:t>
      </w:r>
    </w:p>
    <w:p w14:paraId="7A013176" w14:textId="77777777" w:rsidR="00053772" w:rsidRPr="00D44048" w:rsidRDefault="00053772" w:rsidP="00053772">
      <w:pPr>
        <w:jc w:val="center"/>
      </w:pPr>
    </w:p>
    <w:p w14:paraId="1AD36AD7" w14:textId="77777777" w:rsidR="00053772" w:rsidRPr="00D44048" w:rsidRDefault="00053772" w:rsidP="00053772">
      <w:pPr>
        <w:pStyle w:val="OFI-FIRMA5"/>
        <w:tabs>
          <w:tab w:val="clear" w:pos="1701"/>
          <w:tab w:val="clear" w:pos="6237"/>
          <w:tab w:val="center" w:pos="3544"/>
          <w:tab w:val="center" w:pos="7797"/>
        </w:tabs>
        <w:rPr>
          <w:lang w:val="es-ES_tradnl"/>
        </w:rPr>
      </w:pPr>
      <w:r w:rsidRPr="00D44048">
        <w:rPr>
          <w:lang w:val="es-ES_tradnl"/>
        </w:rPr>
        <w:tab/>
        <w:t>El Vicepresidente</w:t>
      </w:r>
      <w:r w:rsidRPr="00D44048">
        <w:rPr>
          <w:lang w:val="es-ES_tradnl"/>
        </w:rPr>
        <w:tab/>
        <w:t>El Secretario</w:t>
      </w:r>
    </w:p>
    <w:p w14:paraId="33034CE3" w14:textId="249B1138" w:rsidR="00053772" w:rsidRPr="00D44048" w:rsidRDefault="00053772" w:rsidP="00053772">
      <w:pPr>
        <w:pStyle w:val="OFI-FIRMA6"/>
        <w:tabs>
          <w:tab w:val="clear" w:pos="1701"/>
          <w:tab w:val="clear" w:pos="6237"/>
          <w:tab w:val="center" w:pos="3544"/>
          <w:tab w:val="center" w:pos="7797"/>
        </w:tabs>
        <w:rPr>
          <w:rFonts w:cs="Arial"/>
          <w:sz w:val="19"/>
          <w:szCs w:val="19"/>
          <w:lang w:val="es-ES_tradnl"/>
        </w:rPr>
      </w:pPr>
      <w:r w:rsidRPr="00D44048">
        <w:rPr>
          <w:lang w:val="es-ES_tradnl"/>
        </w:rPr>
        <w:tab/>
        <w:t>Adolfo Araiz Flamarique</w:t>
      </w:r>
      <w:r w:rsidRPr="00D44048">
        <w:rPr>
          <w:lang w:val="es-ES_tradnl"/>
        </w:rPr>
        <w:tab/>
        <w:t>Kevin Lucero Domingues</w:t>
      </w:r>
    </w:p>
    <w:sectPr w:rsidR="00053772" w:rsidRPr="00D44048" w:rsidSect="00053772">
      <w:headerReference w:type="even" r:id="rId13"/>
      <w:headerReference w:type="default" r:id="rId14"/>
      <w:footerReference w:type="even" r:id="rId15"/>
      <w:footerReference w:type="default" r:id="rId16"/>
      <w:headerReference w:type="first" r:id="rId17"/>
      <w:footerReference w:type="first" r:id="rId18"/>
      <w:pgSz w:w="11907" w:h="16840" w:code="9"/>
      <w:pgMar w:top="397" w:right="426" w:bottom="567" w:left="709" w:header="1134" w:footer="1134" w:gutter="0"/>
      <w:paperSrc w:first="7" w:other="7"/>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49E59" w14:textId="77777777" w:rsidR="005615CF" w:rsidRPr="00D44048" w:rsidRDefault="005615CF">
      <w:r w:rsidRPr="00D44048">
        <w:separator/>
      </w:r>
    </w:p>
  </w:endnote>
  <w:endnote w:type="continuationSeparator" w:id="0">
    <w:p w14:paraId="4368461B" w14:textId="77777777" w:rsidR="005615CF" w:rsidRPr="00D44048" w:rsidRDefault="005615CF">
      <w:r w:rsidRPr="00D440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00000000"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Helvetica LT Std">
    <w:altName w:val="Arial"/>
    <w:panose1 w:val="020B0504020202020204"/>
    <w:charset w:val="00"/>
    <w:family w:val="swiss"/>
    <w:notTrueType/>
    <w:pitch w:val="variable"/>
    <w:sig w:usb0="800002AF" w:usb1="50002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24CB9" w14:textId="77777777" w:rsidR="00053772" w:rsidRPr="00D44048" w:rsidRDefault="0005377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5C9EC" w14:textId="65D6E41F" w:rsidR="00053772" w:rsidRPr="00D44048" w:rsidRDefault="00053772">
    <w:pPr>
      <w:pStyle w:val="OFI-PIE"/>
      <w:rPr>
        <w:lang w:val="es-ES_tradnl"/>
      </w:rPr>
    </w:pPr>
    <w:r w:rsidRPr="00D44048">
      <w:rPr>
        <w:lang w:val="es-ES_tradn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032D" w14:textId="77777777" w:rsidR="00053772" w:rsidRPr="00D44048" w:rsidRDefault="000537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29961" w14:textId="77777777" w:rsidR="005615CF" w:rsidRPr="00D44048" w:rsidRDefault="005615CF">
      <w:r w:rsidRPr="00D44048">
        <w:separator/>
      </w:r>
    </w:p>
  </w:footnote>
  <w:footnote w:type="continuationSeparator" w:id="0">
    <w:p w14:paraId="630020DC" w14:textId="77777777" w:rsidR="005615CF" w:rsidRPr="00D44048" w:rsidRDefault="005615CF">
      <w:r w:rsidRPr="00D440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56913" w14:textId="2FCBE10F" w:rsidR="005615CF" w:rsidRPr="00D44048" w:rsidRDefault="00387586">
    <w:pPr>
      <w:pStyle w:val="Encabezado"/>
    </w:pPr>
    <w:r w:rsidRPr="00D44048">
      <w:rPr>
        <w:noProof/>
      </w:rPr>
      <w:drawing>
        <wp:anchor distT="0" distB="0" distL="114300" distR="114300" simplePos="0" relativeHeight="251657728" behindDoc="0" locked="0" layoutInCell="1" allowOverlap="1" wp14:anchorId="36DA7970" wp14:editId="17123019">
          <wp:simplePos x="0" y="0"/>
          <wp:positionH relativeFrom="column">
            <wp:posOffset>-936625</wp:posOffset>
          </wp:positionH>
          <wp:positionV relativeFrom="paragraph">
            <wp:posOffset>-323850</wp:posOffset>
          </wp:positionV>
          <wp:extent cx="1579880" cy="1223645"/>
          <wp:effectExtent l="0" t="0" r="0" b="0"/>
          <wp:wrapNone/>
          <wp:docPr id="522924152"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r w:rsidR="005615CF" w:rsidRPr="00D44048">
      <w:rPr>
        <w:rStyle w:val="Nmerodepgina"/>
      </w:rPr>
      <w:fldChar w:fldCharType="begin"/>
    </w:r>
    <w:r w:rsidR="005615CF" w:rsidRPr="00D44048">
      <w:rPr>
        <w:rStyle w:val="Nmerodepgina"/>
      </w:rPr>
      <w:instrText xml:space="preserve"> PAGE </w:instrText>
    </w:r>
    <w:r w:rsidR="005615CF" w:rsidRPr="00D44048">
      <w:rPr>
        <w:rStyle w:val="Nmerodepgina"/>
      </w:rPr>
      <w:fldChar w:fldCharType="separate"/>
    </w:r>
    <w:r w:rsidR="00856DFA" w:rsidRPr="00D44048">
      <w:rPr>
        <w:rStyle w:val="Nmerodepgina"/>
      </w:rPr>
      <w:t>1</w:t>
    </w:r>
    <w:r w:rsidR="005615CF" w:rsidRPr="00D44048">
      <w:rPr>
        <w:rStyle w:val="Nmerodepgina"/>
      </w:rPr>
      <w:fldChar w:fldCharType="end"/>
    </w:r>
    <w:r w:rsidR="005615CF" w:rsidRPr="00D44048">
      <w:rPr>
        <w:rStyle w:val="Nmerodepgin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316C8" w14:textId="77777777" w:rsidR="005615CF" w:rsidRPr="00D44048" w:rsidRDefault="005615CF">
    <w:pPr>
      <w:pStyle w:val="Encabezado"/>
      <w:jc w:val="right"/>
      <w:rPr>
        <w:rFonts w:ascii="Arial" w:hAnsi="Arial" w:cs="Arial"/>
        <w:sz w:val="22"/>
      </w:rPr>
    </w:pPr>
    <w:r w:rsidRPr="00D44048">
      <w:rPr>
        <w:rStyle w:val="Nmerodepgina"/>
        <w:rFonts w:ascii="Arial" w:hAnsi="Arial" w:cs="Arial"/>
        <w:sz w:val="22"/>
      </w:rPr>
      <w:fldChar w:fldCharType="begin"/>
    </w:r>
    <w:r w:rsidRPr="00D44048">
      <w:rPr>
        <w:rStyle w:val="Nmerodepgina"/>
        <w:rFonts w:ascii="Arial" w:hAnsi="Arial" w:cs="Arial"/>
        <w:sz w:val="22"/>
      </w:rPr>
      <w:instrText xml:space="preserve"> PAGE </w:instrText>
    </w:r>
    <w:r w:rsidRPr="00D44048">
      <w:rPr>
        <w:rStyle w:val="Nmerodepgina"/>
        <w:rFonts w:ascii="Arial" w:hAnsi="Arial" w:cs="Arial"/>
        <w:sz w:val="22"/>
      </w:rPr>
      <w:fldChar w:fldCharType="separate"/>
    </w:r>
    <w:r w:rsidR="00856DFA" w:rsidRPr="00D44048">
      <w:rPr>
        <w:rStyle w:val="Nmerodepgina"/>
        <w:rFonts w:ascii="Arial" w:hAnsi="Arial" w:cs="Arial"/>
        <w:sz w:val="22"/>
      </w:rPr>
      <w:t>59</w:t>
    </w:r>
    <w:r w:rsidRPr="00D44048">
      <w:rPr>
        <w:rStyle w:val="Nmerodepgina"/>
        <w:rFonts w:ascii="Arial" w:hAnsi="Arial" w:cs="Arial"/>
        <w:sz w:val="22"/>
      </w:rPr>
      <w:fldChar w:fldCharType="end"/>
    </w:r>
    <w:r w:rsidRPr="00D44048">
      <w:rPr>
        <w:rStyle w:val="Nmerodepgina"/>
        <w:rFonts w:ascii="Arial" w:hAnsi="Arial" w:cs="Arial"/>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1A13C" w14:textId="77777777" w:rsidR="005D09BE" w:rsidRPr="00D44048" w:rsidRDefault="005D09BE" w:rsidP="005D719A">
    <w:pPr>
      <w:tabs>
        <w:tab w:val="left" w:pos="12758"/>
      </w:tabs>
      <w:ind w:left="269" w:right="-880" w:firstLine="12914"/>
      <w:rPr>
        <w:rFonts w:ascii="Arial" w:hAnsi="Arial" w:cs="Arial"/>
        <w:sz w:val="22"/>
        <w:szCs w:val="22"/>
      </w:rPr>
    </w:pPr>
    <w:r w:rsidRPr="00D44048">
      <w:rPr>
        <w:rFonts w:ascii="Arial" w:hAnsi="Arial" w:cs="Arial"/>
        <w:sz w:val="22"/>
        <w:szCs w:val="22"/>
      </w:rPr>
      <w:fldChar w:fldCharType="begin"/>
    </w:r>
    <w:r w:rsidRPr="00D44048">
      <w:rPr>
        <w:rFonts w:ascii="Arial" w:hAnsi="Arial" w:cs="Arial"/>
        <w:sz w:val="22"/>
        <w:szCs w:val="22"/>
      </w:rPr>
      <w:instrText xml:space="preserve"> PAGE </w:instrText>
    </w:r>
    <w:r w:rsidRPr="00D44048">
      <w:rPr>
        <w:rFonts w:ascii="Arial" w:hAnsi="Arial" w:cs="Arial"/>
        <w:sz w:val="22"/>
        <w:szCs w:val="22"/>
      </w:rPr>
      <w:fldChar w:fldCharType="separate"/>
    </w:r>
    <w:r w:rsidRPr="00D44048">
      <w:rPr>
        <w:rFonts w:ascii="Arial" w:hAnsi="Arial" w:cs="Arial"/>
        <w:sz w:val="22"/>
        <w:szCs w:val="22"/>
      </w:rPr>
      <w:t>53</w:t>
    </w:r>
    <w:r w:rsidRPr="00D44048">
      <w:rPr>
        <w:rFonts w:ascii="Arial" w:hAnsi="Arial" w:cs="Arial"/>
        <w:sz w:val="22"/>
        <w:szCs w:val="22"/>
      </w:rPr>
      <w:fldChar w:fldCharType="end"/>
    </w:r>
    <w:r w:rsidRPr="00D44048">
      <w:rPr>
        <w:rFonts w:ascii="Arial" w:hAnsi="Arial" w:cs="Arial"/>
        <w:sz w:val="22"/>
        <w:szCs w:val="22"/>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91335" w14:textId="77777777" w:rsidR="00053772" w:rsidRPr="00D44048" w:rsidRDefault="00053772">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FC48E" w14:textId="77FF9F9C" w:rsidR="00053772" w:rsidRPr="00D44048" w:rsidRDefault="00053772" w:rsidP="00053772">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A1DD" w14:textId="77777777" w:rsidR="00053772" w:rsidRPr="00D44048" w:rsidRDefault="000537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3D93F38"/>
    <w:multiLevelType w:val="hybridMultilevel"/>
    <w:tmpl w:val="2F320BC6"/>
    <w:lvl w:ilvl="0" w:tplc="60F86C90">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F6D78F4"/>
    <w:multiLevelType w:val="hybridMultilevel"/>
    <w:tmpl w:val="9C12D292"/>
    <w:lvl w:ilvl="0" w:tplc="0C0A0017">
      <w:start w:val="1"/>
      <w:numFmt w:val="lowerLetter"/>
      <w:lvlText w:val="%1)"/>
      <w:lvlJc w:val="left"/>
      <w:pPr>
        <w:ind w:left="643"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7BD2F2C"/>
    <w:multiLevelType w:val="hybridMultilevel"/>
    <w:tmpl w:val="6DBC5C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2A553FCB"/>
    <w:multiLevelType w:val="hybridMultilevel"/>
    <w:tmpl w:val="82FEAE80"/>
    <w:lvl w:ilvl="0" w:tplc="3CB204D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6" w15:restartNumberingAfterBreak="0">
    <w:nsid w:val="305F5E80"/>
    <w:multiLevelType w:val="hybridMultilevel"/>
    <w:tmpl w:val="980ECAA4"/>
    <w:lvl w:ilvl="0" w:tplc="34029C6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3AAD33FA"/>
    <w:multiLevelType w:val="hybridMultilevel"/>
    <w:tmpl w:val="2ACC61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B4E6775"/>
    <w:multiLevelType w:val="hybridMultilevel"/>
    <w:tmpl w:val="61EAEDC4"/>
    <w:lvl w:ilvl="0" w:tplc="D59081EA">
      <w:start w:val="1"/>
      <w:numFmt w:val="decimal"/>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9"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693D44"/>
    <w:multiLevelType w:val="hybridMultilevel"/>
    <w:tmpl w:val="551A40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447F08AE"/>
    <w:multiLevelType w:val="hybridMultilevel"/>
    <w:tmpl w:val="A6767B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03D07FF"/>
    <w:multiLevelType w:val="hybridMultilevel"/>
    <w:tmpl w:val="379257D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39F3BA2"/>
    <w:multiLevelType w:val="hybridMultilevel"/>
    <w:tmpl w:val="6DBC5C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5A943A17"/>
    <w:multiLevelType w:val="hybridMultilevel"/>
    <w:tmpl w:val="6DC80D5C"/>
    <w:lvl w:ilvl="0" w:tplc="C6AAFB90">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5" w15:restartNumberingAfterBreak="0">
    <w:nsid w:val="5DED090D"/>
    <w:multiLevelType w:val="hybridMultilevel"/>
    <w:tmpl w:val="6CA6868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15:restartNumberingAfterBreak="0">
    <w:nsid w:val="60F273E1"/>
    <w:multiLevelType w:val="multilevel"/>
    <w:tmpl w:val="7BCCE3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3395B41"/>
    <w:multiLevelType w:val="hybridMultilevel"/>
    <w:tmpl w:val="DC60FA72"/>
    <w:lvl w:ilvl="0" w:tplc="1176462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8" w15:restartNumberingAfterBreak="0">
    <w:nsid w:val="6ABB49ED"/>
    <w:multiLevelType w:val="hybridMultilevel"/>
    <w:tmpl w:val="774AB0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F171989"/>
    <w:multiLevelType w:val="hybridMultilevel"/>
    <w:tmpl w:val="E7EE5068"/>
    <w:lvl w:ilvl="0" w:tplc="0C0A0017">
      <w:start w:val="1"/>
      <w:numFmt w:val="lowerLetter"/>
      <w:lvlText w:val="%1)"/>
      <w:lvlJc w:val="left"/>
      <w:pPr>
        <w:ind w:left="795" w:hanging="360"/>
      </w:pPr>
    </w:lvl>
    <w:lvl w:ilvl="1" w:tplc="0C0A0019">
      <w:start w:val="1"/>
      <w:numFmt w:val="lowerLetter"/>
      <w:lvlText w:val="%2."/>
      <w:lvlJc w:val="left"/>
      <w:pPr>
        <w:ind w:left="1515" w:hanging="360"/>
      </w:pPr>
    </w:lvl>
    <w:lvl w:ilvl="2" w:tplc="0C0A001B">
      <w:start w:val="1"/>
      <w:numFmt w:val="lowerRoman"/>
      <w:lvlText w:val="%3."/>
      <w:lvlJc w:val="right"/>
      <w:pPr>
        <w:ind w:left="2235" w:hanging="180"/>
      </w:pPr>
    </w:lvl>
    <w:lvl w:ilvl="3" w:tplc="0C0A000F">
      <w:start w:val="1"/>
      <w:numFmt w:val="decimal"/>
      <w:lvlText w:val="%4."/>
      <w:lvlJc w:val="left"/>
      <w:pPr>
        <w:ind w:left="2955" w:hanging="360"/>
      </w:pPr>
    </w:lvl>
    <w:lvl w:ilvl="4" w:tplc="0C0A0019">
      <w:start w:val="1"/>
      <w:numFmt w:val="lowerLetter"/>
      <w:lvlText w:val="%5."/>
      <w:lvlJc w:val="left"/>
      <w:pPr>
        <w:ind w:left="3675" w:hanging="360"/>
      </w:pPr>
    </w:lvl>
    <w:lvl w:ilvl="5" w:tplc="0C0A001B">
      <w:start w:val="1"/>
      <w:numFmt w:val="lowerRoman"/>
      <w:lvlText w:val="%6."/>
      <w:lvlJc w:val="right"/>
      <w:pPr>
        <w:ind w:left="4395" w:hanging="180"/>
      </w:pPr>
    </w:lvl>
    <w:lvl w:ilvl="6" w:tplc="0C0A000F">
      <w:start w:val="1"/>
      <w:numFmt w:val="decimal"/>
      <w:lvlText w:val="%7."/>
      <w:lvlJc w:val="left"/>
      <w:pPr>
        <w:ind w:left="5115" w:hanging="360"/>
      </w:pPr>
    </w:lvl>
    <w:lvl w:ilvl="7" w:tplc="0C0A0019">
      <w:start w:val="1"/>
      <w:numFmt w:val="lowerLetter"/>
      <w:lvlText w:val="%8."/>
      <w:lvlJc w:val="left"/>
      <w:pPr>
        <w:ind w:left="5835" w:hanging="360"/>
      </w:pPr>
    </w:lvl>
    <w:lvl w:ilvl="8" w:tplc="0C0A001B">
      <w:start w:val="1"/>
      <w:numFmt w:val="lowerRoman"/>
      <w:lvlText w:val="%9."/>
      <w:lvlJc w:val="right"/>
      <w:pPr>
        <w:ind w:left="6555" w:hanging="180"/>
      </w:pPr>
    </w:lvl>
  </w:abstractNum>
  <w:abstractNum w:abstractNumId="20" w15:restartNumberingAfterBreak="0">
    <w:nsid w:val="6FF83CC1"/>
    <w:multiLevelType w:val="hybridMultilevel"/>
    <w:tmpl w:val="4622D612"/>
    <w:lvl w:ilvl="0" w:tplc="D7A0A758">
      <w:start w:val="1"/>
      <w:numFmt w:val="decimal"/>
      <w:lvlText w:val="%1."/>
      <w:lvlJc w:val="left"/>
      <w:pPr>
        <w:ind w:left="1789" w:hanging="360"/>
      </w:pPr>
      <w:rPr>
        <w:rFonts w:hint="default"/>
      </w:rPr>
    </w:lvl>
    <w:lvl w:ilvl="1" w:tplc="0C0A0019" w:tentative="1">
      <w:start w:val="1"/>
      <w:numFmt w:val="lowerLetter"/>
      <w:lvlText w:val="%2."/>
      <w:lvlJc w:val="left"/>
      <w:pPr>
        <w:ind w:left="2509" w:hanging="360"/>
      </w:pPr>
    </w:lvl>
    <w:lvl w:ilvl="2" w:tplc="0C0A001B" w:tentative="1">
      <w:start w:val="1"/>
      <w:numFmt w:val="lowerRoman"/>
      <w:lvlText w:val="%3."/>
      <w:lvlJc w:val="right"/>
      <w:pPr>
        <w:ind w:left="3229" w:hanging="180"/>
      </w:pPr>
    </w:lvl>
    <w:lvl w:ilvl="3" w:tplc="0C0A000F" w:tentative="1">
      <w:start w:val="1"/>
      <w:numFmt w:val="decimal"/>
      <w:lvlText w:val="%4."/>
      <w:lvlJc w:val="left"/>
      <w:pPr>
        <w:ind w:left="3949" w:hanging="360"/>
      </w:pPr>
    </w:lvl>
    <w:lvl w:ilvl="4" w:tplc="0C0A0019" w:tentative="1">
      <w:start w:val="1"/>
      <w:numFmt w:val="lowerLetter"/>
      <w:lvlText w:val="%5."/>
      <w:lvlJc w:val="left"/>
      <w:pPr>
        <w:ind w:left="4669" w:hanging="360"/>
      </w:pPr>
    </w:lvl>
    <w:lvl w:ilvl="5" w:tplc="0C0A001B" w:tentative="1">
      <w:start w:val="1"/>
      <w:numFmt w:val="lowerRoman"/>
      <w:lvlText w:val="%6."/>
      <w:lvlJc w:val="right"/>
      <w:pPr>
        <w:ind w:left="5389" w:hanging="180"/>
      </w:pPr>
    </w:lvl>
    <w:lvl w:ilvl="6" w:tplc="0C0A000F" w:tentative="1">
      <w:start w:val="1"/>
      <w:numFmt w:val="decimal"/>
      <w:lvlText w:val="%7."/>
      <w:lvlJc w:val="left"/>
      <w:pPr>
        <w:ind w:left="6109" w:hanging="360"/>
      </w:pPr>
    </w:lvl>
    <w:lvl w:ilvl="7" w:tplc="0C0A0019" w:tentative="1">
      <w:start w:val="1"/>
      <w:numFmt w:val="lowerLetter"/>
      <w:lvlText w:val="%8."/>
      <w:lvlJc w:val="left"/>
      <w:pPr>
        <w:ind w:left="6829" w:hanging="360"/>
      </w:pPr>
    </w:lvl>
    <w:lvl w:ilvl="8" w:tplc="0C0A001B" w:tentative="1">
      <w:start w:val="1"/>
      <w:numFmt w:val="lowerRoman"/>
      <w:lvlText w:val="%9."/>
      <w:lvlJc w:val="right"/>
      <w:pPr>
        <w:ind w:left="7549" w:hanging="180"/>
      </w:pPr>
    </w:lvl>
  </w:abstractNum>
  <w:num w:numId="1" w16cid:durableId="17084847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20563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7875575">
    <w:abstractNumId w:val="5"/>
  </w:num>
  <w:num w:numId="4" w16cid:durableId="495539588">
    <w:abstractNumId w:val="11"/>
  </w:num>
  <w:num w:numId="5" w16cid:durableId="1844928981">
    <w:abstractNumId w:val="3"/>
  </w:num>
  <w:num w:numId="6" w16cid:durableId="534316234">
    <w:abstractNumId w:val="12"/>
  </w:num>
  <w:num w:numId="7" w16cid:durableId="14737928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6133305">
    <w:abstractNumId w:val="13"/>
  </w:num>
  <w:num w:numId="9" w16cid:durableId="1718820385">
    <w:abstractNumId w:val="17"/>
  </w:num>
  <w:num w:numId="10" w16cid:durableId="240601939">
    <w:abstractNumId w:val="7"/>
  </w:num>
  <w:num w:numId="11" w16cid:durableId="1020743435">
    <w:abstractNumId w:val="20"/>
  </w:num>
  <w:num w:numId="12" w16cid:durableId="8414707">
    <w:abstractNumId w:val="6"/>
  </w:num>
  <w:num w:numId="13" w16cid:durableId="1251237226">
    <w:abstractNumId w:val="1"/>
  </w:num>
  <w:num w:numId="14" w16cid:durableId="345445763">
    <w:abstractNumId w:val="9"/>
  </w:num>
  <w:num w:numId="15" w16cid:durableId="1943101276">
    <w:abstractNumId w:val="2"/>
  </w:num>
  <w:num w:numId="16" w16cid:durableId="1912082396">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17" w16cid:durableId="25302934">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18" w16cid:durableId="1494029922">
    <w:abstractNumId w:val="0"/>
    <w:lvlOverride w:ilvl="0">
      <w:lvl w:ilvl="0">
        <w:start w:val="1"/>
        <w:numFmt w:val="bullet"/>
        <w:lvlText w:val=""/>
        <w:legacy w:legacy="1" w:legacySpace="0" w:legacyIndent="284"/>
        <w:lvlJc w:val="left"/>
        <w:rPr>
          <w:rFonts w:ascii="Symbol" w:hAnsi="Symbol" w:hint="default"/>
          <w:sz w:val="22"/>
        </w:rPr>
      </w:lvl>
    </w:lvlOverride>
  </w:num>
  <w:num w:numId="19" w16cid:durableId="1446921751">
    <w:abstractNumId w:val="18"/>
  </w:num>
  <w:num w:numId="20" w16cid:durableId="103312229">
    <w:abstractNumId w:val="10"/>
  </w:num>
  <w:num w:numId="21" w16cid:durableId="3471052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55228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30944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09"/>
  <w:hyphenationZone w:val="425"/>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BAC"/>
    <w:rsid w:val="00031627"/>
    <w:rsid w:val="000533A7"/>
    <w:rsid w:val="00053772"/>
    <w:rsid w:val="00057896"/>
    <w:rsid w:val="000769B8"/>
    <w:rsid w:val="00084C32"/>
    <w:rsid w:val="00097A3B"/>
    <w:rsid w:val="000B7B00"/>
    <w:rsid w:val="000E2916"/>
    <w:rsid w:val="000E2ABE"/>
    <w:rsid w:val="00113242"/>
    <w:rsid w:val="00114D0C"/>
    <w:rsid w:val="001236A3"/>
    <w:rsid w:val="00123AF5"/>
    <w:rsid w:val="00133E40"/>
    <w:rsid w:val="00171527"/>
    <w:rsid w:val="00172C91"/>
    <w:rsid w:val="001C038D"/>
    <w:rsid w:val="001C6BBC"/>
    <w:rsid w:val="001D0CCC"/>
    <w:rsid w:val="001D5B6E"/>
    <w:rsid w:val="0021485D"/>
    <w:rsid w:val="00221C35"/>
    <w:rsid w:val="00236057"/>
    <w:rsid w:val="00252913"/>
    <w:rsid w:val="00253183"/>
    <w:rsid w:val="00294F75"/>
    <w:rsid w:val="002A20ED"/>
    <w:rsid w:val="002A33F2"/>
    <w:rsid w:val="002A3831"/>
    <w:rsid w:val="002E1420"/>
    <w:rsid w:val="002F36D4"/>
    <w:rsid w:val="0032006E"/>
    <w:rsid w:val="0032236F"/>
    <w:rsid w:val="003271FE"/>
    <w:rsid w:val="00333D51"/>
    <w:rsid w:val="003401B5"/>
    <w:rsid w:val="003439B2"/>
    <w:rsid w:val="003506AD"/>
    <w:rsid w:val="00350FC0"/>
    <w:rsid w:val="00356425"/>
    <w:rsid w:val="003626C1"/>
    <w:rsid w:val="003718FF"/>
    <w:rsid w:val="00380342"/>
    <w:rsid w:val="00387586"/>
    <w:rsid w:val="003949B8"/>
    <w:rsid w:val="003A1992"/>
    <w:rsid w:val="003A6F8D"/>
    <w:rsid w:val="003B1587"/>
    <w:rsid w:val="003B1768"/>
    <w:rsid w:val="003C0C4F"/>
    <w:rsid w:val="003D7657"/>
    <w:rsid w:val="003E659B"/>
    <w:rsid w:val="003F454D"/>
    <w:rsid w:val="00405B5C"/>
    <w:rsid w:val="004244FB"/>
    <w:rsid w:val="00427163"/>
    <w:rsid w:val="0043631B"/>
    <w:rsid w:val="0043722B"/>
    <w:rsid w:val="0045723C"/>
    <w:rsid w:val="00461B00"/>
    <w:rsid w:val="004943C1"/>
    <w:rsid w:val="004A4180"/>
    <w:rsid w:val="004A5602"/>
    <w:rsid w:val="004B06CB"/>
    <w:rsid w:val="004B7EFA"/>
    <w:rsid w:val="004E1ABC"/>
    <w:rsid w:val="004E329F"/>
    <w:rsid w:val="004E6DDF"/>
    <w:rsid w:val="0050454E"/>
    <w:rsid w:val="00514859"/>
    <w:rsid w:val="005169BB"/>
    <w:rsid w:val="00553D7A"/>
    <w:rsid w:val="005615CF"/>
    <w:rsid w:val="005647EB"/>
    <w:rsid w:val="005704C6"/>
    <w:rsid w:val="00577CC7"/>
    <w:rsid w:val="005868C4"/>
    <w:rsid w:val="005A748A"/>
    <w:rsid w:val="005C7736"/>
    <w:rsid w:val="005C7DEE"/>
    <w:rsid w:val="005D09BE"/>
    <w:rsid w:val="005D4B04"/>
    <w:rsid w:val="005E3930"/>
    <w:rsid w:val="005F362B"/>
    <w:rsid w:val="006006E3"/>
    <w:rsid w:val="006016B7"/>
    <w:rsid w:val="00624B3D"/>
    <w:rsid w:val="0062621F"/>
    <w:rsid w:val="00642BAC"/>
    <w:rsid w:val="006611A6"/>
    <w:rsid w:val="0066599B"/>
    <w:rsid w:val="0068038D"/>
    <w:rsid w:val="006A02E4"/>
    <w:rsid w:val="006A27F1"/>
    <w:rsid w:val="006C229A"/>
    <w:rsid w:val="006C5F8E"/>
    <w:rsid w:val="006D3312"/>
    <w:rsid w:val="006F0BEF"/>
    <w:rsid w:val="006F53EE"/>
    <w:rsid w:val="00706466"/>
    <w:rsid w:val="007074A5"/>
    <w:rsid w:val="00716385"/>
    <w:rsid w:val="00722C86"/>
    <w:rsid w:val="007233A4"/>
    <w:rsid w:val="00733A45"/>
    <w:rsid w:val="00735A14"/>
    <w:rsid w:val="007417A7"/>
    <w:rsid w:val="00765DB8"/>
    <w:rsid w:val="00795ECF"/>
    <w:rsid w:val="007A102B"/>
    <w:rsid w:val="007C08D0"/>
    <w:rsid w:val="007D226A"/>
    <w:rsid w:val="008064E1"/>
    <w:rsid w:val="00811580"/>
    <w:rsid w:val="008145EB"/>
    <w:rsid w:val="00814C4D"/>
    <w:rsid w:val="00856DFA"/>
    <w:rsid w:val="00862E05"/>
    <w:rsid w:val="00867E38"/>
    <w:rsid w:val="00884DB1"/>
    <w:rsid w:val="0088605D"/>
    <w:rsid w:val="00892D26"/>
    <w:rsid w:val="00892DB2"/>
    <w:rsid w:val="008937BB"/>
    <w:rsid w:val="00894214"/>
    <w:rsid w:val="008A1FF2"/>
    <w:rsid w:val="008A5082"/>
    <w:rsid w:val="008C3E6A"/>
    <w:rsid w:val="008D14A2"/>
    <w:rsid w:val="008D17DA"/>
    <w:rsid w:val="008F1801"/>
    <w:rsid w:val="00907ECA"/>
    <w:rsid w:val="00916FD3"/>
    <w:rsid w:val="009356FC"/>
    <w:rsid w:val="00970E0A"/>
    <w:rsid w:val="00975A08"/>
    <w:rsid w:val="00980635"/>
    <w:rsid w:val="009954A5"/>
    <w:rsid w:val="00995A65"/>
    <w:rsid w:val="009A0F2B"/>
    <w:rsid w:val="009A6129"/>
    <w:rsid w:val="009C5969"/>
    <w:rsid w:val="00A056F4"/>
    <w:rsid w:val="00A05C80"/>
    <w:rsid w:val="00A764A3"/>
    <w:rsid w:val="00A92F94"/>
    <w:rsid w:val="00A976C7"/>
    <w:rsid w:val="00AC2FD7"/>
    <w:rsid w:val="00AC5B59"/>
    <w:rsid w:val="00AE4D0A"/>
    <w:rsid w:val="00AF002A"/>
    <w:rsid w:val="00AF7255"/>
    <w:rsid w:val="00B2563F"/>
    <w:rsid w:val="00B463DC"/>
    <w:rsid w:val="00B47AF6"/>
    <w:rsid w:val="00B51568"/>
    <w:rsid w:val="00B51C36"/>
    <w:rsid w:val="00B556B9"/>
    <w:rsid w:val="00B66FE4"/>
    <w:rsid w:val="00B874AE"/>
    <w:rsid w:val="00B94C63"/>
    <w:rsid w:val="00BB3471"/>
    <w:rsid w:val="00BC2BE5"/>
    <w:rsid w:val="00BD4F48"/>
    <w:rsid w:val="00BF6014"/>
    <w:rsid w:val="00C0709C"/>
    <w:rsid w:val="00C21B0A"/>
    <w:rsid w:val="00C40152"/>
    <w:rsid w:val="00C425CA"/>
    <w:rsid w:val="00C5047C"/>
    <w:rsid w:val="00C5128F"/>
    <w:rsid w:val="00C53724"/>
    <w:rsid w:val="00C6348E"/>
    <w:rsid w:val="00C77BB3"/>
    <w:rsid w:val="00CA6DD8"/>
    <w:rsid w:val="00CB0752"/>
    <w:rsid w:val="00CB3115"/>
    <w:rsid w:val="00CD581C"/>
    <w:rsid w:val="00CE3CFD"/>
    <w:rsid w:val="00CE5C1B"/>
    <w:rsid w:val="00CF78C7"/>
    <w:rsid w:val="00D33B54"/>
    <w:rsid w:val="00D44048"/>
    <w:rsid w:val="00D473FF"/>
    <w:rsid w:val="00D66BC2"/>
    <w:rsid w:val="00DB212A"/>
    <w:rsid w:val="00DC20AD"/>
    <w:rsid w:val="00DC5414"/>
    <w:rsid w:val="00DE5114"/>
    <w:rsid w:val="00E03BA8"/>
    <w:rsid w:val="00E04A9F"/>
    <w:rsid w:val="00E100B6"/>
    <w:rsid w:val="00E17B6F"/>
    <w:rsid w:val="00E32F61"/>
    <w:rsid w:val="00E33791"/>
    <w:rsid w:val="00E41378"/>
    <w:rsid w:val="00E41923"/>
    <w:rsid w:val="00E42E0A"/>
    <w:rsid w:val="00E610A7"/>
    <w:rsid w:val="00E76560"/>
    <w:rsid w:val="00E87A30"/>
    <w:rsid w:val="00E9088B"/>
    <w:rsid w:val="00EC2489"/>
    <w:rsid w:val="00EC61C4"/>
    <w:rsid w:val="00EE00CD"/>
    <w:rsid w:val="00F1024D"/>
    <w:rsid w:val="00F202BE"/>
    <w:rsid w:val="00F33637"/>
    <w:rsid w:val="00F64237"/>
    <w:rsid w:val="00F64C7F"/>
    <w:rsid w:val="00F948F5"/>
    <w:rsid w:val="00FA33CA"/>
    <w:rsid w:val="00FB45F7"/>
    <w:rsid w:val="00FC6AA7"/>
    <w:rsid w:val="00FF2B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7CC0DF61"/>
  <w15:docId w15:val="{792A2734-E8D4-4C67-A95A-8779047A1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ECA"/>
    <w:rPr>
      <w:sz w:val="24"/>
      <w:szCs w:val="24"/>
      <w:lang w:val="es-ES_tradnl"/>
    </w:rPr>
  </w:style>
  <w:style w:type="paragraph" w:styleId="Ttulo1">
    <w:name w:val="heading 1"/>
    <w:basedOn w:val="Normal"/>
    <w:next w:val="Normal"/>
    <w:link w:val="Ttulo1Car"/>
    <w:uiPriority w:val="1"/>
    <w:qFormat/>
    <w:rsid w:val="00EE00CD"/>
    <w:pPr>
      <w:keepNext/>
      <w:overflowPunct w:val="0"/>
      <w:autoSpaceDE w:val="0"/>
      <w:autoSpaceDN w:val="0"/>
      <w:adjustRightInd w:val="0"/>
      <w:spacing w:before="240" w:after="60"/>
      <w:textAlignment w:val="baseline"/>
      <w:outlineLvl w:val="0"/>
    </w:pPr>
    <w:rPr>
      <w:rFonts w:ascii="Arial" w:hAnsi="Arial" w:cs="Arial"/>
      <w:b/>
      <w:bCs/>
      <w:kern w:val="32"/>
      <w:sz w:val="32"/>
      <w:szCs w:val="32"/>
    </w:rPr>
  </w:style>
  <w:style w:type="paragraph" w:styleId="Ttulo3">
    <w:name w:val="heading 3"/>
    <w:basedOn w:val="Normal"/>
    <w:next w:val="Normal"/>
    <w:link w:val="Ttulo3Car"/>
    <w:unhideWhenUsed/>
    <w:qFormat/>
    <w:rsid w:val="00EE00CD"/>
    <w:pPr>
      <w:keepNext/>
      <w:keepLines/>
      <w:spacing w:before="40"/>
      <w:outlineLvl w:val="2"/>
    </w:pPr>
    <w:rPr>
      <w:rFonts w:ascii="Cambria" w:hAnsi="Cambria"/>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uiPriority w:val="99"/>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Prrafodelista">
    <w:name w:val="List Paragraph"/>
    <w:basedOn w:val="Normal"/>
    <w:uiPriority w:val="34"/>
    <w:qFormat/>
    <w:rsid w:val="00907ECA"/>
    <w:pPr>
      <w:ind w:left="720"/>
      <w:contextualSpacing/>
    </w:pPr>
  </w:style>
  <w:style w:type="paragraph" w:styleId="Textodeglobo">
    <w:name w:val="Balloon Text"/>
    <w:basedOn w:val="Normal"/>
    <w:link w:val="TextodegloboCar"/>
    <w:uiPriority w:val="99"/>
    <w:semiHidden/>
    <w:unhideWhenUsed/>
    <w:rsid w:val="00907ECA"/>
    <w:rPr>
      <w:rFonts w:ascii="Segoe UI" w:hAnsi="Segoe UI" w:cs="Segoe UI"/>
      <w:sz w:val="18"/>
      <w:szCs w:val="18"/>
    </w:rPr>
  </w:style>
  <w:style w:type="character" w:customStyle="1" w:styleId="TextodegloboCar">
    <w:name w:val="Texto de globo Car"/>
    <w:link w:val="Textodeglobo"/>
    <w:uiPriority w:val="99"/>
    <w:semiHidden/>
    <w:rsid w:val="00907ECA"/>
    <w:rPr>
      <w:rFonts w:ascii="Segoe UI" w:hAnsi="Segoe UI" w:cs="Segoe UI"/>
      <w:sz w:val="18"/>
      <w:szCs w:val="18"/>
    </w:rPr>
  </w:style>
  <w:style w:type="character" w:styleId="Refdecomentario">
    <w:name w:val="annotation reference"/>
    <w:semiHidden/>
    <w:unhideWhenUsed/>
    <w:rsid w:val="00907ECA"/>
    <w:rPr>
      <w:sz w:val="16"/>
      <w:szCs w:val="16"/>
    </w:rPr>
  </w:style>
  <w:style w:type="paragraph" w:styleId="Textocomentario">
    <w:name w:val="annotation text"/>
    <w:basedOn w:val="Normal"/>
    <w:link w:val="TextocomentarioCar"/>
    <w:unhideWhenUsed/>
    <w:rsid w:val="00907ECA"/>
    <w:rPr>
      <w:sz w:val="20"/>
      <w:szCs w:val="20"/>
    </w:rPr>
  </w:style>
  <w:style w:type="character" w:customStyle="1" w:styleId="TextocomentarioCar">
    <w:name w:val="Texto comentario Car"/>
    <w:basedOn w:val="Fuentedeprrafopredeter"/>
    <w:link w:val="Textocomentario"/>
    <w:rsid w:val="00907ECA"/>
  </w:style>
  <w:style w:type="paragraph" w:styleId="Asuntodelcomentario">
    <w:name w:val="annotation subject"/>
    <w:basedOn w:val="Textocomentario"/>
    <w:next w:val="Textocomentario"/>
    <w:link w:val="AsuntodelcomentarioCar"/>
    <w:semiHidden/>
    <w:unhideWhenUsed/>
    <w:rsid w:val="00907ECA"/>
    <w:rPr>
      <w:b/>
      <w:bCs/>
    </w:rPr>
  </w:style>
  <w:style w:type="character" w:customStyle="1" w:styleId="AsuntodelcomentarioCar">
    <w:name w:val="Asunto del comentario Car"/>
    <w:link w:val="Asuntodelcomentario"/>
    <w:semiHidden/>
    <w:rsid w:val="00907ECA"/>
    <w:rPr>
      <w:b/>
      <w:bCs/>
    </w:rPr>
  </w:style>
  <w:style w:type="paragraph" w:customStyle="1" w:styleId="xl1">
    <w:name w:val="xl1"/>
    <w:basedOn w:val="Normal"/>
    <w:rsid w:val="00907ECA"/>
    <w:pPr>
      <w:spacing w:before="100" w:beforeAutospacing="1" w:after="100" w:afterAutospacing="1"/>
    </w:pPr>
  </w:style>
  <w:style w:type="paragraph" w:styleId="NormalWeb">
    <w:name w:val="Normal (Web)"/>
    <w:basedOn w:val="Normal"/>
    <w:uiPriority w:val="99"/>
    <w:unhideWhenUsed/>
    <w:rsid w:val="00907ECA"/>
    <w:pPr>
      <w:spacing w:before="100" w:beforeAutospacing="1" w:after="100" w:afterAutospacing="1"/>
    </w:pPr>
    <w:rPr>
      <w:rFonts w:eastAsia="Calibri"/>
    </w:rPr>
  </w:style>
  <w:style w:type="character" w:styleId="Hipervnculo">
    <w:name w:val="Hyperlink"/>
    <w:uiPriority w:val="99"/>
    <w:semiHidden/>
    <w:unhideWhenUsed/>
    <w:rsid w:val="00907ECA"/>
    <w:rPr>
      <w:color w:val="0000FF"/>
      <w:u w:val="single"/>
    </w:rPr>
  </w:style>
  <w:style w:type="character" w:styleId="Hipervnculovisitado">
    <w:name w:val="FollowedHyperlink"/>
    <w:uiPriority w:val="99"/>
    <w:semiHidden/>
    <w:unhideWhenUsed/>
    <w:rsid w:val="00907ECA"/>
    <w:rPr>
      <w:color w:val="800080"/>
      <w:u w:val="single"/>
    </w:rPr>
  </w:style>
  <w:style w:type="paragraph" w:customStyle="1" w:styleId="font5">
    <w:name w:val="font5"/>
    <w:basedOn w:val="Normal"/>
    <w:rsid w:val="00907ECA"/>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907ECA"/>
    <w:pPr>
      <w:spacing w:before="100" w:beforeAutospacing="1" w:after="100" w:afterAutospacing="1"/>
    </w:pPr>
    <w:rPr>
      <w:rFonts w:ascii="Tahoma" w:hAnsi="Tahoma" w:cs="Tahoma"/>
      <w:b/>
      <w:bCs/>
      <w:color w:val="000000"/>
      <w:sz w:val="18"/>
      <w:szCs w:val="18"/>
    </w:rPr>
  </w:style>
  <w:style w:type="paragraph" w:customStyle="1" w:styleId="font7">
    <w:name w:val="font7"/>
    <w:basedOn w:val="Normal"/>
    <w:rsid w:val="00907ECA"/>
    <w:pPr>
      <w:spacing w:before="100" w:beforeAutospacing="1" w:after="100" w:afterAutospacing="1"/>
    </w:pPr>
    <w:rPr>
      <w:rFonts w:ascii="Tahoma" w:hAnsi="Tahoma" w:cs="Tahoma"/>
      <w:color w:val="000000"/>
      <w:sz w:val="18"/>
      <w:szCs w:val="18"/>
    </w:rPr>
  </w:style>
  <w:style w:type="paragraph" w:customStyle="1" w:styleId="font8">
    <w:name w:val="font8"/>
    <w:basedOn w:val="Normal"/>
    <w:rsid w:val="00907ECA"/>
    <w:pPr>
      <w:spacing w:before="100" w:beforeAutospacing="1" w:after="100" w:afterAutospacing="1"/>
    </w:pPr>
    <w:rPr>
      <w:rFonts w:ascii="Tahoma" w:hAnsi="Tahoma" w:cs="Tahoma"/>
      <w:b/>
      <w:bCs/>
      <w:color w:val="000000"/>
      <w:sz w:val="18"/>
      <w:szCs w:val="18"/>
    </w:rPr>
  </w:style>
  <w:style w:type="paragraph" w:customStyle="1" w:styleId="xl65">
    <w:name w:val="xl65"/>
    <w:basedOn w:val="Normal"/>
    <w:rsid w:val="00907ECA"/>
    <w:pPr>
      <w:spacing w:before="100" w:beforeAutospacing="1" w:after="100" w:afterAutospacing="1"/>
      <w:jc w:val="center"/>
    </w:pPr>
  </w:style>
  <w:style w:type="paragraph" w:customStyle="1" w:styleId="xl66">
    <w:name w:val="xl66"/>
    <w:basedOn w:val="Normal"/>
    <w:rsid w:val="00907ECA"/>
    <w:pPr>
      <w:spacing w:before="100" w:beforeAutospacing="1" w:after="100" w:afterAutospacing="1"/>
    </w:pPr>
    <w:rPr>
      <w:rFonts w:ascii="Arial" w:hAnsi="Arial" w:cs="Arial"/>
      <w:i/>
      <w:iCs/>
    </w:rPr>
  </w:style>
  <w:style w:type="paragraph" w:customStyle="1" w:styleId="xl67">
    <w:name w:val="xl67"/>
    <w:basedOn w:val="Normal"/>
    <w:rsid w:val="00907ECA"/>
    <w:pPr>
      <w:spacing w:before="100" w:beforeAutospacing="1" w:after="100" w:afterAutospacing="1"/>
    </w:pPr>
    <w:rPr>
      <w:rFonts w:ascii="Arial" w:hAnsi="Arial" w:cs="Arial"/>
      <w:b/>
      <w:bCs/>
    </w:rPr>
  </w:style>
  <w:style w:type="paragraph" w:customStyle="1" w:styleId="xl68">
    <w:name w:val="xl68"/>
    <w:basedOn w:val="Normal"/>
    <w:rsid w:val="00907ECA"/>
    <w:pPr>
      <w:spacing w:before="100" w:beforeAutospacing="1" w:after="100" w:afterAutospacing="1"/>
    </w:pPr>
    <w:rPr>
      <w:rFonts w:ascii="Arial" w:hAnsi="Arial" w:cs="Arial"/>
      <w:b/>
      <w:bCs/>
    </w:rPr>
  </w:style>
  <w:style w:type="paragraph" w:customStyle="1" w:styleId="xl69">
    <w:name w:val="xl69"/>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0">
    <w:name w:val="xl70"/>
    <w:basedOn w:val="Normal"/>
    <w:rsid w:val="00907EC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2">
    <w:name w:val="xl72"/>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3">
    <w:name w:val="xl73"/>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4">
    <w:name w:val="xl74"/>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6">
    <w:name w:val="xl76"/>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8">
    <w:name w:val="xl78"/>
    <w:basedOn w:val="Normal"/>
    <w:rsid w:val="00907ECA"/>
    <w:pPr>
      <w:spacing w:before="100" w:beforeAutospacing="1" w:after="100" w:afterAutospacing="1"/>
    </w:pPr>
    <w:rPr>
      <w:rFonts w:ascii="Arial" w:hAnsi="Arial" w:cs="Arial"/>
      <w:sz w:val="16"/>
      <w:szCs w:val="16"/>
    </w:rPr>
  </w:style>
  <w:style w:type="paragraph" w:customStyle="1" w:styleId="xl79">
    <w:name w:val="xl79"/>
    <w:basedOn w:val="Normal"/>
    <w:rsid w:val="00907ECA"/>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0">
    <w:name w:val="xl80"/>
    <w:basedOn w:val="Normal"/>
    <w:rsid w:val="00907ECA"/>
    <w:pPr>
      <w:spacing w:before="100" w:beforeAutospacing="1" w:after="100" w:afterAutospacing="1"/>
      <w:jc w:val="center"/>
    </w:pPr>
    <w:rPr>
      <w:rFonts w:ascii="Arial" w:hAnsi="Arial" w:cs="Arial"/>
      <w:sz w:val="16"/>
      <w:szCs w:val="16"/>
    </w:rPr>
  </w:style>
  <w:style w:type="paragraph" w:customStyle="1" w:styleId="xl81">
    <w:name w:val="xl81"/>
    <w:basedOn w:val="Normal"/>
    <w:rsid w:val="00907ECA"/>
    <w:pPr>
      <w:spacing w:before="100" w:beforeAutospacing="1" w:after="100" w:afterAutospacing="1"/>
    </w:pPr>
    <w:rPr>
      <w:rFonts w:ascii="Arial" w:hAnsi="Arial" w:cs="Arial"/>
      <w:sz w:val="16"/>
      <w:szCs w:val="16"/>
    </w:rPr>
  </w:style>
  <w:style w:type="paragraph" w:customStyle="1" w:styleId="xl82">
    <w:name w:val="xl82"/>
    <w:basedOn w:val="Normal"/>
    <w:rsid w:val="00907ECA"/>
    <w:pPr>
      <w:spacing w:before="100" w:beforeAutospacing="1" w:after="100" w:afterAutospacing="1"/>
      <w:jc w:val="center"/>
    </w:pPr>
    <w:rPr>
      <w:rFonts w:ascii="Arial" w:hAnsi="Arial" w:cs="Arial"/>
      <w:sz w:val="16"/>
      <w:szCs w:val="16"/>
    </w:rPr>
  </w:style>
  <w:style w:type="paragraph" w:customStyle="1" w:styleId="xl83">
    <w:name w:val="xl83"/>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4">
    <w:name w:val="xl84"/>
    <w:basedOn w:val="Normal"/>
    <w:rsid w:val="00907ECA"/>
    <w:pPr>
      <w:spacing w:before="100" w:beforeAutospacing="1" w:after="100" w:afterAutospacing="1"/>
      <w:jc w:val="right"/>
    </w:pPr>
    <w:rPr>
      <w:rFonts w:ascii="Arial" w:hAnsi="Arial" w:cs="Arial"/>
      <w:sz w:val="16"/>
      <w:szCs w:val="16"/>
    </w:rPr>
  </w:style>
  <w:style w:type="paragraph" w:customStyle="1" w:styleId="xl85">
    <w:name w:val="xl85"/>
    <w:basedOn w:val="Normal"/>
    <w:rsid w:val="00907ECA"/>
    <w:pPr>
      <w:spacing w:before="100" w:beforeAutospacing="1" w:after="100" w:afterAutospacing="1"/>
    </w:pPr>
    <w:rPr>
      <w:rFonts w:ascii="Arial" w:hAnsi="Arial" w:cs="Arial"/>
      <w:sz w:val="14"/>
      <w:szCs w:val="14"/>
    </w:rPr>
  </w:style>
  <w:style w:type="paragraph" w:customStyle="1" w:styleId="xl86">
    <w:name w:val="xl86"/>
    <w:basedOn w:val="Normal"/>
    <w:rsid w:val="00907ECA"/>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7">
    <w:name w:val="xl87"/>
    <w:basedOn w:val="Normal"/>
    <w:rsid w:val="00907EC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88">
    <w:name w:val="xl88"/>
    <w:basedOn w:val="Normal"/>
    <w:rsid w:val="00907EC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89">
    <w:name w:val="xl89"/>
    <w:basedOn w:val="Normal"/>
    <w:rsid w:val="00907EC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90">
    <w:name w:val="xl90"/>
    <w:basedOn w:val="Normal"/>
    <w:rsid w:val="00907EC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91">
    <w:name w:val="xl91"/>
    <w:basedOn w:val="Normal"/>
    <w:rsid w:val="00907ECA"/>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2">
    <w:name w:val="xl92"/>
    <w:basedOn w:val="Normal"/>
    <w:rsid w:val="00907ECA"/>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3">
    <w:name w:val="xl93"/>
    <w:basedOn w:val="Normal"/>
    <w:rsid w:val="00907ECA"/>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Normal1">
    <w:name w:val="Normal1"/>
    <w:basedOn w:val="Normal"/>
    <w:rsid w:val="00907ECA"/>
    <w:pPr>
      <w:spacing w:before="100" w:beforeAutospacing="1" w:after="100" w:afterAutospacing="1"/>
    </w:pPr>
  </w:style>
  <w:style w:type="character" w:customStyle="1" w:styleId="normalchar">
    <w:name w:val="normal__char"/>
    <w:rsid w:val="00907ECA"/>
  </w:style>
  <w:style w:type="numbering" w:customStyle="1" w:styleId="Sinlista1">
    <w:name w:val="Sin lista1"/>
    <w:next w:val="Sinlista"/>
    <w:uiPriority w:val="99"/>
    <w:semiHidden/>
    <w:unhideWhenUsed/>
    <w:rsid w:val="00907ECA"/>
  </w:style>
  <w:style w:type="character" w:customStyle="1" w:styleId="EncabezadoCar">
    <w:name w:val="Encabezado Car"/>
    <w:link w:val="Encabezado"/>
    <w:uiPriority w:val="99"/>
    <w:rsid w:val="00907ECA"/>
    <w:rPr>
      <w:sz w:val="26"/>
      <w:lang w:val="es-ES_tradnl"/>
    </w:rPr>
  </w:style>
  <w:style w:type="table" w:styleId="Tablaconcuadrcula">
    <w:name w:val="Table Grid"/>
    <w:basedOn w:val="Tablanormal"/>
    <w:uiPriority w:val="39"/>
    <w:rsid w:val="00BB34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87586"/>
    <w:rPr>
      <w:sz w:val="24"/>
      <w:szCs w:val="24"/>
    </w:rPr>
  </w:style>
  <w:style w:type="character" w:customStyle="1" w:styleId="highlight">
    <w:name w:val="highlight"/>
    <w:basedOn w:val="Fuentedeprrafopredeter"/>
    <w:rsid w:val="00084C32"/>
  </w:style>
  <w:style w:type="paragraph" w:customStyle="1" w:styleId="xa1">
    <w:name w:val="xa1"/>
    <w:basedOn w:val="Normal"/>
    <w:rsid w:val="00084C32"/>
    <w:pPr>
      <w:spacing w:before="100" w:beforeAutospacing="1" w:after="100" w:afterAutospacing="1"/>
    </w:pPr>
  </w:style>
  <w:style w:type="paragraph" w:customStyle="1" w:styleId="xl2">
    <w:name w:val="xl2"/>
    <w:basedOn w:val="Normal"/>
    <w:rsid w:val="00084C32"/>
    <w:pPr>
      <w:spacing w:before="100" w:beforeAutospacing="1" w:after="100" w:afterAutospacing="1"/>
    </w:pPr>
  </w:style>
  <w:style w:type="paragraph" w:customStyle="1" w:styleId="xl3">
    <w:name w:val="xl3"/>
    <w:basedOn w:val="Normal"/>
    <w:rsid w:val="00084C32"/>
    <w:pPr>
      <w:spacing w:before="100" w:beforeAutospacing="1" w:after="100" w:afterAutospacing="1"/>
    </w:pPr>
  </w:style>
  <w:style w:type="paragraph" w:customStyle="1" w:styleId="xa3">
    <w:name w:val="xa3"/>
    <w:basedOn w:val="Normal"/>
    <w:rsid w:val="00084C32"/>
    <w:pPr>
      <w:spacing w:before="100" w:beforeAutospacing="1" w:after="100" w:afterAutospacing="1"/>
    </w:pPr>
  </w:style>
  <w:style w:type="character" w:customStyle="1" w:styleId="Ttulo1Car">
    <w:name w:val="Título 1 Car"/>
    <w:basedOn w:val="Fuentedeprrafopredeter"/>
    <w:link w:val="Ttulo1"/>
    <w:uiPriority w:val="1"/>
    <w:rsid w:val="00EE00CD"/>
    <w:rPr>
      <w:rFonts w:ascii="Arial" w:hAnsi="Arial" w:cs="Arial"/>
      <w:b/>
      <w:bCs/>
      <w:kern w:val="32"/>
      <w:sz w:val="32"/>
      <w:szCs w:val="32"/>
      <w:lang w:val="es-ES_tradnl"/>
    </w:rPr>
  </w:style>
  <w:style w:type="character" w:customStyle="1" w:styleId="Ttulo3Car">
    <w:name w:val="Título 3 Car"/>
    <w:basedOn w:val="Fuentedeprrafopredeter"/>
    <w:link w:val="Ttulo3"/>
    <w:rsid w:val="00EE00CD"/>
    <w:rPr>
      <w:rFonts w:ascii="Cambria" w:hAnsi="Cambria"/>
      <w:color w:val="243F60"/>
      <w:sz w:val="24"/>
      <w:szCs w:val="24"/>
    </w:rPr>
  </w:style>
  <w:style w:type="paragraph" w:customStyle="1" w:styleId="DICTA-DICTAMEN">
    <w:name w:val="DICTA-DICTAMEN"/>
    <w:rsid w:val="00EE00CD"/>
    <w:pPr>
      <w:spacing w:before="360" w:after="480"/>
      <w:jc w:val="center"/>
    </w:pPr>
    <w:rPr>
      <w:rFonts w:ascii="Arial" w:hAnsi="Arial"/>
      <w:b/>
      <w:caps/>
      <w:sz w:val="28"/>
    </w:rPr>
  </w:style>
  <w:style w:type="paragraph" w:customStyle="1" w:styleId="DICTA-INDICE-DISPO">
    <w:name w:val="DICTA-INDICE-DISPO"/>
    <w:rsid w:val="00EE00CD"/>
    <w:pPr>
      <w:tabs>
        <w:tab w:val="left" w:pos="1170"/>
      </w:tabs>
      <w:ind w:left="1168" w:hanging="1168"/>
      <w:jc w:val="both"/>
    </w:pPr>
    <w:rPr>
      <w:rFonts w:ascii="Arial" w:hAnsi="Arial"/>
      <w:sz w:val="24"/>
    </w:rPr>
  </w:style>
  <w:style w:type="paragraph" w:customStyle="1" w:styleId="DICTA-FIRMA1">
    <w:name w:val="DICTA-FIRMA1"/>
    <w:rsid w:val="00EE00CD"/>
    <w:pPr>
      <w:spacing w:after="1100"/>
      <w:jc w:val="center"/>
    </w:pPr>
    <w:rPr>
      <w:rFonts w:ascii="Arial (W1)" w:hAnsi="Arial (W1)"/>
      <w:smallCaps/>
      <w:sz w:val="28"/>
    </w:rPr>
  </w:style>
  <w:style w:type="paragraph" w:customStyle="1" w:styleId="DICTA-FIRMA2">
    <w:name w:val="DICTA-FIRMA2"/>
    <w:basedOn w:val="Normal"/>
    <w:rsid w:val="00EE00CD"/>
    <w:pPr>
      <w:overflowPunct w:val="0"/>
      <w:autoSpaceDE w:val="0"/>
      <w:autoSpaceDN w:val="0"/>
      <w:adjustRightInd w:val="0"/>
      <w:jc w:val="center"/>
      <w:textAlignment w:val="baseline"/>
    </w:pPr>
    <w:rPr>
      <w:rFonts w:ascii="Arial" w:hAnsi="Arial"/>
      <w:szCs w:val="20"/>
    </w:rPr>
  </w:style>
  <w:style w:type="paragraph" w:customStyle="1" w:styleId="DICTA-FIRMA5">
    <w:name w:val="DICTA-FIRMA5"/>
    <w:rsid w:val="00EE00CD"/>
    <w:pPr>
      <w:tabs>
        <w:tab w:val="center" w:pos="1701"/>
        <w:tab w:val="center" w:pos="6237"/>
      </w:tabs>
      <w:spacing w:after="1100"/>
      <w:jc w:val="both"/>
    </w:pPr>
    <w:rPr>
      <w:rFonts w:ascii="Arial" w:hAnsi="Arial"/>
      <w:smallCaps/>
      <w:sz w:val="28"/>
    </w:rPr>
  </w:style>
  <w:style w:type="paragraph" w:customStyle="1" w:styleId="DICTA-FIRMA6">
    <w:name w:val="DICTA-FIRMA6"/>
    <w:rsid w:val="00EE00CD"/>
    <w:pPr>
      <w:tabs>
        <w:tab w:val="center" w:pos="1701"/>
        <w:tab w:val="center" w:pos="6237"/>
      </w:tabs>
      <w:jc w:val="both"/>
    </w:pPr>
    <w:rPr>
      <w:rFonts w:ascii="Arial" w:hAnsi="Arial"/>
      <w:sz w:val="24"/>
    </w:rPr>
  </w:style>
  <w:style w:type="paragraph" w:customStyle="1" w:styleId="Default">
    <w:name w:val="Default"/>
    <w:rsid w:val="00EE00CD"/>
    <w:pPr>
      <w:autoSpaceDE w:val="0"/>
      <w:autoSpaceDN w:val="0"/>
      <w:adjustRightInd w:val="0"/>
    </w:pPr>
    <w:rPr>
      <w:rFonts w:ascii="Courier New" w:eastAsia="Calibri" w:hAnsi="Courier New" w:cs="Courier New"/>
      <w:color w:val="000000"/>
      <w:sz w:val="24"/>
      <w:szCs w:val="24"/>
      <w:lang w:eastAsia="en-US"/>
    </w:rPr>
  </w:style>
  <w:style w:type="paragraph" w:customStyle="1" w:styleId="foral-f-parrafo-c">
    <w:name w:val="foral-f-parrafo-c"/>
    <w:basedOn w:val="Normal"/>
    <w:rsid w:val="00EE00CD"/>
    <w:pPr>
      <w:spacing w:after="240"/>
    </w:pPr>
  </w:style>
  <w:style w:type="character" w:customStyle="1" w:styleId="markedcontent">
    <w:name w:val="markedcontent"/>
    <w:basedOn w:val="Fuentedeprrafopredeter"/>
    <w:rsid w:val="00EE00CD"/>
  </w:style>
  <w:style w:type="table" w:customStyle="1" w:styleId="TableNormal">
    <w:name w:val="Table Normal"/>
    <w:uiPriority w:val="2"/>
    <w:semiHidden/>
    <w:unhideWhenUsed/>
    <w:qFormat/>
    <w:rsid w:val="00EE00C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EE00CD"/>
    <w:pPr>
      <w:widowControl w:val="0"/>
      <w:autoSpaceDE w:val="0"/>
      <w:autoSpaceDN w:val="0"/>
    </w:pPr>
    <w:rPr>
      <w:rFonts w:ascii="Arial MT" w:eastAsia="Arial MT" w:hAnsi="Arial MT" w:cs="Arial MT"/>
      <w:sz w:val="16"/>
      <w:szCs w:val="16"/>
      <w:lang w:eastAsia="en-US"/>
    </w:rPr>
  </w:style>
  <w:style w:type="character" w:customStyle="1" w:styleId="TextoindependienteCar">
    <w:name w:val="Texto independiente Car"/>
    <w:basedOn w:val="Fuentedeprrafopredeter"/>
    <w:link w:val="Textoindependiente"/>
    <w:uiPriority w:val="1"/>
    <w:rsid w:val="00EE00CD"/>
    <w:rPr>
      <w:rFonts w:ascii="Arial MT" w:eastAsia="Arial MT" w:hAnsi="Arial MT" w:cs="Arial MT"/>
      <w:sz w:val="16"/>
      <w:szCs w:val="16"/>
      <w:lang w:eastAsia="en-US"/>
    </w:rPr>
  </w:style>
  <w:style w:type="paragraph" w:customStyle="1" w:styleId="TableParagraph">
    <w:name w:val="Table Paragraph"/>
    <w:basedOn w:val="Normal"/>
    <w:uiPriority w:val="1"/>
    <w:qFormat/>
    <w:rsid w:val="00EE00CD"/>
    <w:pPr>
      <w:widowControl w:val="0"/>
      <w:autoSpaceDE w:val="0"/>
      <w:autoSpaceDN w:val="0"/>
      <w:spacing w:before="17"/>
      <w:ind w:right="-15"/>
      <w:jc w:val="right"/>
    </w:pPr>
    <w:rPr>
      <w:rFonts w:ascii="Arial MT" w:eastAsia="Arial MT" w:hAnsi="Arial MT" w:cs="Arial MT"/>
      <w:sz w:val="22"/>
      <w:szCs w:val="22"/>
      <w:lang w:eastAsia="en-US"/>
    </w:rPr>
  </w:style>
  <w:style w:type="table" w:customStyle="1" w:styleId="Tablaconcuadrcula1">
    <w:name w:val="Tabla con cuadrícula1"/>
    <w:basedOn w:val="Tablanormal"/>
    <w:next w:val="Tablaconcuadrcula"/>
    <w:uiPriority w:val="39"/>
    <w:rsid w:val="00EE00C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mPub3">
    <w:name w:val="EnmPub3"/>
    <w:basedOn w:val="Normal"/>
    <w:qFormat/>
    <w:rsid w:val="00EE00CD"/>
    <w:pPr>
      <w:keepLines/>
      <w:spacing w:before="142" w:after="113" w:line="230" w:lineRule="exact"/>
      <w:ind w:firstLine="284"/>
      <w:jc w:val="both"/>
    </w:pPr>
    <w:rPr>
      <w:rFonts w:ascii="Helvetica LT Std" w:eastAsia="Helvetica LT Std" w:hAnsi="Helvetica LT Std"/>
      <w:sz w:val="19"/>
      <w:szCs w:val="20"/>
    </w:rPr>
  </w:style>
  <w:style w:type="paragraph" w:customStyle="1" w:styleId="OFI-EXPTE">
    <w:name w:val="OFI-EXPTE"/>
    <w:rsid w:val="00053772"/>
    <w:pPr>
      <w:spacing w:before="480"/>
      <w:jc w:val="right"/>
    </w:pPr>
    <w:rPr>
      <w:rFonts w:ascii="Arial (W1)" w:hAnsi="Arial (W1)" w:cs="Arial"/>
      <w:color w:val="5F5F5F"/>
    </w:rPr>
  </w:style>
  <w:style w:type="paragraph" w:customStyle="1" w:styleId="OFI-PIE">
    <w:name w:val="OFI-PIE"/>
    <w:rsid w:val="00053772"/>
    <w:rPr>
      <w:rFonts w:ascii="Arial (W1)" w:hAnsi="Arial (W1)" w:cs="Arial"/>
      <w:b/>
      <w:cap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6524">
      <w:bodyDiv w:val="1"/>
      <w:marLeft w:val="0"/>
      <w:marRight w:val="0"/>
      <w:marTop w:val="0"/>
      <w:marBottom w:val="0"/>
      <w:divBdr>
        <w:top w:val="none" w:sz="0" w:space="0" w:color="auto"/>
        <w:left w:val="none" w:sz="0" w:space="0" w:color="auto"/>
        <w:bottom w:val="none" w:sz="0" w:space="0" w:color="auto"/>
        <w:right w:val="none" w:sz="0" w:space="0" w:color="auto"/>
      </w:divBdr>
      <w:divsChild>
        <w:div w:id="297733361">
          <w:marLeft w:val="0"/>
          <w:marRight w:val="0"/>
          <w:marTop w:val="0"/>
          <w:marBottom w:val="0"/>
          <w:divBdr>
            <w:top w:val="none" w:sz="0" w:space="0" w:color="auto"/>
            <w:left w:val="none" w:sz="0" w:space="0" w:color="auto"/>
            <w:bottom w:val="none" w:sz="0" w:space="0" w:color="auto"/>
            <w:right w:val="none" w:sz="0" w:space="0" w:color="auto"/>
          </w:divBdr>
        </w:div>
      </w:divsChild>
    </w:div>
    <w:div w:id="624114824">
      <w:bodyDiv w:val="1"/>
      <w:marLeft w:val="0"/>
      <w:marRight w:val="0"/>
      <w:marTop w:val="0"/>
      <w:marBottom w:val="0"/>
      <w:divBdr>
        <w:top w:val="none" w:sz="0" w:space="0" w:color="auto"/>
        <w:left w:val="none" w:sz="0" w:space="0" w:color="auto"/>
        <w:bottom w:val="none" w:sz="0" w:space="0" w:color="auto"/>
        <w:right w:val="none" w:sz="0" w:space="0" w:color="auto"/>
      </w:divBdr>
    </w:div>
    <w:div w:id="137940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4A6CA-D49C-4099-AC60-635B77761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62</Pages>
  <Words>24419</Words>
  <Characters>139799</Characters>
  <Application>Microsoft Office Word</Application>
  <DocSecurity>0</DocSecurity>
  <Lines>3584</Lines>
  <Paragraphs>2280</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161938</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Aranaz, Carlota</cp:lastModifiedBy>
  <cp:revision>25</cp:revision>
  <cp:lastPrinted>2024-03-04T10:45:00Z</cp:lastPrinted>
  <dcterms:created xsi:type="dcterms:W3CDTF">2024-03-04T10:23:00Z</dcterms:created>
  <dcterms:modified xsi:type="dcterms:W3CDTF">2024-03-06T09:13:00Z</dcterms:modified>
</cp:coreProperties>
</file>