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35C" w14:textId="77777777" w:rsidR="00773F95" w:rsidRDefault="00773F95" w:rsidP="00A04717">
      <w:pPr>
        <w:spacing w:line="360" w:lineRule="auto"/>
        <w:jc w:val="both"/>
        <w:rPr>
          <w:rFonts w:ascii="Arial" w:hAnsi="Arial" w:cs="Arial"/>
        </w:rPr>
      </w:pPr>
    </w:p>
    <w:p w14:paraId="5DC2D953" w14:textId="77777777" w:rsidR="003754D4" w:rsidRDefault="005C03DB" w:rsidP="00A04717">
      <w:pPr>
        <w:spacing w:line="360" w:lineRule="auto"/>
        <w:jc w:val="both"/>
        <w:rPr>
          <w:rFonts w:ascii="Arial" w:hAnsi="Arial" w:cs="Arial"/>
        </w:rPr>
      </w:pPr>
      <w:r>
        <w:rPr>
          <w:rFonts w:ascii="Arial" w:hAnsi="Arial"/>
        </w:rPr>
        <w:t>Unión del Pueblo Navarro talde parlamentarioari atxikitako foru parlamentari Cristina López Mañeru andreak idatziz erantzuteko galdera egin du –2023ko abenduaren 11ko 5579 irteera zenbakia du Nafarroako Parlamentuan– NEKPan biltzen diren Nafarroako Gobernuko enpresa publikoentzako lehen hitzarmen kolektiboa negoziatzeko batzordeari buruz (11-23/PES-220). Hona Ekonomia eta Ogasuneko kontseilariak horri buruz ematen dion informazioa:</w:t>
      </w:r>
    </w:p>
    <w:p w14:paraId="1324CB0D" w14:textId="77777777" w:rsidR="003754D4" w:rsidRDefault="00A04717" w:rsidP="00A04717">
      <w:pPr>
        <w:numPr>
          <w:ilvl w:val="0"/>
          <w:numId w:val="16"/>
        </w:numPr>
        <w:spacing w:line="360" w:lineRule="auto"/>
        <w:jc w:val="both"/>
        <w:rPr>
          <w:rFonts w:ascii="Arial" w:hAnsi="Arial" w:cs="Arial"/>
          <w:b/>
          <w:i/>
        </w:rPr>
      </w:pPr>
      <w:r>
        <w:rPr>
          <w:rFonts w:ascii="Arial" w:hAnsi="Arial"/>
          <w:b/>
          <w:i/>
        </w:rPr>
        <w:t>Zer egunetan eratu zen NEKPn biltzen diren Nafarroako Gobernuko enpresa publikoetako lehen hitzarmen kolektiboa negoziatzeko batzordea? Nork osatzen du batzorde hori eta zenbat bilera egin dira gaur arte?</w:t>
      </w:r>
    </w:p>
    <w:p w14:paraId="460EC1B2" w14:textId="77777777" w:rsidR="003754D4" w:rsidRDefault="00A04717" w:rsidP="00A04717">
      <w:pPr>
        <w:spacing w:line="360" w:lineRule="auto"/>
        <w:jc w:val="both"/>
        <w:rPr>
          <w:rFonts w:ascii="Arial" w:hAnsi="Arial" w:cs="Arial"/>
        </w:rPr>
      </w:pPr>
      <w:r>
        <w:rPr>
          <w:rFonts w:ascii="Arial" w:hAnsi="Arial"/>
        </w:rPr>
        <w:t xml:space="preserve">Gaiaren konplexutasun juridikoa dela-eta, Nafarroako Gobernuak NEKParen bidez, txosten tekniko eta juridiko bat egin zuen aurtengo maiatzean, bi helbururekin: sektore publiko enpresarialaren jasangarritasuna lantzea eta Langileen Legezko Ordezkaritzarekin hitz egiteko esparrurik egokiena zehaztea, besteak beste sozietate publikoetarako hitzarmen kolektibo bakarra sinatzea eta negoziazio mahaia eratzea bideragarria den aztertzeko. </w:t>
      </w:r>
    </w:p>
    <w:p w14:paraId="56861E37" w14:textId="058E7AEE" w:rsidR="00A04717" w:rsidRPr="00A04717" w:rsidRDefault="00A04717" w:rsidP="00A04717">
      <w:pPr>
        <w:spacing w:line="360" w:lineRule="auto"/>
        <w:jc w:val="both"/>
        <w:rPr>
          <w:rFonts w:ascii="Arial" w:hAnsi="Arial" w:cs="Arial"/>
        </w:rPr>
      </w:pPr>
      <w:r>
        <w:rPr>
          <w:rFonts w:ascii="Arial" w:hAnsi="Arial"/>
        </w:rPr>
        <w:t xml:space="preserve">Txosten horrek zenbait muga, zalantza eta gai juridiko planteatzen zituen, batez ere honako alderdi hauei buruzkoak: </w:t>
      </w:r>
    </w:p>
    <w:p w14:paraId="72420CCD" w14:textId="77777777" w:rsidR="00A04717" w:rsidRPr="00A04717" w:rsidRDefault="00A04717" w:rsidP="00A04717">
      <w:pPr>
        <w:numPr>
          <w:ilvl w:val="1"/>
          <w:numId w:val="15"/>
        </w:numPr>
        <w:spacing w:line="360" w:lineRule="auto"/>
        <w:jc w:val="both"/>
        <w:rPr>
          <w:rFonts w:ascii="Arial" w:hAnsi="Arial" w:cs="Arial"/>
        </w:rPr>
      </w:pPr>
      <w:r>
        <w:rPr>
          <w:rFonts w:ascii="Arial" w:hAnsi="Arial"/>
        </w:rPr>
        <w:t>Negoziazio mahaiaren legezkotasuna</w:t>
      </w:r>
    </w:p>
    <w:p w14:paraId="6AF21918" w14:textId="77777777" w:rsidR="00A04717" w:rsidRPr="00A04717" w:rsidRDefault="00A04717" w:rsidP="00A04717">
      <w:pPr>
        <w:numPr>
          <w:ilvl w:val="1"/>
          <w:numId w:val="15"/>
        </w:numPr>
        <w:spacing w:line="360" w:lineRule="auto"/>
        <w:jc w:val="both"/>
        <w:rPr>
          <w:rFonts w:ascii="Arial" w:hAnsi="Arial" w:cs="Arial"/>
        </w:rPr>
      </w:pPr>
      <w:r>
        <w:rPr>
          <w:rFonts w:ascii="Arial" w:hAnsi="Arial"/>
        </w:rPr>
        <w:t>Hitzarmenaren aplikagarritasuna Langileen Legezko Ordezkaritza ez duten sozietateetan</w:t>
      </w:r>
    </w:p>
    <w:p w14:paraId="3A80E866" w14:textId="77777777" w:rsidR="003754D4" w:rsidRDefault="00A04717" w:rsidP="00A04717">
      <w:pPr>
        <w:numPr>
          <w:ilvl w:val="1"/>
          <w:numId w:val="15"/>
        </w:numPr>
        <w:spacing w:line="360" w:lineRule="auto"/>
        <w:jc w:val="both"/>
        <w:rPr>
          <w:rFonts w:ascii="Arial" w:hAnsi="Arial" w:cs="Arial"/>
        </w:rPr>
      </w:pPr>
      <w:r>
        <w:rPr>
          <w:rFonts w:ascii="Arial" w:hAnsi="Arial"/>
        </w:rPr>
        <w:t>Hitzarmenaren aplikagarritasuna sozietate publikoetan, Gobernu Akordio bidez ezarritako sozietate publiko berriak txertatzen diren denbora epe batean (kasu honetan, BIDEAN modu garrantzitsuan)</w:t>
      </w:r>
    </w:p>
    <w:p w14:paraId="5402E416" w14:textId="77777777" w:rsidR="003754D4" w:rsidRDefault="00A04717" w:rsidP="00A04717">
      <w:pPr>
        <w:spacing w:line="360" w:lineRule="auto"/>
        <w:jc w:val="both"/>
        <w:rPr>
          <w:rFonts w:ascii="Arial" w:hAnsi="Arial" w:cs="Arial"/>
        </w:rPr>
      </w:pPr>
      <w:r>
        <w:rPr>
          <w:rFonts w:ascii="Arial" w:hAnsi="Arial"/>
        </w:rPr>
        <w:t xml:space="preserve">Txosten hori egin aurretik, eta sindikatuek egindako eskaera bati erantzuna emateko, 2023ko martxoan proposamen juridiko bat aurkeztu zitzaien, NEKPak emandako jarraibideak baliozkotuko zituena. Proposamen horretan, objektiboki komunak diren eta NEKParen eskumenekoak diren gaietan sozietate publikoentzako eskubideen esparru egokia ezarri zen, baina gaur egun ez dago haien erantzunik. </w:t>
      </w:r>
    </w:p>
    <w:p w14:paraId="0C1B1B4B" w14:textId="77777777" w:rsidR="003754D4" w:rsidRDefault="00A04717" w:rsidP="00A04717">
      <w:pPr>
        <w:spacing w:line="360" w:lineRule="auto"/>
        <w:jc w:val="both"/>
        <w:rPr>
          <w:rFonts w:ascii="Arial" w:hAnsi="Arial" w:cs="Arial"/>
        </w:rPr>
      </w:pPr>
      <w:r>
        <w:rPr>
          <w:rFonts w:ascii="Arial" w:hAnsi="Arial"/>
        </w:rPr>
        <w:t xml:space="preserve"> </w:t>
      </w:r>
    </w:p>
    <w:p w14:paraId="2A2AA873" w14:textId="77777777" w:rsidR="003754D4" w:rsidRDefault="00A04717" w:rsidP="00A04717">
      <w:pPr>
        <w:spacing w:line="360" w:lineRule="auto"/>
        <w:jc w:val="both"/>
        <w:rPr>
          <w:rFonts w:ascii="Arial" w:hAnsi="Arial" w:cs="Arial"/>
        </w:rPr>
      </w:pPr>
      <w:r>
        <w:rPr>
          <w:rFonts w:ascii="Arial" w:hAnsi="Arial"/>
        </w:rPr>
        <w:lastRenderedPageBreak/>
        <w:t xml:space="preserve">2023ko abuztuan bidali zitzaien aurretik aipatutako txosten tekniko eta juridikoa sindikatuei. Sindikatuek ez dute horri buruz ezer esan. </w:t>
      </w:r>
    </w:p>
    <w:p w14:paraId="5AB3AABA" w14:textId="77777777" w:rsidR="003754D4" w:rsidRDefault="00A04717" w:rsidP="00A04717">
      <w:pPr>
        <w:spacing w:line="360" w:lineRule="auto"/>
        <w:jc w:val="both"/>
        <w:rPr>
          <w:rFonts w:ascii="Arial" w:hAnsi="Arial" w:cs="Arial"/>
          <w:i/>
        </w:rPr>
      </w:pPr>
      <w:r>
        <w:rPr>
          <w:rFonts w:ascii="Arial" w:hAnsi="Arial"/>
        </w:rPr>
        <w:t xml:space="preserve">2023ko urrian, NEKPak Bulegoen eta Langelen Hitzarmeneko Xedapen Gehigarrian jasotako bide bat irekitzeko proposamena egin zien sindikatuei: </w:t>
      </w:r>
      <w:r>
        <w:rPr>
          <w:rFonts w:ascii="Arial" w:hAnsi="Arial"/>
          <w:i/>
        </w:rPr>
        <w:t>Hitzarmena indarrean dagoen bitartean aplikatzen zaien enpresen heterogeneotasunaren jakitun diren alderdiek talde bakoitzerako irizpide uniformeak aplikatzeko formula egokienak aztertuko dituzte</w:t>
      </w:r>
      <w:r>
        <w:rPr>
          <w:rFonts w:ascii="Arial" w:hAnsi="Arial"/>
        </w:rPr>
        <w:t>.</w:t>
      </w:r>
    </w:p>
    <w:p w14:paraId="3A684958" w14:textId="77777777" w:rsidR="003754D4" w:rsidRDefault="00A04717" w:rsidP="00A04717">
      <w:pPr>
        <w:spacing w:line="360" w:lineRule="auto"/>
        <w:jc w:val="both"/>
        <w:rPr>
          <w:rFonts w:ascii="Arial" w:hAnsi="Arial" w:cs="Arial"/>
        </w:rPr>
      </w:pPr>
      <w:r>
        <w:rPr>
          <w:rFonts w:ascii="Arial" w:hAnsi="Arial"/>
        </w:rPr>
        <w:t>Gaur egun, sindikatuak proposamena aztertzen daude eta erantzun baten zain gaude.</w:t>
      </w:r>
    </w:p>
    <w:p w14:paraId="23165D5B" w14:textId="77777777" w:rsidR="003754D4" w:rsidRDefault="00A04717" w:rsidP="00A04717">
      <w:pPr>
        <w:spacing w:line="360" w:lineRule="auto"/>
        <w:jc w:val="both"/>
        <w:rPr>
          <w:rFonts w:ascii="Arial" w:hAnsi="Arial" w:cs="Arial"/>
        </w:rPr>
      </w:pPr>
      <w:r>
        <w:rPr>
          <w:rFonts w:ascii="Arial" w:hAnsi="Arial"/>
        </w:rPr>
        <w:t xml:space="preserve">Horregatik guztiagatik, gaur egun esparru egokia definitzeke dago, NEKPtik planteatutako gaiei Langileen Legezko Ordezkaritzak eman beharreko erantzunaren zain. </w:t>
      </w:r>
    </w:p>
    <w:p w14:paraId="4F3E55F9" w14:textId="2CD69621" w:rsidR="003754D4" w:rsidRDefault="00864DCD" w:rsidP="001C5BBC">
      <w:pPr>
        <w:spacing w:line="360" w:lineRule="auto"/>
        <w:rPr>
          <w:rFonts w:ascii="Arial" w:hAnsi="Arial" w:cs="Arial"/>
        </w:rPr>
      </w:pPr>
      <w:r>
        <w:rPr>
          <w:rFonts w:ascii="Arial" w:hAnsi="Arial"/>
        </w:rPr>
        <w:t>Hori guztia jakinarazten dizut, Nafarroako Parlamentuko Erregelamenduaren 215. artikuluan xedatutakoa betez.</w:t>
      </w:r>
    </w:p>
    <w:p w14:paraId="7420D428" w14:textId="77777777" w:rsidR="003754D4" w:rsidRDefault="003754D4" w:rsidP="001C5BBC">
      <w:pPr>
        <w:spacing w:line="360" w:lineRule="auto"/>
        <w:rPr>
          <w:rFonts w:asciiTheme="minorHAnsi" w:hAnsiTheme="minorHAnsi" w:cstheme="minorHAnsi"/>
        </w:rPr>
      </w:pPr>
    </w:p>
    <w:p w14:paraId="723221D0" w14:textId="77777777" w:rsidR="003754D4" w:rsidRDefault="001C5BBC" w:rsidP="003754D4">
      <w:pPr>
        <w:rPr>
          <w:rFonts w:ascii="Arial" w:hAnsi="Arial" w:cs="Arial"/>
        </w:rPr>
      </w:pPr>
      <w:r>
        <w:rPr>
          <w:rFonts w:ascii="Arial" w:hAnsi="Arial"/>
        </w:rPr>
        <w:t>Iruñean, 2024ko urtarrilaren 4an</w:t>
      </w:r>
    </w:p>
    <w:p w14:paraId="4687C247" w14:textId="2616A03A" w:rsidR="002F3FFC" w:rsidRPr="001C5BBC" w:rsidRDefault="007631EC" w:rsidP="003754D4">
      <w:pPr>
        <w:rPr>
          <w:rFonts w:ascii="Arial" w:hAnsi="Arial" w:cs="Arial"/>
        </w:rPr>
      </w:pPr>
      <w:r>
        <w:rPr>
          <w:rFonts w:ascii="Arial" w:hAnsi="Arial"/>
        </w:rPr>
        <w:t>Ekonomia eta Ogasun kontseilaria: José Luis Arasti Pérez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F6EF" w14:textId="77777777" w:rsidR="00773F95" w:rsidRDefault="00773F95" w:rsidP="00773F95">
      <w:r>
        <w:separator/>
      </w:r>
    </w:p>
  </w:endnote>
  <w:endnote w:type="continuationSeparator" w:id="0">
    <w:p w14:paraId="027F113C" w14:textId="77777777" w:rsidR="00773F95" w:rsidRDefault="00773F95" w:rsidP="0077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7E84" w14:textId="77777777" w:rsidR="00773F95" w:rsidRDefault="00773F95" w:rsidP="00773F95">
      <w:r>
        <w:separator/>
      </w:r>
    </w:p>
  </w:footnote>
  <w:footnote w:type="continuationSeparator" w:id="0">
    <w:p w14:paraId="37DC0088" w14:textId="77777777" w:rsidR="00773F95" w:rsidRDefault="00773F95" w:rsidP="00773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5487919">
    <w:abstractNumId w:val="5"/>
  </w:num>
  <w:num w:numId="2" w16cid:durableId="136386174">
    <w:abstractNumId w:val="6"/>
  </w:num>
  <w:num w:numId="3" w16cid:durableId="1893228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970783">
    <w:abstractNumId w:val="3"/>
  </w:num>
  <w:num w:numId="5" w16cid:durableId="1442065634">
    <w:abstractNumId w:val="15"/>
  </w:num>
  <w:num w:numId="6" w16cid:durableId="799154779">
    <w:abstractNumId w:val="2"/>
  </w:num>
  <w:num w:numId="7" w16cid:durableId="1243374645">
    <w:abstractNumId w:val="1"/>
  </w:num>
  <w:num w:numId="8" w16cid:durableId="944071580">
    <w:abstractNumId w:val="13"/>
  </w:num>
  <w:num w:numId="9" w16cid:durableId="1929342990">
    <w:abstractNumId w:val="4"/>
  </w:num>
  <w:num w:numId="10" w16cid:durableId="1970503054">
    <w:abstractNumId w:val="14"/>
  </w:num>
  <w:num w:numId="11" w16cid:durableId="823816116">
    <w:abstractNumId w:val="11"/>
  </w:num>
  <w:num w:numId="12" w16cid:durableId="1105734897">
    <w:abstractNumId w:val="12"/>
  </w:num>
  <w:num w:numId="13" w16cid:durableId="1385984738">
    <w:abstractNumId w:val="8"/>
  </w:num>
  <w:num w:numId="14" w16cid:durableId="726731644">
    <w:abstractNumId w:val="10"/>
  </w:num>
  <w:num w:numId="15" w16cid:durableId="2111008375">
    <w:abstractNumId w:val="7"/>
  </w:num>
  <w:num w:numId="16" w16cid:durableId="71277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5BBC"/>
    <w:rsid w:val="00233022"/>
    <w:rsid w:val="00251B06"/>
    <w:rsid w:val="002F3FFC"/>
    <w:rsid w:val="00304774"/>
    <w:rsid w:val="00347443"/>
    <w:rsid w:val="003754D4"/>
    <w:rsid w:val="0042675C"/>
    <w:rsid w:val="00444D0E"/>
    <w:rsid w:val="00464CB5"/>
    <w:rsid w:val="004E3880"/>
    <w:rsid w:val="00544CBD"/>
    <w:rsid w:val="00561BAD"/>
    <w:rsid w:val="00576FE2"/>
    <w:rsid w:val="005952AA"/>
    <w:rsid w:val="005C03DB"/>
    <w:rsid w:val="005F4F36"/>
    <w:rsid w:val="006C0381"/>
    <w:rsid w:val="007138FD"/>
    <w:rsid w:val="0073692F"/>
    <w:rsid w:val="007631EC"/>
    <w:rsid w:val="00773F95"/>
    <w:rsid w:val="00797449"/>
    <w:rsid w:val="00837E35"/>
    <w:rsid w:val="00864DCD"/>
    <w:rsid w:val="00891E3A"/>
    <w:rsid w:val="008C23E9"/>
    <w:rsid w:val="008F3BE7"/>
    <w:rsid w:val="00A01D43"/>
    <w:rsid w:val="00A04717"/>
    <w:rsid w:val="00A7703E"/>
    <w:rsid w:val="00B36692"/>
    <w:rsid w:val="00B77D52"/>
    <w:rsid w:val="00BF546F"/>
    <w:rsid w:val="00D31F43"/>
    <w:rsid w:val="00DA07FB"/>
    <w:rsid w:val="00DA1E27"/>
    <w:rsid w:val="00E04955"/>
    <w:rsid w:val="00E53ECB"/>
    <w:rsid w:val="00E61A08"/>
    <w:rsid w:val="00E87145"/>
    <w:rsid w:val="00E95393"/>
    <w:rsid w:val="00EB3E46"/>
    <w:rsid w:val="00F16219"/>
    <w:rsid w:val="00FA608E"/>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500A"/>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773F95"/>
    <w:pPr>
      <w:tabs>
        <w:tab w:val="center" w:pos="4252"/>
        <w:tab w:val="right" w:pos="8504"/>
      </w:tabs>
    </w:pPr>
  </w:style>
  <w:style w:type="character" w:customStyle="1" w:styleId="EncabezadoCar">
    <w:name w:val="Encabezado Car"/>
    <w:basedOn w:val="Fuentedeprrafopredeter"/>
    <w:link w:val="Encabezado"/>
    <w:rsid w:val="00773F95"/>
    <w:rPr>
      <w:sz w:val="24"/>
      <w:szCs w:val="24"/>
    </w:rPr>
  </w:style>
  <w:style w:type="paragraph" w:styleId="Piedepgina">
    <w:name w:val="footer"/>
    <w:basedOn w:val="Normal"/>
    <w:link w:val="PiedepginaCar"/>
    <w:unhideWhenUsed/>
    <w:rsid w:val="00773F95"/>
    <w:pPr>
      <w:tabs>
        <w:tab w:val="center" w:pos="4252"/>
        <w:tab w:val="right" w:pos="8504"/>
      </w:tabs>
    </w:pPr>
  </w:style>
  <w:style w:type="character" w:customStyle="1" w:styleId="PiedepginaCar">
    <w:name w:val="Pie de página Car"/>
    <w:basedOn w:val="Fuentedeprrafopredeter"/>
    <w:link w:val="Piedepgina"/>
    <w:rsid w:val="00773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38</cp:revision>
  <dcterms:created xsi:type="dcterms:W3CDTF">2019-07-29T08:37:00Z</dcterms:created>
  <dcterms:modified xsi:type="dcterms:W3CDTF">2024-03-20T12:35:00Z</dcterms:modified>
</cp:coreProperties>
</file>