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4135C" w14:textId="77777777" w:rsidR="00773F95" w:rsidRDefault="00773F95" w:rsidP="00A04717">
      <w:pPr>
        <w:spacing w:line="360" w:lineRule="auto"/>
        <w:jc w:val="both"/>
        <w:rPr>
          <w:rFonts w:ascii="Arial" w:hAnsi="Arial" w:cs="Arial"/>
        </w:rPr>
      </w:pPr>
    </w:p>
    <w:p w14:paraId="5DC2D953" w14:textId="73518578" w:rsidR="003754D4" w:rsidRDefault="005C03DB" w:rsidP="00A04717">
      <w:pPr>
        <w:spacing w:line="360" w:lineRule="auto"/>
        <w:jc w:val="both"/>
        <w:rPr>
          <w:rFonts w:ascii="Arial" w:hAnsi="Arial" w:cs="Arial"/>
        </w:rPr>
      </w:pPr>
      <w:r w:rsidRPr="00EB3E46">
        <w:rPr>
          <w:rFonts w:ascii="Arial" w:hAnsi="Arial" w:cs="Arial"/>
        </w:rPr>
        <w:t>El</w:t>
      </w:r>
      <w:r w:rsidR="00864DCD" w:rsidRPr="00EB3E46">
        <w:rPr>
          <w:rFonts w:ascii="Arial" w:hAnsi="Arial" w:cs="Arial"/>
        </w:rPr>
        <w:t xml:space="preserve"> Consejer</w:t>
      </w:r>
      <w:r w:rsidRPr="00EB3E46">
        <w:rPr>
          <w:rFonts w:ascii="Arial" w:hAnsi="Arial" w:cs="Arial"/>
        </w:rPr>
        <w:t>o</w:t>
      </w:r>
      <w:r w:rsidR="00864DCD" w:rsidRPr="00EB3E46">
        <w:rPr>
          <w:rFonts w:ascii="Arial" w:hAnsi="Arial" w:cs="Arial"/>
        </w:rPr>
        <w:t xml:space="preserve"> del Departamento de Econom</w:t>
      </w:r>
      <w:r w:rsidR="00802481">
        <w:rPr>
          <w:rFonts w:ascii="Arial" w:hAnsi="Arial" w:cs="Arial"/>
        </w:rPr>
        <w:t>í</w:t>
      </w:r>
      <w:r w:rsidR="00864DCD" w:rsidRPr="00EB3E46">
        <w:rPr>
          <w:rFonts w:ascii="Arial" w:hAnsi="Arial" w:cs="Arial"/>
        </w:rPr>
        <w:t xml:space="preserve">a y Hacienda, en relación a la Pregunta escrita formulada </w:t>
      </w:r>
      <w:r w:rsidR="001C5BBC" w:rsidRPr="00EB3E46">
        <w:rPr>
          <w:rFonts w:ascii="Arial" w:hAnsi="Arial" w:cs="Arial"/>
        </w:rPr>
        <w:t xml:space="preserve">por </w:t>
      </w:r>
      <w:r w:rsidR="00797449" w:rsidRPr="00EB3E46">
        <w:rPr>
          <w:rFonts w:ascii="Arial" w:hAnsi="Arial" w:cs="Arial"/>
        </w:rPr>
        <w:t>D</w:t>
      </w:r>
      <w:r w:rsidR="00A04717">
        <w:rPr>
          <w:rFonts w:ascii="Arial" w:hAnsi="Arial" w:cs="Arial"/>
        </w:rPr>
        <w:t>ña. Cristina López Mañeru</w:t>
      </w:r>
      <w:r w:rsidR="001C5BBC" w:rsidRPr="00EB3E46">
        <w:rPr>
          <w:rFonts w:ascii="Arial" w:hAnsi="Arial" w:cs="Arial"/>
        </w:rPr>
        <w:t>, parlamentari</w:t>
      </w:r>
      <w:r w:rsidR="00A04717">
        <w:rPr>
          <w:rFonts w:ascii="Arial" w:hAnsi="Arial" w:cs="Arial"/>
        </w:rPr>
        <w:t>a</w:t>
      </w:r>
      <w:r w:rsidR="001C5BBC" w:rsidRPr="00EB3E46">
        <w:rPr>
          <w:rFonts w:ascii="Arial" w:hAnsi="Arial" w:cs="Arial"/>
        </w:rPr>
        <w:t xml:space="preserve"> foral adscrit</w:t>
      </w:r>
      <w:r w:rsidR="00A04717">
        <w:rPr>
          <w:rFonts w:ascii="Arial" w:hAnsi="Arial" w:cs="Arial"/>
        </w:rPr>
        <w:t>a</w:t>
      </w:r>
      <w:r w:rsidR="001C5BBC" w:rsidRPr="00EB3E46">
        <w:rPr>
          <w:rFonts w:ascii="Arial" w:hAnsi="Arial" w:cs="Arial"/>
        </w:rPr>
        <w:t xml:space="preserve"> al Grupo Parlamentario </w:t>
      </w:r>
      <w:r w:rsidR="00464CB5">
        <w:rPr>
          <w:rFonts w:ascii="Arial" w:hAnsi="Arial" w:cs="Arial"/>
        </w:rPr>
        <w:t>Unión del Pueblo Navarro</w:t>
      </w:r>
      <w:r w:rsidR="001C5BBC" w:rsidRPr="00EB3E46">
        <w:rPr>
          <w:rFonts w:ascii="Arial" w:hAnsi="Arial" w:cs="Arial"/>
        </w:rPr>
        <w:t xml:space="preserve">, registrada con número de </w:t>
      </w:r>
      <w:r w:rsidR="00561BAD" w:rsidRPr="00EB3E46">
        <w:rPr>
          <w:rFonts w:ascii="Arial" w:hAnsi="Arial" w:cs="Arial"/>
        </w:rPr>
        <w:t>salida</w:t>
      </w:r>
      <w:r w:rsidR="001C5BBC" w:rsidRPr="00EB3E46">
        <w:rPr>
          <w:rFonts w:ascii="Arial" w:hAnsi="Arial" w:cs="Arial"/>
        </w:rPr>
        <w:t xml:space="preserve"> del Parlamento de Navarra </w:t>
      </w:r>
      <w:r w:rsidR="00A04717">
        <w:rPr>
          <w:rFonts w:ascii="Arial" w:hAnsi="Arial" w:cs="Arial"/>
        </w:rPr>
        <w:t>5579</w:t>
      </w:r>
      <w:r w:rsidR="001C5BBC" w:rsidRPr="00EB3E46">
        <w:rPr>
          <w:rFonts w:ascii="Arial" w:hAnsi="Arial" w:cs="Arial"/>
        </w:rPr>
        <w:t xml:space="preserve">, de </w:t>
      </w:r>
      <w:r w:rsidR="00A04717">
        <w:rPr>
          <w:rFonts w:ascii="Arial" w:hAnsi="Arial" w:cs="Arial"/>
        </w:rPr>
        <w:t>11</w:t>
      </w:r>
      <w:r w:rsidR="001C5BBC" w:rsidRPr="00EB3E46">
        <w:rPr>
          <w:rFonts w:ascii="Arial" w:hAnsi="Arial" w:cs="Arial"/>
        </w:rPr>
        <w:t xml:space="preserve"> de </w:t>
      </w:r>
      <w:r w:rsidR="00A04717">
        <w:rPr>
          <w:rFonts w:ascii="Arial" w:hAnsi="Arial" w:cs="Arial"/>
        </w:rPr>
        <w:t>diciembre</w:t>
      </w:r>
      <w:r w:rsidR="001C5BBC" w:rsidRPr="00EB3E46">
        <w:rPr>
          <w:rFonts w:ascii="Arial" w:hAnsi="Arial" w:cs="Arial"/>
        </w:rPr>
        <w:t xml:space="preserve"> de 20</w:t>
      </w:r>
      <w:r w:rsidR="00797449" w:rsidRPr="00EB3E46">
        <w:rPr>
          <w:rFonts w:ascii="Arial" w:hAnsi="Arial" w:cs="Arial"/>
        </w:rPr>
        <w:t>2</w:t>
      </w:r>
      <w:r w:rsidRPr="00EB3E46">
        <w:rPr>
          <w:rFonts w:ascii="Arial" w:hAnsi="Arial" w:cs="Arial"/>
        </w:rPr>
        <w:t>3</w:t>
      </w:r>
      <w:r w:rsidR="001C5BBC" w:rsidRPr="00EB3E46">
        <w:rPr>
          <w:rFonts w:ascii="Arial" w:hAnsi="Arial" w:cs="Arial"/>
        </w:rPr>
        <w:t>, (1</w:t>
      </w:r>
      <w:r w:rsidRPr="00EB3E46">
        <w:rPr>
          <w:rFonts w:ascii="Arial" w:hAnsi="Arial" w:cs="Arial"/>
        </w:rPr>
        <w:t>1</w:t>
      </w:r>
      <w:r w:rsidR="001C5BBC" w:rsidRPr="00EB3E46">
        <w:rPr>
          <w:rFonts w:ascii="Arial" w:hAnsi="Arial" w:cs="Arial"/>
        </w:rPr>
        <w:t>-</w:t>
      </w:r>
      <w:r w:rsidR="00797449" w:rsidRPr="00EB3E46">
        <w:rPr>
          <w:rFonts w:ascii="Arial" w:hAnsi="Arial" w:cs="Arial"/>
        </w:rPr>
        <w:t>2</w:t>
      </w:r>
      <w:r w:rsidRPr="00EB3E46">
        <w:rPr>
          <w:rFonts w:ascii="Arial" w:hAnsi="Arial" w:cs="Arial"/>
        </w:rPr>
        <w:t>3</w:t>
      </w:r>
      <w:r w:rsidR="001C5BBC" w:rsidRPr="00EB3E46">
        <w:rPr>
          <w:rFonts w:ascii="Arial" w:hAnsi="Arial" w:cs="Arial"/>
        </w:rPr>
        <w:t>/PE</w:t>
      </w:r>
      <w:r w:rsidR="00864DCD" w:rsidRPr="00EB3E46">
        <w:rPr>
          <w:rFonts w:ascii="Arial" w:hAnsi="Arial" w:cs="Arial"/>
        </w:rPr>
        <w:t>S</w:t>
      </w:r>
      <w:r w:rsidR="001C5BBC" w:rsidRPr="00EB3E46">
        <w:rPr>
          <w:rFonts w:ascii="Arial" w:hAnsi="Arial" w:cs="Arial"/>
        </w:rPr>
        <w:t>-</w:t>
      </w:r>
      <w:r w:rsidR="00A04717">
        <w:rPr>
          <w:rFonts w:ascii="Arial" w:hAnsi="Arial" w:cs="Arial"/>
        </w:rPr>
        <w:t>220</w:t>
      </w:r>
      <w:r w:rsidR="0042675C" w:rsidRPr="00EB3E46">
        <w:rPr>
          <w:rFonts w:ascii="Arial" w:hAnsi="Arial" w:cs="Arial"/>
        </w:rPr>
        <w:t>)</w:t>
      </w:r>
      <w:r w:rsidR="0073692F" w:rsidRPr="00EB3E46">
        <w:rPr>
          <w:rFonts w:ascii="Arial" w:hAnsi="Arial" w:cs="Arial"/>
        </w:rPr>
        <w:t>,</w:t>
      </w:r>
      <w:r w:rsidR="005F4F36" w:rsidRPr="00EB3E46">
        <w:rPr>
          <w:rFonts w:ascii="Arial" w:hAnsi="Arial" w:cs="Arial"/>
        </w:rPr>
        <w:t xml:space="preserve"> </w:t>
      </w:r>
      <w:r w:rsidR="00304774" w:rsidRPr="00EB3E46">
        <w:rPr>
          <w:rFonts w:ascii="Arial" w:hAnsi="Arial" w:cs="Arial"/>
        </w:rPr>
        <w:t>relativa</w:t>
      </w:r>
      <w:r w:rsidR="00DA07FB" w:rsidRPr="00EB3E46">
        <w:rPr>
          <w:rFonts w:ascii="Arial" w:hAnsi="Arial" w:cs="Arial"/>
        </w:rPr>
        <w:t xml:space="preserve"> </w:t>
      </w:r>
      <w:r w:rsidR="00A04717">
        <w:rPr>
          <w:rFonts w:ascii="Arial" w:hAnsi="Arial" w:cs="Arial"/>
        </w:rPr>
        <w:t>a</w:t>
      </w:r>
      <w:r w:rsidR="00A04717" w:rsidRPr="00A04717">
        <w:rPr>
          <w:rFonts w:ascii="Arial" w:hAnsi="Arial" w:cs="Arial"/>
        </w:rPr>
        <w:t xml:space="preserve"> la Comisión negociadora del primer convenio colectivo de empresas públicas del Gobierno de Navarra agrupadas en CPEN</w:t>
      </w:r>
      <w:r w:rsidR="00864DCD" w:rsidRPr="00EB3E46">
        <w:rPr>
          <w:rFonts w:ascii="Arial" w:hAnsi="Arial" w:cs="Arial"/>
        </w:rPr>
        <w:t>,</w:t>
      </w:r>
      <w:r w:rsidR="00E04955" w:rsidRPr="00EB3E46">
        <w:rPr>
          <w:rFonts w:ascii="Arial" w:hAnsi="Arial" w:cs="Arial"/>
        </w:rPr>
        <w:t xml:space="preserve"> </w:t>
      </w:r>
      <w:r w:rsidR="001C5BBC" w:rsidRPr="00EB3E46">
        <w:rPr>
          <w:rFonts w:ascii="Arial" w:hAnsi="Arial" w:cs="Arial"/>
        </w:rPr>
        <w:t xml:space="preserve">tiene el honor de </w:t>
      </w:r>
      <w:r w:rsidR="00A04717">
        <w:rPr>
          <w:rFonts w:ascii="Arial" w:hAnsi="Arial" w:cs="Arial"/>
        </w:rPr>
        <w:t>informarle</w:t>
      </w:r>
      <w:r w:rsidR="00251B06" w:rsidRPr="00EB3E46">
        <w:rPr>
          <w:rFonts w:ascii="Arial" w:hAnsi="Arial" w:cs="Arial"/>
        </w:rPr>
        <w:t xml:space="preserve"> lo siguiente:</w:t>
      </w:r>
    </w:p>
    <w:p w14:paraId="1324CB0D" w14:textId="77777777" w:rsidR="003754D4" w:rsidRDefault="00A04717" w:rsidP="00A04717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i/>
        </w:rPr>
      </w:pPr>
      <w:r w:rsidRPr="00A04717">
        <w:rPr>
          <w:rFonts w:ascii="Arial" w:hAnsi="Arial" w:cs="Arial"/>
          <w:b/>
          <w:i/>
        </w:rPr>
        <w:t>¿Cuál es la fecha de constitución de la comisión negociadora del primer convenio colectivo de empresas públicas del Gobierno de Navarra agrupadas en CPEN? ¿Qué miembros integran dicha comisión y cuántas reuniones se han celebrado hasta ahora?</w:t>
      </w:r>
    </w:p>
    <w:p w14:paraId="460EC1B2" w14:textId="77777777" w:rsidR="003754D4" w:rsidRDefault="00A04717" w:rsidP="00A04717">
      <w:p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t xml:space="preserve">Debido a la complejidad jurídica del asunto, el Gobierno de Navarra a través de CPEN realizó en mayo del presente año, un informe técnico y jurídico con un doble objetivo; trabajar en la sostenibilidad del sector público empresarial y definir el marco más adecuado para interlocución con la Representación Legal de Trabajadores (RLT), abordando entre otras alternativas, la viabilidad de la constitución de la mesa negociadora y de la firma de un convenio colectivo único para las Sociedades Públicas (SSPP). </w:t>
      </w:r>
    </w:p>
    <w:p w14:paraId="56861E37" w14:textId="058E7AEE" w:rsidR="00A04717" w:rsidRPr="00A04717" w:rsidRDefault="00A04717" w:rsidP="00A04717">
      <w:p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t xml:space="preserve">Dicho informe planteaba una serie de limitaciones, dudas y cuestiones jurídicas referidas fundamentalmente a los siguientes aspectos: </w:t>
      </w:r>
    </w:p>
    <w:p w14:paraId="72420CCD" w14:textId="77777777" w:rsidR="00A04717" w:rsidRPr="00A04717" w:rsidRDefault="00A04717" w:rsidP="00A04717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t>Legitimidad de la mesa negociadora</w:t>
      </w:r>
    </w:p>
    <w:p w14:paraId="6AF21918" w14:textId="77777777" w:rsidR="00A04717" w:rsidRPr="00A04717" w:rsidRDefault="00A04717" w:rsidP="00A04717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t>Aplicabilidad del convenio en las sociedades que no tienen RLT</w:t>
      </w:r>
    </w:p>
    <w:p w14:paraId="3A80E866" w14:textId="77777777" w:rsidR="003754D4" w:rsidRDefault="00A04717" w:rsidP="00A04717">
      <w:pPr>
        <w:numPr>
          <w:ilvl w:val="1"/>
          <w:numId w:val="15"/>
        </w:num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t>Aplicabilidad del convenio en las SSPP en un horizonte temporal en el que se incorporan nuevas SSPP ya previstas por acuerdo de Gobierno (en este de manera importante BIDEAN)</w:t>
      </w:r>
    </w:p>
    <w:p w14:paraId="5402E416" w14:textId="77777777" w:rsidR="003754D4" w:rsidRDefault="00A04717" w:rsidP="00A04717">
      <w:p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t xml:space="preserve">Con anterioridad a dicho informe y en respuesta a una petición de los sindicatos, en marzo de 2023 se les presentó una propuesta jurídica que diera </w:t>
      </w:r>
    </w:p>
    <w:p w14:paraId="0C1B1B4B" w14:textId="77777777" w:rsidR="003754D4" w:rsidRDefault="00A04717" w:rsidP="00A04717">
      <w:p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t xml:space="preserve">validez a las instrucciones emitidas por CPEN, estableciendo un marco adecuado de derechos a las SSPP en aquellas materias que son objetivamente comunes y de competencia de CPEN, pero a día de hoy no hay respuesta por su parte. </w:t>
      </w:r>
    </w:p>
    <w:p w14:paraId="2A2AA873" w14:textId="77777777" w:rsidR="003754D4" w:rsidRDefault="00A04717" w:rsidP="00A04717">
      <w:p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lastRenderedPageBreak/>
        <w:t xml:space="preserve">En agosto de 2023 se envía a los sindicatos el informe técnico y jurídico que señalamos anteriormente. Los sindicatos no se han pronunciado al respecto. </w:t>
      </w:r>
    </w:p>
    <w:p w14:paraId="5AB3AABA" w14:textId="77777777" w:rsidR="003754D4" w:rsidRDefault="00A04717" w:rsidP="00A04717">
      <w:pPr>
        <w:spacing w:line="360" w:lineRule="auto"/>
        <w:jc w:val="both"/>
        <w:rPr>
          <w:rFonts w:ascii="Arial" w:hAnsi="Arial" w:cs="Arial"/>
          <w:i/>
        </w:rPr>
      </w:pPr>
      <w:r w:rsidRPr="00A04717">
        <w:rPr>
          <w:rFonts w:ascii="Arial" w:hAnsi="Arial" w:cs="Arial"/>
        </w:rPr>
        <w:t>En octubre de 2023, CPEN hace una propuesta a los sindicatos de abrir una vía recogida en la Disposición Adicional del Convenio de Oficinas y Despachos “</w:t>
      </w:r>
      <w:r w:rsidRPr="00A04717">
        <w:rPr>
          <w:rFonts w:ascii="Arial" w:hAnsi="Arial" w:cs="Arial"/>
          <w:i/>
        </w:rPr>
        <w:t>Las partes conscientes de la heterogeneidad de empresas a las que se aplica el convenio durante la vigencia del mismo estudiarán las fórmulas más adecuadas para acometer la aplicación de criterios uniformes para cada grupo de las mismas”.</w:t>
      </w:r>
    </w:p>
    <w:p w14:paraId="3A684958" w14:textId="77777777" w:rsidR="003754D4" w:rsidRDefault="00A04717" w:rsidP="00A04717">
      <w:p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t>A día de hoy, los sindicatos están analizado la propuesta y estamos a la espera de una respuesta.</w:t>
      </w:r>
    </w:p>
    <w:p w14:paraId="23165D5B" w14:textId="77777777" w:rsidR="003754D4" w:rsidRDefault="00A04717" w:rsidP="00A04717">
      <w:pPr>
        <w:spacing w:line="360" w:lineRule="auto"/>
        <w:jc w:val="both"/>
        <w:rPr>
          <w:rFonts w:ascii="Arial" w:hAnsi="Arial" w:cs="Arial"/>
        </w:rPr>
      </w:pPr>
      <w:r w:rsidRPr="00A04717">
        <w:rPr>
          <w:rFonts w:ascii="Arial" w:hAnsi="Arial" w:cs="Arial"/>
        </w:rPr>
        <w:t xml:space="preserve">Por todo ello, a día de hoy se está a la espera de la definición del marco adecuado, pendiente de la respuesta de la RLT a las cuestiones planteadas desde CPEN. </w:t>
      </w:r>
    </w:p>
    <w:p w14:paraId="4F3E55F9" w14:textId="2CD69621" w:rsidR="003754D4" w:rsidRDefault="00864DCD" w:rsidP="001C5BBC">
      <w:pPr>
        <w:spacing w:line="360" w:lineRule="auto"/>
        <w:rPr>
          <w:rFonts w:ascii="Arial" w:hAnsi="Arial" w:cs="Arial"/>
        </w:rPr>
      </w:pPr>
      <w:r w:rsidRPr="00EB3E46">
        <w:rPr>
          <w:rFonts w:ascii="Arial" w:hAnsi="Arial" w:cs="Arial"/>
        </w:rPr>
        <w:t>Es cuanto tengo el honor de informar</w:t>
      </w:r>
      <w:r w:rsidR="004E3880">
        <w:rPr>
          <w:rFonts w:ascii="Arial" w:hAnsi="Arial" w:cs="Arial"/>
        </w:rPr>
        <w:t xml:space="preserve">, </w:t>
      </w:r>
      <w:r w:rsidRPr="00EB3E46">
        <w:rPr>
          <w:rFonts w:ascii="Arial" w:hAnsi="Arial" w:cs="Arial"/>
        </w:rPr>
        <w:t xml:space="preserve">en cumplimiento de lo dispuesto en el artículo </w:t>
      </w:r>
      <w:r w:rsidR="00233022" w:rsidRPr="00EB3E46">
        <w:rPr>
          <w:rFonts w:ascii="Arial" w:hAnsi="Arial" w:cs="Arial"/>
        </w:rPr>
        <w:t>215</w:t>
      </w:r>
      <w:r w:rsidRPr="00EB3E46">
        <w:rPr>
          <w:rFonts w:ascii="Arial" w:hAnsi="Arial" w:cs="Arial"/>
        </w:rPr>
        <w:t xml:space="preserve"> del Reglamento del Parlamento de Navarra.</w:t>
      </w:r>
    </w:p>
    <w:p w14:paraId="7420D428" w14:textId="77777777" w:rsidR="003754D4" w:rsidRDefault="003754D4" w:rsidP="001C5BBC">
      <w:pPr>
        <w:spacing w:line="360" w:lineRule="auto"/>
        <w:rPr>
          <w:rFonts w:asciiTheme="minorHAnsi" w:hAnsiTheme="minorHAnsi" w:cstheme="minorHAnsi"/>
        </w:rPr>
      </w:pPr>
    </w:p>
    <w:p w14:paraId="723221D0" w14:textId="77777777" w:rsidR="003754D4" w:rsidRDefault="001C5BBC" w:rsidP="003754D4">
      <w:pPr>
        <w:rPr>
          <w:rFonts w:ascii="Arial" w:hAnsi="Arial" w:cs="Arial"/>
        </w:rPr>
      </w:pPr>
      <w:r w:rsidRPr="001C5BBC">
        <w:rPr>
          <w:rFonts w:ascii="Arial" w:hAnsi="Arial" w:cs="Arial"/>
        </w:rPr>
        <w:t>Pamplona,</w:t>
      </w:r>
      <w:r w:rsidR="007631EC">
        <w:rPr>
          <w:rFonts w:ascii="Arial" w:hAnsi="Arial" w:cs="Arial"/>
        </w:rPr>
        <w:t xml:space="preserve"> </w:t>
      </w:r>
      <w:r w:rsidR="006C0381">
        <w:rPr>
          <w:rFonts w:ascii="Arial" w:hAnsi="Arial" w:cs="Arial"/>
        </w:rPr>
        <w:t>4</w:t>
      </w:r>
      <w:r w:rsidRPr="001C5BBC">
        <w:rPr>
          <w:rFonts w:ascii="Arial" w:hAnsi="Arial" w:cs="Arial"/>
        </w:rPr>
        <w:t xml:space="preserve"> de </w:t>
      </w:r>
      <w:r w:rsidR="006C0381">
        <w:rPr>
          <w:rFonts w:ascii="Arial" w:hAnsi="Arial" w:cs="Arial"/>
        </w:rPr>
        <w:t>enero</w:t>
      </w:r>
      <w:r w:rsidRPr="001C5BBC">
        <w:rPr>
          <w:rFonts w:ascii="Arial" w:hAnsi="Arial" w:cs="Arial"/>
        </w:rPr>
        <w:t xml:space="preserve"> de 20</w:t>
      </w:r>
      <w:r w:rsidR="00797449">
        <w:rPr>
          <w:rFonts w:ascii="Arial" w:hAnsi="Arial" w:cs="Arial"/>
        </w:rPr>
        <w:t>2</w:t>
      </w:r>
      <w:r w:rsidR="006C0381">
        <w:rPr>
          <w:rFonts w:ascii="Arial" w:hAnsi="Arial" w:cs="Arial"/>
        </w:rPr>
        <w:t>4</w:t>
      </w:r>
    </w:p>
    <w:p w14:paraId="4687C247" w14:textId="2616A03A" w:rsidR="002F3FFC" w:rsidRPr="001C5BBC" w:rsidRDefault="007631EC" w:rsidP="003754D4">
      <w:pPr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1C5BBC" w:rsidRPr="001C5BBC">
        <w:rPr>
          <w:rFonts w:ascii="Arial" w:hAnsi="Arial" w:cs="Arial"/>
        </w:rPr>
        <w:t xml:space="preserve"> Consejer</w:t>
      </w:r>
      <w:r>
        <w:rPr>
          <w:rFonts w:ascii="Arial" w:hAnsi="Arial" w:cs="Arial"/>
        </w:rPr>
        <w:t>o</w:t>
      </w:r>
      <w:r w:rsidR="001C5BBC" w:rsidRPr="001C5BBC">
        <w:rPr>
          <w:rFonts w:ascii="Arial" w:hAnsi="Arial" w:cs="Arial"/>
        </w:rPr>
        <w:t xml:space="preserve"> de </w:t>
      </w:r>
      <w:r w:rsidR="00DA1E27">
        <w:rPr>
          <w:rFonts w:ascii="Arial" w:hAnsi="Arial" w:cs="Arial"/>
        </w:rPr>
        <w:t>Economí</w:t>
      </w:r>
      <w:r w:rsidR="00347443">
        <w:rPr>
          <w:rFonts w:ascii="Arial" w:hAnsi="Arial" w:cs="Arial"/>
        </w:rPr>
        <w:t xml:space="preserve">a y </w:t>
      </w:r>
      <w:r w:rsidR="001C5BBC" w:rsidRPr="001C5BBC">
        <w:rPr>
          <w:rFonts w:ascii="Arial" w:hAnsi="Arial" w:cs="Arial"/>
        </w:rPr>
        <w:t>Hacienda</w:t>
      </w:r>
      <w:r w:rsidR="003754D4">
        <w:rPr>
          <w:rFonts w:ascii="Arial" w:hAnsi="Arial" w:cs="Arial"/>
        </w:rPr>
        <w:t xml:space="preserve">: </w:t>
      </w:r>
      <w:r w:rsidRPr="007631EC">
        <w:rPr>
          <w:rFonts w:ascii="Arial" w:hAnsi="Arial" w:cs="Arial"/>
        </w:rPr>
        <w:t>José Luis Arasti Pérez</w:t>
      </w:r>
    </w:p>
    <w:sectPr w:rsidR="002F3FFC" w:rsidRPr="001C5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F6EF" w14:textId="77777777" w:rsidR="00773F95" w:rsidRDefault="00773F95" w:rsidP="00773F95">
      <w:r>
        <w:separator/>
      </w:r>
    </w:p>
  </w:endnote>
  <w:endnote w:type="continuationSeparator" w:id="0">
    <w:p w14:paraId="027F113C" w14:textId="77777777" w:rsidR="00773F95" w:rsidRDefault="00773F95" w:rsidP="0077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87E84" w14:textId="77777777" w:rsidR="00773F95" w:rsidRDefault="00773F95" w:rsidP="00773F95">
      <w:r>
        <w:separator/>
      </w:r>
    </w:p>
  </w:footnote>
  <w:footnote w:type="continuationSeparator" w:id="0">
    <w:p w14:paraId="37DC0088" w14:textId="77777777" w:rsidR="00773F95" w:rsidRDefault="00773F95" w:rsidP="0077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53F9"/>
    <w:multiLevelType w:val="hybridMultilevel"/>
    <w:tmpl w:val="104CA8BE"/>
    <w:lvl w:ilvl="0" w:tplc="17463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2BCF"/>
    <w:multiLevelType w:val="hybridMultilevel"/>
    <w:tmpl w:val="84C04F3C"/>
    <w:lvl w:ilvl="0" w:tplc="0C0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C726D"/>
    <w:multiLevelType w:val="hybridMultilevel"/>
    <w:tmpl w:val="BF6C3EB8"/>
    <w:lvl w:ilvl="0" w:tplc="21BECF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Kaling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3FAD"/>
    <w:multiLevelType w:val="hybridMultilevel"/>
    <w:tmpl w:val="22C66106"/>
    <w:lvl w:ilvl="0" w:tplc="0C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F2474"/>
    <w:multiLevelType w:val="hybridMultilevel"/>
    <w:tmpl w:val="50ECFEAE"/>
    <w:lvl w:ilvl="0" w:tplc="D80E2088">
      <w:start w:val="1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DA978EE"/>
    <w:multiLevelType w:val="hybridMultilevel"/>
    <w:tmpl w:val="3008F7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53050"/>
    <w:multiLevelType w:val="hybridMultilevel"/>
    <w:tmpl w:val="9C8E9E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5359D"/>
    <w:multiLevelType w:val="hybridMultilevel"/>
    <w:tmpl w:val="9F309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84B"/>
    <w:multiLevelType w:val="hybridMultilevel"/>
    <w:tmpl w:val="2D101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87919">
    <w:abstractNumId w:val="5"/>
  </w:num>
  <w:num w:numId="2" w16cid:durableId="136386174">
    <w:abstractNumId w:val="6"/>
  </w:num>
  <w:num w:numId="3" w16cid:durableId="18932284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4970783">
    <w:abstractNumId w:val="3"/>
  </w:num>
  <w:num w:numId="5" w16cid:durableId="1442065634">
    <w:abstractNumId w:val="15"/>
  </w:num>
  <w:num w:numId="6" w16cid:durableId="799154779">
    <w:abstractNumId w:val="2"/>
  </w:num>
  <w:num w:numId="7" w16cid:durableId="1243374645">
    <w:abstractNumId w:val="1"/>
  </w:num>
  <w:num w:numId="8" w16cid:durableId="944071580">
    <w:abstractNumId w:val="13"/>
  </w:num>
  <w:num w:numId="9" w16cid:durableId="1929342990">
    <w:abstractNumId w:val="4"/>
  </w:num>
  <w:num w:numId="10" w16cid:durableId="1970503054">
    <w:abstractNumId w:val="14"/>
  </w:num>
  <w:num w:numId="11" w16cid:durableId="823816116">
    <w:abstractNumId w:val="11"/>
  </w:num>
  <w:num w:numId="12" w16cid:durableId="1105734897">
    <w:abstractNumId w:val="12"/>
  </w:num>
  <w:num w:numId="13" w16cid:durableId="1385984738">
    <w:abstractNumId w:val="8"/>
  </w:num>
  <w:num w:numId="14" w16cid:durableId="726731644">
    <w:abstractNumId w:val="10"/>
  </w:num>
  <w:num w:numId="15" w16cid:durableId="2111008375">
    <w:abstractNumId w:val="7"/>
  </w:num>
  <w:num w:numId="16" w16cid:durableId="71277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C5BBC"/>
    <w:rsid w:val="00233022"/>
    <w:rsid w:val="00251B06"/>
    <w:rsid w:val="002F3FFC"/>
    <w:rsid w:val="00304774"/>
    <w:rsid w:val="00347443"/>
    <w:rsid w:val="003754D4"/>
    <w:rsid w:val="0042675C"/>
    <w:rsid w:val="00444D0E"/>
    <w:rsid w:val="00464CB5"/>
    <w:rsid w:val="004E3880"/>
    <w:rsid w:val="00544CBD"/>
    <w:rsid w:val="00561BAD"/>
    <w:rsid w:val="00576FE2"/>
    <w:rsid w:val="005952AA"/>
    <w:rsid w:val="005C03DB"/>
    <w:rsid w:val="005F4F36"/>
    <w:rsid w:val="006C0381"/>
    <w:rsid w:val="007138FD"/>
    <w:rsid w:val="0073692F"/>
    <w:rsid w:val="007631EC"/>
    <w:rsid w:val="00773F95"/>
    <w:rsid w:val="00797449"/>
    <w:rsid w:val="00802481"/>
    <w:rsid w:val="00837E35"/>
    <w:rsid w:val="00864DCD"/>
    <w:rsid w:val="00891E3A"/>
    <w:rsid w:val="008C23E9"/>
    <w:rsid w:val="008F3BE7"/>
    <w:rsid w:val="00A01D43"/>
    <w:rsid w:val="00A04717"/>
    <w:rsid w:val="00A7703E"/>
    <w:rsid w:val="00B36692"/>
    <w:rsid w:val="00B77D52"/>
    <w:rsid w:val="00BF546F"/>
    <w:rsid w:val="00D31F43"/>
    <w:rsid w:val="00DA07FB"/>
    <w:rsid w:val="00DA1E27"/>
    <w:rsid w:val="00E04955"/>
    <w:rsid w:val="00E53ECB"/>
    <w:rsid w:val="00E61A08"/>
    <w:rsid w:val="00E87145"/>
    <w:rsid w:val="00E95393"/>
    <w:rsid w:val="00E96968"/>
    <w:rsid w:val="00EB3E46"/>
    <w:rsid w:val="00F16219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5500A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022"/>
    <w:pPr>
      <w:ind w:left="708"/>
    </w:pPr>
    <w:rPr>
      <w:lang w:eastAsia="en-US"/>
    </w:rPr>
  </w:style>
  <w:style w:type="paragraph" w:customStyle="1" w:styleId="Default">
    <w:name w:val="Default"/>
    <w:rsid w:val="008F3B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773F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3F95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773F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3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Mauleón, Fernando</cp:lastModifiedBy>
  <cp:revision>39</cp:revision>
  <dcterms:created xsi:type="dcterms:W3CDTF">2019-07-29T08:37:00Z</dcterms:created>
  <dcterms:modified xsi:type="dcterms:W3CDTF">2024-03-20T12:32:00Z</dcterms:modified>
</cp:coreProperties>
</file>