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32E5CA" w14:textId="77777777" w:rsidR="00487CC7" w:rsidRDefault="00D77EAF" w:rsidP="00B37543">
      <w:pPr>
        <w:spacing w:line="360" w:lineRule="auto"/>
        <w:jc w:val="both"/>
        <w:rPr>
          <w:rFonts w:ascii="Arial" w:hAnsi="Arial" w:cs="Arial"/>
          <w:sz w:val="24"/>
          <w:szCs w:val="24"/>
        </w:rPr>
      </w:pPr>
      <w:r>
        <w:rPr>
          <w:rFonts w:ascii="Arial" w:hAnsi="Arial" w:cs="Arial"/>
          <w:sz w:val="24"/>
          <w:szCs w:val="24"/>
        </w:rPr>
        <w:t>En contestación a</w:t>
      </w:r>
      <w:r w:rsidR="00B37543" w:rsidRPr="00764E30">
        <w:rPr>
          <w:rFonts w:ascii="Arial" w:hAnsi="Arial" w:cs="Arial"/>
          <w:sz w:val="24"/>
          <w:szCs w:val="24"/>
        </w:rPr>
        <w:t xml:space="preserve"> la pregunta para su contestación por escrito formulada por </w:t>
      </w:r>
      <w:r w:rsidR="00B37543">
        <w:rPr>
          <w:rFonts w:ascii="Arial" w:hAnsi="Arial" w:cs="Arial"/>
          <w:sz w:val="24"/>
          <w:szCs w:val="24"/>
        </w:rPr>
        <w:t>la Parlamentaria Foral Ilma. Sra. Dª Ana Elizalde Urmeneta, adscrita al Grupo Parlamentario Unión del Pueblo Navarro, en la que solicita (11-23/PES-00187):</w:t>
      </w:r>
    </w:p>
    <w:p w14:paraId="6F0E5222" w14:textId="3D1DBEF1" w:rsidR="00B37543" w:rsidRDefault="00B37543" w:rsidP="00B37543">
      <w:pPr>
        <w:pStyle w:val="Prrafodelista"/>
        <w:numPr>
          <w:ilvl w:val="0"/>
          <w:numId w:val="1"/>
        </w:numPr>
        <w:spacing w:line="360" w:lineRule="auto"/>
        <w:jc w:val="both"/>
        <w:rPr>
          <w:rFonts w:ascii="Arial" w:hAnsi="Arial" w:cs="Arial"/>
          <w:sz w:val="24"/>
          <w:szCs w:val="24"/>
        </w:rPr>
      </w:pPr>
      <w:r>
        <w:rPr>
          <w:rFonts w:ascii="Arial" w:hAnsi="Arial" w:cs="Arial"/>
          <w:sz w:val="24"/>
          <w:szCs w:val="24"/>
        </w:rPr>
        <w:t>Número de ayudas solicitadas y concedidas en base a esta convocatoria.</w:t>
      </w:r>
    </w:p>
    <w:p w14:paraId="1371C27D" w14:textId="77777777" w:rsidR="00B37543" w:rsidRDefault="00B37543" w:rsidP="00B37543">
      <w:pPr>
        <w:pStyle w:val="Prrafodelista"/>
        <w:numPr>
          <w:ilvl w:val="0"/>
          <w:numId w:val="1"/>
        </w:numPr>
        <w:spacing w:line="360" w:lineRule="auto"/>
        <w:jc w:val="both"/>
        <w:rPr>
          <w:rFonts w:ascii="Arial" w:hAnsi="Arial" w:cs="Arial"/>
          <w:sz w:val="24"/>
          <w:szCs w:val="24"/>
        </w:rPr>
      </w:pPr>
      <w:r>
        <w:rPr>
          <w:rFonts w:ascii="Arial" w:hAnsi="Arial" w:cs="Arial"/>
          <w:sz w:val="24"/>
          <w:szCs w:val="24"/>
        </w:rPr>
        <w:t>Número de solicitudes presentadas y concedidas que se corresponden con la figura de trabajador autónomo colaborador.</w:t>
      </w:r>
    </w:p>
    <w:p w14:paraId="34E808D5" w14:textId="77777777" w:rsidR="00487CC7" w:rsidRDefault="00B37543" w:rsidP="00B37543">
      <w:pPr>
        <w:pStyle w:val="Prrafodelista"/>
        <w:numPr>
          <w:ilvl w:val="0"/>
          <w:numId w:val="1"/>
        </w:numPr>
        <w:spacing w:line="360" w:lineRule="auto"/>
        <w:jc w:val="both"/>
        <w:rPr>
          <w:rFonts w:ascii="Arial" w:hAnsi="Arial" w:cs="Arial"/>
          <w:sz w:val="24"/>
          <w:szCs w:val="24"/>
        </w:rPr>
      </w:pPr>
      <w:r>
        <w:rPr>
          <w:rFonts w:ascii="Arial" w:hAnsi="Arial" w:cs="Arial"/>
          <w:sz w:val="24"/>
          <w:szCs w:val="24"/>
        </w:rPr>
        <w:t>Número de solicitudes de devolución, en caso de los trabajadores autónomos colaboradores, así como las razones de la exigencia de devolución.</w:t>
      </w:r>
    </w:p>
    <w:p w14:paraId="6D8527D8" w14:textId="77777777" w:rsidR="00487CC7" w:rsidRDefault="00D77EAF" w:rsidP="00B37543">
      <w:pPr>
        <w:spacing w:line="360" w:lineRule="auto"/>
        <w:jc w:val="both"/>
        <w:rPr>
          <w:rFonts w:ascii="Arial" w:hAnsi="Arial" w:cs="Arial"/>
          <w:sz w:val="24"/>
          <w:szCs w:val="24"/>
        </w:rPr>
      </w:pPr>
      <w:r>
        <w:rPr>
          <w:rFonts w:ascii="Arial" w:hAnsi="Arial" w:cs="Arial"/>
          <w:sz w:val="24"/>
          <w:szCs w:val="24"/>
        </w:rPr>
        <w:t>Tengo</w:t>
      </w:r>
      <w:r w:rsidR="00B37543">
        <w:rPr>
          <w:rFonts w:ascii="Arial" w:hAnsi="Arial" w:cs="Arial"/>
          <w:sz w:val="24"/>
          <w:szCs w:val="24"/>
        </w:rPr>
        <w:t xml:space="preserve"> el bien de informar lo siguiente:</w:t>
      </w:r>
    </w:p>
    <w:p w14:paraId="18B336D7" w14:textId="77777777" w:rsidR="00487CC7" w:rsidRDefault="00711A5A" w:rsidP="00D77EAF">
      <w:pPr>
        <w:keepLines/>
        <w:widowControl w:val="0"/>
        <w:spacing w:line="360" w:lineRule="auto"/>
        <w:ind w:left="11"/>
        <w:jc w:val="both"/>
        <w:rPr>
          <w:rFonts w:ascii="Arial" w:hAnsi="Arial" w:cs="Arial"/>
          <w:sz w:val="24"/>
          <w:szCs w:val="24"/>
        </w:rPr>
      </w:pPr>
      <w:r w:rsidRPr="00711A5A">
        <w:rPr>
          <w:rFonts w:ascii="Arial" w:hAnsi="Arial" w:cs="Arial"/>
          <w:sz w:val="24"/>
          <w:szCs w:val="24"/>
        </w:rPr>
        <w:t xml:space="preserve">Por </w:t>
      </w:r>
      <w:hyperlink r:id="rId7" w:history="1">
        <w:r w:rsidRPr="00711A5A">
          <w:rPr>
            <w:rStyle w:val="Hipervnculo"/>
            <w:rFonts w:ascii="Arial" w:hAnsi="Arial" w:cs="Arial"/>
            <w:sz w:val="24"/>
            <w:szCs w:val="24"/>
          </w:rPr>
          <w:t>Orden Foral 17/2020, de 13 de mayo, del Consejero de Desarrollo Económico y Empresarial</w:t>
        </w:r>
      </w:hyperlink>
      <w:r w:rsidRPr="00711A5A">
        <w:rPr>
          <w:rFonts w:ascii="Arial" w:hAnsi="Arial" w:cs="Arial"/>
          <w:sz w:val="24"/>
          <w:szCs w:val="24"/>
        </w:rPr>
        <w:t xml:space="preserve">, se estableció el procedimiento de concesión de las ayudas a las trabajadoras y trabajadores autónomos reguladas en el Decreto-ley Foral 3/2020, de 15 de abril, </w:t>
      </w:r>
      <w:r w:rsidR="00474F03">
        <w:rPr>
          <w:rFonts w:ascii="Arial" w:hAnsi="Arial" w:cs="Arial"/>
          <w:sz w:val="24"/>
          <w:szCs w:val="24"/>
        </w:rPr>
        <w:t xml:space="preserve">aprobado por unanimidad en el Parlamento de Navarra, </w:t>
      </w:r>
      <w:r w:rsidRPr="00711A5A">
        <w:rPr>
          <w:rFonts w:ascii="Arial" w:hAnsi="Arial" w:cs="Arial"/>
          <w:sz w:val="24"/>
          <w:szCs w:val="24"/>
        </w:rPr>
        <w:t>por el que se aprobaron medidas urgentes para responder al impacto generado por la crisis sanitaria del coronavirus (COVID-19) (BON nº 108, de 21 de mayo de 2020).</w:t>
      </w:r>
    </w:p>
    <w:p w14:paraId="2570ADB4" w14:textId="77777777" w:rsidR="00487CC7" w:rsidRDefault="00711A5A" w:rsidP="00D77EAF">
      <w:pPr>
        <w:keepLines/>
        <w:widowControl w:val="0"/>
        <w:spacing w:line="360" w:lineRule="auto"/>
        <w:ind w:left="11"/>
        <w:jc w:val="both"/>
        <w:rPr>
          <w:rFonts w:ascii="Arial" w:hAnsi="Arial" w:cs="Arial"/>
          <w:sz w:val="24"/>
          <w:szCs w:val="24"/>
        </w:rPr>
      </w:pPr>
      <w:r w:rsidRPr="00711A5A">
        <w:rPr>
          <w:rFonts w:ascii="Arial" w:hAnsi="Arial" w:cs="Arial"/>
          <w:sz w:val="24"/>
          <w:szCs w:val="24"/>
        </w:rPr>
        <w:t>Las citadas ayudas eran de dos tipos y con 3 importes posibles:</w:t>
      </w:r>
    </w:p>
    <w:p w14:paraId="0904D123" w14:textId="77777777" w:rsidR="00487CC7" w:rsidRDefault="00711A5A" w:rsidP="00D77EAF">
      <w:pPr>
        <w:pStyle w:val="Prrafodelista"/>
        <w:keepLines/>
        <w:widowControl w:val="0"/>
        <w:numPr>
          <w:ilvl w:val="0"/>
          <w:numId w:val="2"/>
        </w:numPr>
        <w:spacing w:line="360" w:lineRule="auto"/>
        <w:jc w:val="both"/>
        <w:rPr>
          <w:rFonts w:ascii="Arial" w:hAnsi="Arial" w:cs="Arial"/>
          <w:sz w:val="24"/>
          <w:szCs w:val="24"/>
        </w:rPr>
      </w:pPr>
      <w:r w:rsidRPr="00711A5A">
        <w:rPr>
          <w:rFonts w:ascii="Arial" w:hAnsi="Arial" w:cs="Arial"/>
          <w:sz w:val="24"/>
          <w:szCs w:val="24"/>
        </w:rPr>
        <w:t>Ayuda de 2.200 euros a quienes les hubiera sido reconocida la prestación extraordinaria regulada en el artículo 17 del Real Decreto-ley 8/2020, de 17 de marzo, de medidas urgentes extraordinarios para hacer frente al impacto económico y social del COVID-19.</w:t>
      </w:r>
    </w:p>
    <w:p w14:paraId="2764F14B" w14:textId="6EC4A542" w:rsidR="00711A5A" w:rsidRPr="00711A5A" w:rsidRDefault="00711A5A" w:rsidP="00D77EAF">
      <w:pPr>
        <w:pStyle w:val="Prrafodelista"/>
        <w:keepLines/>
        <w:widowControl w:val="0"/>
        <w:numPr>
          <w:ilvl w:val="0"/>
          <w:numId w:val="2"/>
        </w:numPr>
        <w:spacing w:line="360" w:lineRule="auto"/>
        <w:jc w:val="both"/>
        <w:rPr>
          <w:rFonts w:ascii="Arial" w:hAnsi="Arial" w:cs="Arial"/>
          <w:sz w:val="24"/>
          <w:szCs w:val="24"/>
        </w:rPr>
      </w:pPr>
      <w:r w:rsidRPr="00711A5A">
        <w:rPr>
          <w:rFonts w:ascii="Arial" w:hAnsi="Arial" w:cs="Arial"/>
          <w:sz w:val="24"/>
          <w:szCs w:val="24"/>
        </w:rPr>
        <w:t>Ayuda de 700 euros a quienes no hubieran obtenido la mencionada prestación extraordinaria, pero hubieran visto reducida su facturación como consecuencia de la crisis sanitaria en, al menos, un 30% en los periodos señalados en el artículo 2, apartado 2.1.2 letra b) de esta Orden Foral.</w:t>
      </w:r>
    </w:p>
    <w:p w14:paraId="2C7D6DC4" w14:textId="77777777" w:rsidR="00487CC7" w:rsidRDefault="00711A5A" w:rsidP="00D77EAF">
      <w:pPr>
        <w:keepLines/>
        <w:widowControl w:val="0"/>
        <w:spacing w:line="360" w:lineRule="auto"/>
        <w:ind w:left="371" w:firstLine="11"/>
        <w:jc w:val="both"/>
        <w:rPr>
          <w:rFonts w:ascii="Arial" w:hAnsi="Arial" w:cs="Arial"/>
          <w:sz w:val="24"/>
          <w:szCs w:val="24"/>
        </w:rPr>
      </w:pPr>
      <w:r w:rsidRPr="00711A5A">
        <w:rPr>
          <w:rFonts w:ascii="Arial" w:hAnsi="Arial" w:cs="Arial"/>
          <w:sz w:val="24"/>
          <w:szCs w:val="24"/>
        </w:rPr>
        <w:t>No obstante, esta ayuda podía ascender a 800 euros en función de la suma de los rendimientos netos de todos los miembros de la unidad familiar a la que pertenezca la persona solicitante, tal como se señalaba en el artículo 3.2 de la Orden Foral.</w:t>
      </w:r>
    </w:p>
    <w:p w14:paraId="192ABD88" w14:textId="77777777" w:rsidR="00487CC7" w:rsidRDefault="00711A5A" w:rsidP="00D77EAF">
      <w:pPr>
        <w:keepLines/>
        <w:widowControl w:val="0"/>
        <w:spacing w:line="360" w:lineRule="auto"/>
        <w:ind w:left="11"/>
        <w:jc w:val="both"/>
        <w:rPr>
          <w:rFonts w:ascii="Arial" w:hAnsi="Arial" w:cs="Arial"/>
          <w:sz w:val="24"/>
          <w:szCs w:val="24"/>
        </w:rPr>
      </w:pPr>
      <w:r w:rsidRPr="00711A5A">
        <w:rPr>
          <w:rFonts w:ascii="Arial" w:hAnsi="Arial" w:cs="Arial"/>
          <w:sz w:val="24"/>
          <w:szCs w:val="24"/>
        </w:rPr>
        <w:lastRenderedPageBreak/>
        <w:t>Debido a la urgencia de la situación, estas ayudas fueron declaradas exentas de intervención previa y por tanto quedaron a expensas del control a posteriori por parte de Servicio de Control Financiero Permanente y Auditoria del Departamento de Economía y Hacienda.</w:t>
      </w:r>
    </w:p>
    <w:p w14:paraId="2420A049" w14:textId="62E8D470" w:rsidR="00711A5A" w:rsidRPr="00711A5A" w:rsidRDefault="00711A5A" w:rsidP="00D77EAF">
      <w:pPr>
        <w:keepLines/>
        <w:widowControl w:val="0"/>
        <w:spacing w:line="360" w:lineRule="auto"/>
        <w:ind w:left="11"/>
        <w:jc w:val="both"/>
        <w:rPr>
          <w:rFonts w:ascii="Arial" w:hAnsi="Arial" w:cs="Arial"/>
          <w:i/>
          <w:sz w:val="24"/>
          <w:szCs w:val="24"/>
        </w:rPr>
      </w:pPr>
      <w:r w:rsidRPr="00711A5A">
        <w:rPr>
          <w:rFonts w:ascii="Arial" w:hAnsi="Arial" w:cs="Arial"/>
          <w:sz w:val="24"/>
          <w:szCs w:val="24"/>
        </w:rPr>
        <w:t>Mediante 16 resoluciones de la Directora General de Política de Empresa, Proyección Internacional y Trabajo, firmadas entre junio y septiembre de 2020, se realizó la concesión y abono de las ayudas.</w:t>
      </w:r>
    </w:p>
    <w:tbl>
      <w:tblPr>
        <w:tblStyle w:val="Tablaconcuadrcula"/>
        <w:tblpPr w:leftFromText="141" w:rightFromText="141" w:vertAnchor="text" w:horzAnchor="margin" w:tblpY="182"/>
        <w:tblW w:w="8426" w:type="dxa"/>
        <w:tblLook w:val="04A0" w:firstRow="1" w:lastRow="0" w:firstColumn="1" w:lastColumn="0" w:noHBand="0" w:noVBand="1"/>
      </w:tblPr>
      <w:tblGrid>
        <w:gridCol w:w="3125"/>
        <w:gridCol w:w="1281"/>
        <w:gridCol w:w="1281"/>
        <w:gridCol w:w="1418"/>
        <w:gridCol w:w="1418"/>
      </w:tblGrid>
      <w:tr w:rsidR="00711A5A" w:rsidRPr="00711A5A" w14:paraId="4C0C5139" w14:textId="77777777" w:rsidTr="00B847E1">
        <w:trPr>
          <w:trHeight w:val="322"/>
        </w:trPr>
        <w:tc>
          <w:tcPr>
            <w:tcW w:w="3125" w:type="dxa"/>
            <w:noWrap/>
            <w:vAlign w:val="center"/>
            <w:hideMark/>
          </w:tcPr>
          <w:p w14:paraId="12B1D71B" w14:textId="77777777" w:rsidR="00711A5A" w:rsidRPr="00711A5A" w:rsidRDefault="00711A5A" w:rsidP="00711A5A">
            <w:pPr>
              <w:keepNext/>
              <w:keepLines/>
              <w:widowControl w:val="0"/>
              <w:spacing w:line="360" w:lineRule="auto"/>
              <w:rPr>
                <w:rFonts w:ascii="Arial" w:eastAsia="Calibri" w:hAnsi="Arial" w:cs="Arial"/>
                <w:b/>
                <w:bCs/>
                <w:sz w:val="24"/>
                <w:szCs w:val="24"/>
              </w:rPr>
            </w:pPr>
            <w:r w:rsidRPr="00711A5A">
              <w:rPr>
                <w:rFonts w:ascii="Arial" w:eastAsia="Calibri" w:hAnsi="Arial" w:cs="Arial"/>
                <w:b/>
                <w:bCs/>
                <w:sz w:val="24"/>
                <w:szCs w:val="24"/>
              </w:rPr>
              <w:t>Importe de ayuda concedida</w:t>
            </w:r>
          </w:p>
        </w:tc>
        <w:tc>
          <w:tcPr>
            <w:tcW w:w="1281" w:type="dxa"/>
            <w:noWrap/>
            <w:vAlign w:val="center"/>
            <w:hideMark/>
          </w:tcPr>
          <w:p w14:paraId="4B95DE55" w14:textId="77777777" w:rsidR="00711A5A" w:rsidRPr="00711A5A" w:rsidRDefault="00711A5A" w:rsidP="00711A5A">
            <w:pPr>
              <w:keepNext/>
              <w:keepLines/>
              <w:widowControl w:val="0"/>
              <w:spacing w:line="360" w:lineRule="auto"/>
              <w:jc w:val="center"/>
              <w:rPr>
                <w:rFonts w:ascii="Arial" w:eastAsia="Calibri" w:hAnsi="Arial" w:cs="Arial"/>
                <w:b/>
                <w:bCs/>
                <w:sz w:val="24"/>
                <w:szCs w:val="24"/>
              </w:rPr>
            </w:pPr>
            <w:r w:rsidRPr="00711A5A">
              <w:rPr>
                <w:rFonts w:ascii="Arial" w:eastAsia="Calibri" w:hAnsi="Arial" w:cs="Arial"/>
                <w:b/>
                <w:bCs/>
                <w:sz w:val="24"/>
                <w:szCs w:val="24"/>
              </w:rPr>
              <w:t>700</w:t>
            </w:r>
          </w:p>
        </w:tc>
        <w:tc>
          <w:tcPr>
            <w:tcW w:w="1281" w:type="dxa"/>
            <w:noWrap/>
            <w:vAlign w:val="center"/>
            <w:hideMark/>
          </w:tcPr>
          <w:p w14:paraId="4F7F2D35" w14:textId="77777777" w:rsidR="00711A5A" w:rsidRPr="00711A5A" w:rsidRDefault="00711A5A" w:rsidP="00711A5A">
            <w:pPr>
              <w:keepNext/>
              <w:keepLines/>
              <w:widowControl w:val="0"/>
              <w:spacing w:line="360" w:lineRule="auto"/>
              <w:jc w:val="center"/>
              <w:rPr>
                <w:rFonts w:ascii="Arial" w:eastAsia="Calibri" w:hAnsi="Arial" w:cs="Arial"/>
                <w:b/>
                <w:bCs/>
                <w:sz w:val="24"/>
                <w:szCs w:val="24"/>
              </w:rPr>
            </w:pPr>
            <w:r w:rsidRPr="00711A5A">
              <w:rPr>
                <w:rFonts w:ascii="Arial" w:eastAsia="Calibri" w:hAnsi="Arial" w:cs="Arial"/>
                <w:b/>
                <w:bCs/>
                <w:sz w:val="24"/>
                <w:szCs w:val="24"/>
              </w:rPr>
              <w:t>800</w:t>
            </w:r>
          </w:p>
        </w:tc>
        <w:tc>
          <w:tcPr>
            <w:tcW w:w="1368" w:type="dxa"/>
            <w:noWrap/>
            <w:vAlign w:val="center"/>
            <w:hideMark/>
          </w:tcPr>
          <w:p w14:paraId="5CF62B49" w14:textId="77777777" w:rsidR="00711A5A" w:rsidRPr="00711A5A" w:rsidRDefault="00711A5A" w:rsidP="00711A5A">
            <w:pPr>
              <w:keepNext/>
              <w:keepLines/>
              <w:widowControl w:val="0"/>
              <w:spacing w:line="360" w:lineRule="auto"/>
              <w:jc w:val="center"/>
              <w:rPr>
                <w:rFonts w:ascii="Arial" w:eastAsia="Calibri" w:hAnsi="Arial" w:cs="Arial"/>
                <w:b/>
                <w:bCs/>
                <w:sz w:val="24"/>
                <w:szCs w:val="24"/>
              </w:rPr>
            </w:pPr>
            <w:r w:rsidRPr="00711A5A">
              <w:rPr>
                <w:rFonts w:ascii="Arial" w:eastAsia="Calibri" w:hAnsi="Arial" w:cs="Arial"/>
                <w:b/>
                <w:bCs/>
                <w:sz w:val="24"/>
                <w:szCs w:val="24"/>
              </w:rPr>
              <w:t>2.200</w:t>
            </w:r>
          </w:p>
        </w:tc>
        <w:tc>
          <w:tcPr>
            <w:tcW w:w="1371" w:type="dxa"/>
            <w:noWrap/>
            <w:vAlign w:val="center"/>
            <w:hideMark/>
          </w:tcPr>
          <w:p w14:paraId="6AE771F9" w14:textId="77777777" w:rsidR="00711A5A" w:rsidRPr="00711A5A" w:rsidRDefault="00711A5A" w:rsidP="00711A5A">
            <w:pPr>
              <w:keepNext/>
              <w:keepLines/>
              <w:widowControl w:val="0"/>
              <w:spacing w:line="360" w:lineRule="auto"/>
              <w:jc w:val="center"/>
              <w:rPr>
                <w:rFonts w:ascii="Arial" w:eastAsia="Calibri" w:hAnsi="Arial" w:cs="Arial"/>
                <w:b/>
                <w:bCs/>
                <w:sz w:val="24"/>
                <w:szCs w:val="24"/>
              </w:rPr>
            </w:pPr>
            <w:r w:rsidRPr="00711A5A">
              <w:rPr>
                <w:rFonts w:ascii="Arial" w:eastAsia="Calibri" w:hAnsi="Arial" w:cs="Arial"/>
                <w:b/>
                <w:bCs/>
                <w:sz w:val="24"/>
                <w:szCs w:val="24"/>
              </w:rPr>
              <w:t>TOTAL</w:t>
            </w:r>
          </w:p>
        </w:tc>
      </w:tr>
      <w:tr w:rsidR="00711A5A" w:rsidRPr="00711A5A" w14:paraId="72E02703" w14:textId="77777777" w:rsidTr="00B847E1">
        <w:trPr>
          <w:trHeight w:val="322"/>
        </w:trPr>
        <w:tc>
          <w:tcPr>
            <w:tcW w:w="3125" w:type="dxa"/>
            <w:noWrap/>
            <w:vAlign w:val="center"/>
            <w:hideMark/>
          </w:tcPr>
          <w:p w14:paraId="0F94C39D" w14:textId="77777777" w:rsidR="00711A5A" w:rsidRPr="00711A5A" w:rsidRDefault="00711A5A" w:rsidP="00711A5A">
            <w:pPr>
              <w:keepNext/>
              <w:keepLines/>
              <w:widowControl w:val="0"/>
              <w:spacing w:line="360" w:lineRule="auto"/>
              <w:rPr>
                <w:rFonts w:ascii="Arial" w:eastAsia="Calibri" w:hAnsi="Arial" w:cs="Arial"/>
                <w:b/>
                <w:bCs/>
                <w:sz w:val="24"/>
                <w:szCs w:val="24"/>
              </w:rPr>
            </w:pPr>
            <w:r w:rsidRPr="00711A5A">
              <w:rPr>
                <w:rFonts w:ascii="Arial" w:eastAsia="Calibri" w:hAnsi="Arial" w:cs="Arial"/>
                <w:b/>
                <w:bCs/>
                <w:sz w:val="24"/>
                <w:szCs w:val="24"/>
              </w:rPr>
              <w:t>Beneficiarias</w:t>
            </w:r>
          </w:p>
        </w:tc>
        <w:tc>
          <w:tcPr>
            <w:tcW w:w="1281" w:type="dxa"/>
            <w:noWrap/>
            <w:vAlign w:val="center"/>
            <w:hideMark/>
          </w:tcPr>
          <w:p w14:paraId="59211196" w14:textId="77777777" w:rsidR="00711A5A" w:rsidRPr="00711A5A" w:rsidRDefault="00711A5A" w:rsidP="00711A5A">
            <w:pPr>
              <w:keepNext/>
              <w:keepLines/>
              <w:widowControl w:val="0"/>
              <w:spacing w:line="360" w:lineRule="auto"/>
              <w:jc w:val="right"/>
              <w:rPr>
                <w:rFonts w:ascii="Arial" w:eastAsia="Calibri" w:hAnsi="Arial" w:cs="Arial"/>
                <w:sz w:val="24"/>
                <w:szCs w:val="24"/>
              </w:rPr>
            </w:pPr>
            <w:r w:rsidRPr="00711A5A">
              <w:rPr>
                <w:rFonts w:ascii="Arial" w:eastAsia="Calibri" w:hAnsi="Arial" w:cs="Arial"/>
                <w:sz w:val="24"/>
                <w:szCs w:val="24"/>
              </w:rPr>
              <w:t>403</w:t>
            </w:r>
          </w:p>
        </w:tc>
        <w:tc>
          <w:tcPr>
            <w:tcW w:w="1281" w:type="dxa"/>
            <w:noWrap/>
            <w:vAlign w:val="center"/>
            <w:hideMark/>
          </w:tcPr>
          <w:p w14:paraId="64AC8021" w14:textId="77777777" w:rsidR="00711A5A" w:rsidRPr="00711A5A" w:rsidRDefault="00711A5A" w:rsidP="00711A5A">
            <w:pPr>
              <w:keepNext/>
              <w:keepLines/>
              <w:widowControl w:val="0"/>
              <w:spacing w:line="360" w:lineRule="auto"/>
              <w:jc w:val="right"/>
              <w:rPr>
                <w:rFonts w:ascii="Arial" w:eastAsia="Calibri" w:hAnsi="Arial" w:cs="Arial"/>
                <w:sz w:val="24"/>
                <w:szCs w:val="24"/>
              </w:rPr>
            </w:pPr>
            <w:r w:rsidRPr="00711A5A">
              <w:rPr>
                <w:rFonts w:ascii="Arial" w:eastAsia="Calibri" w:hAnsi="Arial" w:cs="Arial"/>
                <w:sz w:val="24"/>
                <w:szCs w:val="24"/>
              </w:rPr>
              <w:t>314</w:t>
            </w:r>
          </w:p>
        </w:tc>
        <w:tc>
          <w:tcPr>
            <w:tcW w:w="1368" w:type="dxa"/>
            <w:noWrap/>
            <w:vAlign w:val="center"/>
            <w:hideMark/>
          </w:tcPr>
          <w:p w14:paraId="48BC6D9F" w14:textId="77777777" w:rsidR="00711A5A" w:rsidRPr="00711A5A" w:rsidRDefault="00711A5A" w:rsidP="00711A5A">
            <w:pPr>
              <w:keepNext/>
              <w:keepLines/>
              <w:widowControl w:val="0"/>
              <w:spacing w:line="360" w:lineRule="auto"/>
              <w:jc w:val="right"/>
              <w:rPr>
                <w:rFonts w:ascii="Arial" w:eastAsia="Calibri" w:hAnsi="Arial" w:cs="Arial"/>
                <w:sz w:val="24"/>
                <w:szCs w:val="24"/>
              </w:rPr>
            </w:pPr>
            <w:r w:rsidRPr="00711A5A">
              <w:rPr>
                <w:rFonts w:ascii="Arial" w:eastAsia="Calibri" w:hAnsi="Arial" w:cs="Arial"/>
                <w:sz w:val="24"/>
                <w:szCs w:val="24"/>
              </w:rPr>
              <w:t>10.640</w:t>
            </w:r>
          </w:p>
        </w:tc>
        <w:tc>
          <w:tcPr>
            <w:tcW w:w="1371" w:type="dxa"/>
            <w:noWrap/>
            <w:vAlign w:val="center"/>
            <w:hideMark/>
          </w:tcPr>
          <w:p w14:paraId="7FC63B5C" w14:textId="77777777" w:rsidR="00711A5A" w:rsidRPr="00711A5A" w:rsidRDefault="00711A5A" w:rsidP="00711A5A">
            <w:pPr>
              <w:keepNext/>
              <w:keepLines/>
              <w:widowControl w:val="0"/>
              <w:spacing w:line="360" w:lineRule="auto"/>
              <w:jc w:val="right"/>
              <w:rPr>
                <w:rFonts w:ascii="Arial" w:eastAsia="Calibri" w:hAnsi="Arial" w:cs="Arial"/>
                <w:b/>
                <w:bCs/>
                <w:sz w:val="24"/>
                <w:szCs w:val="24"/>
              </w:rPr>
            </w:pPr>
            <w:r w:rsidRPr="00711A5A">
              <w:rPr>
                <w:rFonts w:ascii="Arial" w:eastAsia="Calibri" w:hAnsi="Arial" w:cs="Arial"/>
                <w:b/>
                <w:bCs/>
                <w:sz w:val="24"/>
                <w:szCs w:val="24"/>
              </w:rPr>
              <w:t>11.357</w:t>
            </w:r>
          </w:p>
        </w:tc>
      </w:tr>
      <w:tr w:rsidR="00711A5A" w:rsidRPr="00711A5A" w14:paraId="076F02F2" w14:textId="77777777" w:rsidTr="00B847E1">
        <w:trPr>
          <w:trHeight w:val="322"/>
        </w:trPr>
        <w:tc>
          <w:tcPr>
            <w:tcW w:w="3125" w:type="dxa"/>
            <w:noWrap/>
            <w:vAlign w:val="center"/>
            <w:hideMark/>
          </w:tcPr>
          <w:p w14:paraId="1C45A231" w14:textId="77777777" w:rsidR="00711A5A" w:rsidRPr="00711A5A" w:rsidRDefault="00711A5A" w:rsidP="00711A5A">
            <w:pPr>
              <w:keepNext/>
              <w:keepLines/>
              <w:widowControl w:val="0"/>
              <w:spacing w:line="360" w:lineRule="auto"/>
              <w:rPr>
                <w:rFonts w:ascii="Arial" w:eastAsia="Calibri" w:hAnsi="Arial" w:cs="Arial"/>
                <w:b/>
                <w:bCs/>
                <w:sz w:val="24"/>
                <w:szCs w:val="24"/>
              </w:rPr>
            </w:pPr>
            <w:r w:rsidRPr="00711A5A">
              <w:rPr>
                <w:rFonts w:ascii="Arial" w:eastAsia="Calibri" w:hAnsi="Arial" w:cs="Arial"/>
                <w:b/>
                <w:bCs/>
                <w:sz w:val="24"/>
                <w:szCs w:val="24"/>
              </w:rPr>
              <w:t>Importe total en euros</w:t>
            </w:r>
          </w:p>
        </w:tc>
        <w:tc>
          <w:tcPr>
            <w:tcW w:w="1281" w:type="dxa"/>
            <w:noWrap/>
            <w:vAlign w:val="center"/>
            <w:hideMark/>
          </w:tcPr>
          <w:p w14:paraId="366BEE45" w14:textId="77777777" w:rsidR="00711A5A" w:rsidRPr="00711A5A" w:rsidRDefault="00711A5A" w:rsidP="00711A5A">
            <w:pPr>
              <w:keepNext/>
              <w:keepLines/>
              <w:widowControl w:val="0"/>
              <w:spacing w:line="360" w:lineRule="auto"/>
              <w:jc w:val="right"/>
              <w:rPr>
                <w:rFonts w:ascii="Arial" w:eastAsia="Calibri" w:hAnsi="Arial" w:cs="Arial"/>
                <w:sz w:val="24"/>
                <w:szCs w:val="24"/>
              </w:rPr>
            </w:pPr>
            <w:r w:rsidRPr="00711A5A">
              <w:rPr>
                <w:rFonts w:ascii="Arial" w:eastAsia="Calibri" w:hAnsi="Arial" w:cs="Arial"/>
                <w:sz w:val="24"/>
                <w:szCs w:val="24"/>
              </w:rPr>
              <w:t>282.100</w:t>
            </w:r>
          </w:p>
        </w:tc>
        <w:tc>
          <w:tcPr>
            <w:tcW w:w="1281" w:type="dxa"/>
            <w:noWrap/>
            <w:vAlign w:val="center"/>
            <w:hideMark/>
          </w:tcPr>
          <w:p w14:paraId="65A096F2" w14:textId="77777777" w:rsidR="00711A5A" w:rsidRPr="00711A5A" w:rsidRDefault="00711A5A" w:rsidP="00711A5A">
            <w:pPr>
              <w:keepNext/>
              <w:keepLines/>
              <w:widowControl w:val="0"/>
              <w:spacing w:line="360" w:lineRule="auto"/>
              <w:jc w:val="right"/>
              <w:rPr>
                <w:rFonts w:ascii="Arial" w:eastAsia="Calibri" w:hAnsi="Arial" w:cs="Arial"/>
                <w:sz w:val="24"/>
                <w:szCs w:val="24"/>
              </w:rPr>
            </w:pPr>
            <w:r w:rsidRPr="00711A5A">
              <w:rPr>
                <w:rFonts w:ascii="Arial" w:eastAsia="Calibri" w:hAnsi="Arial" w:cs="Arial"/>
                <w:sz w:val="24"/>
                <w:szCs w:val="24"/>
              </w:rPr>
              <w:t>251.200</w:t>
            </w:r>
          </w:p>
        </w:tc>
        <w:tc>
          <w:tcPr>
            <w:tcW w:w="1368" w:type="dxa"/>
            <w:noWrap/>
            <w:vAlign w:val="center"/>
            <w:hideMark/>
          </w:tcPr>
          <w:p w14:paraId="5CCB9F80" w14:textId="77777777" w:rsidR="00711A5A" w:rsidRPr="00711A5A" w:rsidRDefault="00711A5A" w:rsidP="00711A5A">
            <w:pPr>
              <w:keepNext/>
              <w:keepLines/>
              <w:widowControl w:val="0"/>
              <w:spacing w:line="360" w:lineRule="auto"/>
              <w:jc w:val="right"/>
              <w:rPr>
                <w:rFonts w:ascii="Arial" w:eastAsia="Calibri" w:hAnsi="Arial" w:cs="Arial"/>
                <w:sz w:val="24"/>
                <w:szCs w:val="24"/>
              </w:rPr>
            </w:pPr>
            <w:r w:rsidRPr="00711A5A">
              <w:rPr>
                <w:rFonts w:ascii="Arial" w:eastAsia="Calibri" w:hAnsi="Arial" w:cs="Arial"/>
                <w:sz w:val="24"/>
                <w:szCs w:val="24"/>
              </w:rPr>
              <w:t>23.408.000</w:t>
            </w:r>
          </w:p>
        </w:tc>
        <w:tc>
          <w:tcPr>
            <w:tcW w:w="1371" w:type="dxa"/>
            <w:noWrap/>
            <w:vAlign w:val="center"/>
            <w:hideMark/>
          </w:tcPr>
          <w:p w14:paraId="0AB2C653" w14:textId="77777777" w:rsidR="00711A5A" w:rsidRPr="00711A5A" w:rsidRDefault="00711A5A" w:rsidP="00711A5A">
            <w:pPr>
              <w:keepNext/>
              <w:keepLines/>
              <w:widowControl w:val="0"/>
              <w:spacing w:line="360" w:lineRule="auto"/>
              <w:jc w:val="right"/>
              <w:rPr>
                <w:rFonts w:ascii="Arial" w:eastAsia="Calibri" w:hAnsi="Arial" w:cs="Arial"/>
                <w:b/>
                <w:bCs/>
                <w:sz w:val="24"/>
                <w:szCs w:val="24"/>
              </w:rPr>
            </w:pPr>
            <w:r w:rsidRPr="00711A5A">
              <w:rPr>
                <w:rFonts w:ascii="Arial" w:eastAsia="Calibri" w:hAnsi="Arial" w:cs="Arial"/>
                <w:b/>
                <w:bCs/>
                <w:sz w:val="24"/>
                <w:szCs w:val="24"/>
              </w:rPr>
              <w:t>23.941.300</w:t>
            </w:r>
          </w:p>
        </w:tc>
      </w:tr>
    </w:tbl>
    <w:p w14:paraId="17B5D304" w14:textId="77777777" w:rsidR="00487CC7" w:rsidRDefault="00487CC7" w:rsidP="00711A5A">
      <w:pPr>
        <w:keepLines/>
        <w:widowControl w:val="0"/>
        <w:spacing w:line="360" w:lineRule="auto"/>
        <w:ind w:left="11"/>
        <w:rPr>
          <w:rFonts w:ascii="Arial" w:hAnsi="Arial" w:cs="Arial"/>
          <w:sz w:val="24"/>
          <w:szCs w:val="24"/>
        </w:rPr>
      </w:pPr>
    </w:p>
    <w:p w14:paraId="356CF44E" w14:textId="77777777" w:rsidR="00487CC7" w:rsidRDefault="00487CC7" w:rsidP="00711A5A">
      <w:pPr>
        <w:keepLines/>
        <w:widowControl w:val="0"/>
        <w:spacing w:line="360" w:lineRule="auto"/>
        <w:ind w:left="11"/>
        <w:rPr>
          <w:rFonts w:ascii="Arial" w:hAnsi="Arial" w:cs="Arial"/>
          <w:sz w:val="24"/>
          <w:szCs w:val="24"/>
        </w:rPr>
      </w:pPr>
    </w:p>
    <w:p w14:paraId="2FE5227D" w14:textId="77777777" w:rsidR="00487CC7" w:rsidRDefault="00487CC7" w:rsidP="00711A5A">
      <w:pPr>
        <w:keepLines/>
        <w:widowControl w:val="0"/>
        <w:spacing w:line="360" w:lineRule="auto"/>
        <w:ind w:left="11"/>
        <w:rPr>
          <w:rFonts w:ascii="Arial" w:hAnsi="Arial" w:cs="Arial"/>
          <w:sz w:val="24"/>
          <w:szCs w:val="24"/>
        </w:rPr>
      </w:pPr>
    </w:p>
    <w:p w14:paraId="540D500E" w14:textId="77777777" w:rsidR="00C609C2" w:rsidRDefault="00C609C2" w:rsidP="00D77EAF">
      <w:pPr>
        <w:keepLines/>
        <w:widowControl w:val="0"/>
        <w:spacing w:line="360" w:lineRule="auto"/>
        <w:ind w:left="11"/>
        <w:jc w:val="both"/>
        <w:rPr>
          <w:rFonts w:ascii="Arial" w:hAnsi="Arial" w:cs="Arial"/>
          <w:sz w:val="24"/>
          <w:szCs w:val="24"/>
        </w:rPr>
      </w:pPr>
    </w:p>
    <w:p w14:paraId="2CCE5016" w14:textId="77777777" w:rsidR="00C609C2" w:rsidRDefault="00C609C2" w:rsidP="00D77EAF">
      <w:pPr>
        <w:keepLines/>
        <w:widowControl w:val="0"/>
        <w:spacing w:line="360" w:lineRule="auto"/>
        <w:ind w:left="11"/>
        <w:jc w:val="both"/>
        <w:rPr>
          <w:rFonts w:ascii="Arial" w:hAnsi="Arial" w:cs="Arial"/>
          <w:sz w:val="24"/>
          <w:szCs w:val="24"/>
        </w:rPr>
      </w:pPr>
    </w:p>
    <w:p w14:paraId="02AF33E9" w14:textId="77777777" w:rsidR="00C609C2" w:rsidRDefault="00C609C2" w:rsidP="00D77EAF">
      <w:pPr>
        <w:keepLines/>
        <w:widowControl w:val="0"/>
        <w:spacing w:line="360" w:lineRule="auto"/>
        <w:ind w:left="11"/>
        <w:jc w:val="both"/>
        <w:rPr>
          <w:rFonts w:ascii="Arial" w:hAnsi="Arial" w:cs="Arial"/>
          <w:sz w:val="24"/>
          <w:szCs w:val="24"/>
        </w:rPr>
      </w:pPr>
    </w:p>
    <w:p w14:paraId="45878043" w14:textId="01E3292C" w:rsidR="00487CC7" w:rsidRDefault="00711A5A" w:rsidP="00D77EAF">
      <w:pPr>
        <w:keepLines/>
        <w:widowControl w:val="0"/>
        <w:spacing w:line="360" w:lineRule="auto"/>
        <w:ind w:left="11"/>
        <w:jc w:val="both"/>
        <w:rPr>
          <w:rFonts w:ascii="Arial" w:hAnsi="Arial" w:cs="Arial"/>
          <w:sz w:val="24"/>
          <w:szCs w:val="24"/>
        </w:rPr>
      </w:pPr>
      <w:r w:rsidRPr="00711A5A">
        <w:rPr>
          <w:rFonts w:ascii="Arial" w:hAnsi="Arial" w:cs="Arial"/>
          <w:sz w:val="24"/>
          <w:szCs w:val="24"/>
        </w:rPr>
        <w:t>En el artículo 7.1.b) de la Orden Foral de la convocatoria se recogía que aquellas personas que obtuvieran la ayuda de 2.200 euros debían permanecer de alta en el régimen correspondiente de la Seguridad Social y en el Impuesto sobre Actividades Económicas en Navarra, durante 12 meses a partir del día siguiente a la finalización de la prestación extraordinaria del artículo 17 del Real Decreto-ley 8/2020.</w:t>
      </w:r>
    </w:p>
    <w:p w14:paraId="7A1FDEDF" w14:textId="77777777" w:rsidR="00487CC7" w:rsidRDefault="00711A5A" w:rsidP="00D77EAF">
      <w:pPr>
        <w:keepLines/>
        <w:widowControl w:val="0"/>
        <w:spacing w:line="360" w:lineRule="auto"/>
        <w:ind w:left="11"/>
        <w:jc w:val="both"/>
        <w:rPr>
          <w:rFonts w:ascii="Arial" w:hAnsi="Arial" w:cs="Arial"/>
          <w:sz w:val="24"/>
          <w:szCs w:val="24"/>
        </w:rPr>
      </w:pPr>
      <w:r w:rsidRPr="00711A5A">
        <w:rPr>
          <w:rFonts w:ascii="Arial" w:hAnsi="Arial" w:cs="Arial"/>
          <w:sz w:val="24"/>
          <w:szCs w:val="24"/>
        </w:rPr>
        <w:t>Esto suponía que las beneficiarias de la ayuda de 2.200 euros debían permanecer en alta el régimen correspondiente de la Seguridad Social y en el Impuesto sobre Actividades Económicas (IAE) en Navarra hasta 30 de junio de 2021. En caso de incumplimiento de esta obligación de permanencia, la beneficiaria debía reintegrar la parte proporcional de la ayuda correspondiente al período de tiempo incumplido.</w:t>
      </w:r>
    </w:p>
    <w:p w14:paraId="6777E27D" w14:textId="77777777" w:rsidR="00487CC7" w:rsidRDefault="00711A5A" w:rsidP="00D77EAF">
      <w:pPr>
        <w:keepLines/>
        <w:widowControl w:val="0"/>
        <w:spacing w:line="360" w:lineRule="auto"/>
        <w:ind w:left="11"/>
        <w:jc w:val="both"/>
        <w:rPr>
          <w:rFonts w:ascii="Arial" w:hAnsi="Arial" w:cs="Arial"/>
          <w:sz w:val="24"/>
          <w:szCs w:val="24"/>
        </w:rPr>
      </w:pPr>
      <w:r w:rsidRPr="00711A5A">
        <w:rPr>
          <w:rFonts w:ascii="Arial" w:hAnsi="Arial" w:cs="Arial"/>
          <w:sz w:val="24"/>
          <w:szCs w:val="24"/>
        </w:rPr>
        <w:t xml:space="preserve">El Servicio de Trabajo realizó las acciones oportunas y como resultado de </w:t>
      </w:r>
      <w:proofErr w:type="gramStart"/>
      <w:r w:rsidRPr="00711A5A">
        <w:rPr>
          <w:rFonts w:ascii="Arial" w:hAnsi="Arial" w:cs="Arial"/>
          <w:sz w:val="24"/>
          <w:szCs w:val="24"/>
        </w:rPr>
        <w:t>las mismas</w:t>
      </w:r>
      <w:proofErr w:type="gramEnd"/>
      <w:r w:rsidRPr="00711A5A">
        <w:rPr>
          <w:rFonts w:ascii="Arial" w:hAnsi="Arial" w:cs="Arial"/>
          <w:sz w:val="24"/>
          <w:szCs w:val="24"/>
        </w:rPr>
        <w:t xml:space="preserve"> no pudo constatar el cumplimiento de la obligación de permanencia en el RETA y el IAE por parte de 704 beneficiarias.</w:t>
      </w:r>
    </w:p>
    <w:p w14:paraId="05BE785C" w14:textId="77777777" w:rsidR="00487CC7" w:rsidRDefault="00711A5A" w:rsidP="00D77EAF">
      <w:pPr>
        <w:keepLines/>
        <w:widowControl w:val="0"/>
        <w:spacing w:line="360" w:lineRule="auto"/>
        <w:ind w:left="11"/>
        <w:jc w:val="both"/>
        <w:rPr>
          <w:rFonts w:ascii="Arial" w:hAnsi="Arial" w:cs="Arial"/>
          <w:sz w:val="24"/>
          <w:szCs w:val="24"/>
        </w:rPr>
      </w:pPr>
      <w:r w:rsidRPr="00711A5A">
        <w:rPr>
          <w:rFonts w:ascii="Arial" w:hAnsi="Arial" w:cs="Arial"/>
          <w:sz w:val="24"/>
          <w:szCs w:val="24"/>
        </w:rPr>
        <w:lastRenderedPageBreak/>
        <w:t>En consecuencia, por Resoluciones 381/2023, de 1 de agosto, y 430/2023, de 21 de agosto, de la Directora General de Política de Empresa, Proyección Internacional y Trabajo, se inició el procedimiento de reintegro a 704 de las beneficiarias de la ayuda. A cada beneficiaria se notificó la resolución junto a un anexo con la información relativa a su solicitud.</w:t>
      </w:r>
    </w:p>
    <w:p w14:paraId="0DEFAF7C" w14:textId="77777777" w:rsidR="00487CC7" w:rsidRDefault="00992D73" w:rsidP="00D77EAF">
      <w:pPr>
        <w:keepLines/>
        <w:widowControl w:val="0"/>
        <w:spacing w:line="360" w:lineRule="auto"/>
        <w:ind w:left="11"/>
        <w:jc w:val="both"/>
        <w:rPr>
          <w:rFonts w:ascii="Arial" w:hAnsi="Arial" w:cs="Arial"/>
          <w:sz w:val="24"/>
          <w:szCs w:val="24"/>
        </w:rPr>
      </w:pPr>
      <w:r>
        <w:rPr>
          <w:rFonts w:ascii="Arial" w:hAnsi="Arial" w:cs="Arial"/>
          <w:sz w:val="24"/>
          <w:szCs w:val="24"/>
        </w:rPr>
        <w:t>Se trata de 704 personas de las 11.357 beneficiarias con un importe total a reintegrar de 986.136,44 euros, un 4,12% de los 23.941.300</w:t>
      </w:r>
      <w:r w:rsidR="00271902">
        <w:rPr>
          <w:rFonts w:ascii="Arial" w:hAnsi="Arial" w:cs="Arial"/>
          <w:sz w:val="24"/>
          <w:szCs w:val="24"/>
        </w:rPr>
        <w:t xml:space="preserve"> de euros de</w:t>
      </w:r>
      <w:r>
        <w:rPr>
          <w:rFonts w:ascii="Arial" w:hAnsi="Arial" w:cs="Arial"/>
          <w:sz w:val="24"/>
          <w:szCs w:val="24"/>
        </w:rPr>
        <w:t xml:space="preserve"> ayuda concedida.</w:t>
      </w:r>
    </w:p>
    <w:p w14:paraId="6F7567FD" w14:textId="771C2621" w:rsidR="00992D73" w:rsidRDefault="00711A5A" w:rsidP="00487CC7">
      <w:pPr>
        <w:keepLines/>
        <w:widowControl w:val="0"/>
        <w:spacing w:line="360" w:lineRule="auto"/>
        <w:ind w:left="11"/>
        <w:jc w:val="both"/>
        <w:rPr>
          <w:rFonts w:ascii="Arial" w:hAnsi="Arial" w:cs="Arial"/>
          <w:sz w:val="24"/>
          <w:szCs w:val="24"/>
        </w:rPr>
      </w:pPr>
      <w:r w:rsidRPr="00711A5A">
        <w:rPr>
          <w:rFonts w:ascii="Arial" w:hAnsi="Arial" w:cs="Arial"/>
          <w:sz w:val="24"/>
          <w:szCs w:val="24"/>
        </w:rPr>
        <w:t>Entre las solicitantes a las que se inició el procedimiento de reintegro, 29 personas han indicado que son autónomas colaboradoras. A las mismas, se les concedió y abonó la ayuda erróneamente porque no cumplían con el requisito de estar de alta en el IAE. En consecuencia, se debe proceder con la finalización del procedimiento de reintegro y la devolución de la ayuda.</w:t>
      </w:r>
    </w:p>
    <w:p w14:paraId="1085B953" w14:textId="2E0CD395" w:rsidR="00B37543" w:rsidRPr="00764E30" w:rsidRDefault="00B37543" w:rsidP="00B37543">
      <w:pPr>
        <w:spacing w:line="360" w:lineRule="auto"/>
        <w:jc w:val="both"/>
        <w:rPr>
          <w:rFonts w:ascii="Arial" w:hAnsi="Arial" w:cs="Arial"/>
          <w:sz w:val="24"/>
          <w:szCs w:val="24"/>
        </w:rPr>
      </w:pPr>
      <w:r w:rsidRPr="00764E30">
        <w:rPr>
          <w:rFonts w:ascii="Arial" w:hAnsi="Arial" w:cs="Arial"/>
          <w:sz w:val="24"/>
          <w:szCs w:val="24"/>
        </w:rPr>
        <w:t>Es cuanto informo en cumplimiento de lo dispuesto en el artículo 215 del Reglamento del Parlamento de Navarra.</w:t>
      </w:r>
    </w:p>
    <w:p w14:paraId="122F62BB" w14:textId="77777777" w:rsidR="00487CC7" w:rsidRDefault="00B37543" w:rsidP="007A4708">
      <w:pPr>
        <w:spacing w:line="360" w:lineRule="auto"/>
        <w:rPr>
          <w:rFonts w:ascii="Arial" w:hAnsi="Arial" w:cs="Arial"/>
          <w:sz w:val="24"/>
          <w:szCs w:val="24"/>
        </w:rPr>
      </w:pPr>
      <w:r w:rsidRPr="00764E30">
        <w:rPr>
          <w:rFonts w:ascii="Arial" w:hAnsi="Arial" w:cs="Arial"/>
          <w:sz w:val="24"/>
          <w:szCs w:val="24"/>
        </w:rPr>
        <w:t>Pamplona-</w:t>
      </w:r>
      <w:proofErr w:type="spellStart"/>
      <w:r w:rsidRPr="00764E30">
        <w:rPr>
          <w:rFonts w:ascii="Arial" w:hAnsi="Arial" w:cs="Arial"/>
          <w:sz w:val="24"/>
          <w:szCs w:val="24"/>
        </w:rPr>
        <w:t>Iruñea</w:t>
      </w:r>
      <w:proofErr w:type="spellEnd"/>
      <w:r w:rsidRPr="00764E30">
        <w:rPr>
          <w:rFonts w:ascii="Arial" w:hAnsi="Arial" w:cs="Arial"/>
          <w:sz w:val="24"/>
          <w:szCs w:val="24"/>
        </w:rPr>
        <w:t xml:space="preserve">, </w:t>
      </w:r>
      <w:r w:rsidR="00E64392">
        <w:rPr>
          <w:rFonts w:ascii="Arial" w:hAnsi="Arial" w:cs="Arial"/>
          <w:sz w:val="24"/>
          <w:szCs w:val="24"/>
        </w:rPr>
        <w:t>13</w:t>
      </w:r>
      <w:r w:rsidR="001A0F31">
        <w:rPr>
          <w:rFonts w:ascii="Arial" w:hAnsi="Arial" w:cs="Arial"/>
          <w:sz w:val="24"/>
          <w:szCs w:val="24"/>
        </w:rPr>
        <w:t xml:space="preserve"> de diciembre</w:t>
      </w:r>
      <w:r w:rsidRPr="00B37543">
        <w:rPr>
          <w:rFonts w:ascii="Arial" w:hAnsi="Arial" w:cs="Arial"/>
          <w:sz w:val="24"/>
          <w:szCs w:val="24"/>
        </w:rPr>
        <w:t xml:space="preserve"> </w:t>
      </w:r>
      <w:r w:rsidRPr="00764E30">
        <w:rPr>
          <w:rFonts w:ascii="Arial" w:hAnsi="Arial" w:cs="Arial"/>
          <w:sz w:val="24"/>
          <w:szCs w:val="24"/>
        </w:rPr>
        <w:t>de 2023</w:t>
      </w:r>
    </w:p>
    <w:p w14:paraId="5CF11E01" w14:textId="3F2BE650" w:rsidR="00F45FFA" w:rsidRPr="00992D73" w:rsidRDefault="007A4708" w:rsidP="007A4708">
      <w:pPr>
        <w:spacing w:line="360" w:lineRule="auto"/>
        <w:rPr>
          <w:rFonts w:ascii="Arial" w:hAnsi="Arial" w:cs="Arial"/>
          <w:sz w:val="24"/>
          <w:szCs w:val="24"/>
        </w:rPr>
      </w:pPr>
      <w:r w:rsidRPr="00764E30">
        <w:rPr>
          <w:rFonts w:ascii="Arial" w:hAnsi="Arial" w:cs="Arial"/>
          <w:sz w:val="24"/>
          <w:szCs w:val="24"/>
        </w:rPr>
        <w:t xml:space="preserve">La Consejera </w:t>
      </w:r>
      <w:r>
        <w:rPr>
          <w:rFonts w:ascii="Arial" w:hAnsi="Arial" w:cs="Arial"/>
          <w:sz w:val="24"/>
          <w:szCs w:val="24"/>
        </w:rPr>
        <w:t>d</w:t>
      </w:r>
      <w:r w:rsidRPr="00764E30">
        <w:rPr>
          <w:rFonts w:ascii="Arial" w:hAnsi="Arial" w:cs="Arial"/>
          <w:sz w:val="24"/>
          <w:szCs w:val="24"/>
        </w:rPr>
        <w:t>e Derechos Sociales,</w:t>
      </w:r>
      <w:r>
        <w:rPr>
          <w:rFonts w:ascii="Arial" w:hAnsi="Arial" w:cs="Arial"/>
          <w:sz w:val="24"/>
          <w:szCs w:val="24"/>
        </w:rPr>
        <w:t xml:space="preserve"> </w:t>
      </w:r>
      <w:r w:rsidRPr="00764E30">
        <w:rPr>
          <w:rFonts w:ascii="Arial" w:hAnsi="Arial" w:cs="Arial"/>
          <w:sz w:val="24"/>
          <w:szCs w:val="24"/>
        </w:rPr>
        <w:t xml:space="preserve">Economía Social </w:t>
      </w:r>
      <w:r>
        <w:rPr>
          <w:rFonts w:ascii="Arial" w:hAnsi="Arial" w:cs="Arial"/>
          <w:sz w:val="24"/>
          <w:szCs w:val="24"/>
        </w:rPr>
        <w:t>y</w:t>
      </w:r>
      <w:r w:rsidRPr="00764E30">
        <w:rPr>
          <w:rFonts w:ascii="Arial" w:hAnsi="Arial" w:cs="Arial"/>
          <w:sz w:val="24"/>
          <w:szCs w:val="24"/>
        </w:rPr>
        <w:t xml:space="preserve"> Empleo</w:t>
      </w:r>
      <w:r>
        <w:rPr>
          <w:rFonts w:ascii="Arial" w:hAnsi="Arial" w:cs="Arial"/>
          <w:sz w:val="24"/>
          <w:szCs w:val="24"/>
        </w:rPr>
        <w:t xml:space="preserve">: </w:t>
      </w:r>
      <w:r w:rsidRPr="00764E30">
        <w:rPr>
          <w:rFonts w:ascii="Arial" w:hAnsi="Arial" w:cs="Arial"/>
          <w:sz w:val="24"/>
          <w:szCs w:val="24"/>
        </w:rPr>
        <w:t>María Carmen Maeztu Villafranca</w:t>
      </w:r>
    </w:p>
    <w:sectPr w:rsidR="00F45FFA" w:rsidRPr="00992D73" w:rsidSect="00D77EAF">
      <w:pgSz w:w="11906" w:h="16838"/>
      <w:pgMar w:top="2552" w:right="1418" w:bottom="1985" w:left="1418" w:header="1984"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3B68F9" w14:textId="77777777" w:rsidR="00B37543" w:rsidRDefault="00B37543" w:rsidP="00B37543">
      <w:r>
        <w:separator/>
      </w:r>
    </w:p>
  </w:endnote>
  <w:endnote w:type="continuationSeparator" w:id="0">
    <w:p w14:paraId="082848BA" w14:textId="77777777" w:rsidR="00B37543" w:rsidRDefault="00B37543" w:rsidP="00B37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96E729" w14:textId="77777777" w:rsidR="00B37543" w:rsidRDefault="00B37543" w:rsidP="00B37543">
      <w:r>
        <w:separator/>
      </w:r>
    </w:p>
  </w:footnote>
  <w:footnote w:type="continuationSeparator" w:id="0">
    <w:p w14:paraId="6EF263B0" w14:textId="77777777" w:rsidR="00B37543" w:rsidRDefault="00B37543" w:rsidP="00B375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D37611"/>
    <w:multiLevelType w:val="hybridMultilevel"/>
    <w:tmpl w:val="4AFC3304"/>
    <w:lvl w:ilvl="0" w:tplc="B5F647A8">
      <w:start w:val="1"/>
      <w:numFmt w:val="lowerLetter"/>
      <w:lvlText w:val="%1)"/>
      <w:lvlJc w:val="left"/>
      <w:pPr>
        <w:ind w:left="371" w:hanging="360"/>
      </w:pPr>
      <w:rPr>
        <w:rFonts w:hint="default"/>
      </w:rPr>
    </w:lvl>
    <w:lvl w:ilvl="1" w:tplc="0C0A0019" w:tentative="1">
      <w:start w:val="1"/>
      <w:numFmt w:val="lowerLetter"/>
      <w:lvlText w:val="%2."/>
      <w:lvlJc w:val="left"/>
      <w:pPr>
        <w:ind w:left="1091" w:hanging="360"/>
      </w:pPr>
    </w:lvl>
    <w:lvl w:ilvl="2" w:tplc="0C0A001B" w:tentative="1">
      <w:start w:val="1"/>
      <w:numFmt w:val="lowerRoman"/>
      <w:lvlText w:val="%3."/>
      <w:lvlJc w:val="right"/>
      <w:pPr>
        <w:ind w:left="1811" w:hanging="180"/>
      </w:pPr>
    </w:lvl>
    <w:lvl w:ilvl="3" w:tplc="0C0A000F" w:tentative="1">
      <w:start w:val="1"/>
      <w:numFmt w:val="decimal"/>
      <w:lvlText w:val="%4."/>
      <w:lvlJc w:val="left"/>
      <w:pPr>
        <w:ind w:left="2531" w:hanging="360"/>
      </w:pPr>
    </w:lvl>
    <w:lvl w:ilvl="4" w:tplc="0C0A0019" w:tentative="1">
      <w:start w:val="1"/>
      <w:numFmt w:val="lowerLetter"/>
      <w:lvlText w:val="%5."/>
      <w:lvlJc w:val="left"/>
      <w:pPr>
        <w:ind w:left="3251" w:hanging="360"/>
      </w:pPr>
    </w:lvl>
    <w:lvl w:ilvl="5" w:tplc="0C0A001B" w:tentative="1">
      <w:start w:val="1"/>
      <w:numFmt w:val="lowerRoman"/>
      <w:lvlText w:val="%6."/>
      <w:lvlJc w:val="right"/>
      <w:pPr>
        <w:ind w:left="3971" w:hanging="180"/>
      </w:pPr>
    </w:lvl>
    <w:lvl w:ilvl="6" w:tplc="0C0A000F" w:tentative="1">
      <w:start w:val="1"/>
      <w:numFmt w:val="decimal"/>
      <w:lvlText w:val="%7."/>
      <w:lvlJc w:val="left"/>
      <w:pPr>
        <w:ind w:left="4691" w:hanging="360"/>
      </w:pPr>
    </w:lvl>
    <w:lvl w:ilvl="7" w:tplc="0C0A0019" w:tentative="1">
      <w:start w:val="1"/>
      <w:numFmt w:val="lowerLetter"/>
      <w:lvlText w:val="%8."/>
      <w:lvlJc w:val="left"/>
      <w:pPr>
        <w:ind w:left="5411" w:hanging="360"/>
      </w:pPr>
    </w:lvl>
    <w:lvl w:ilvl="8" w:tplc="0C0A001B" w:tentative="1">
      <w:start w:val="1"/>
      <w:numFmt w:val="lowerRoman"/>
      <w:lvlText w:val="%9."/>
      <w:lvlJc w:val="right"/>
      <w:pPr>
        <w:ind w:left="6131" w:hanging="180"/>
      </w:pPr>
    </w:lvl>
  </w:abstractNum>
  <w:abstractNum w:abstractNumId="1" w15:restartNumberingAfterBreak="0">
    <w:nsid w:val="20510C11"/>
    <w:multiLevelType w:val="hybridMultilevel"/>
    <w:tmpl w:val="27AAF9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79C67A46"/>
    <w:multiLevelType w:val="hybridMultilevel"/>
    <w:tmpl w:val="4646473C"/>
    <w:lvl w:ilvl="0" w:tplc="874043BC">
      <w:start w:val="8"/>
      <w:numFmt w:val="decimal"/>
      <w:lvlText w:val="%1."/>
      <w:lvlJc w:val="left"/>
      <w:pPr>
        <w:ind w:left="831" w:hanging="360"/>
      </w:pPr>
      <w:rPr>
        <w:rFonts w:cs="Times New Roman" w:hint="default"/>
        <w:b/>
      </w:rPr>
    </w:lvl>
    <w:lvl w:ilvl="1" w:tplc="0C0A0019" w:tentative="1">
      <w:start w:val="1"/>
      <w:numFmt w:val="lowerLetter"/>
      <w:lvlText w:val="%2."/>
      <w:lvlJc w:val="left"/>
      <w:pPr>
        <w:ind w:left="1900" w:hanging="360"/>
      </w:pPr>
    </w:lvl>
    <w:lvl w:ilvl="2" w:tplc="0C0A001B" w:tentative="1">
      <w:start w:val="1"/>
      <w:numFmt w:val="lowerRoman"/>
      <w:lvlText w:val="%3."/>
      <w:lvlJc w:val="right"/>
      <w:pPr>
        <w:ind w:left="2620" w:hanging="180"/>
      </w:pPr>
    </w:lvl>
    <w:lvl w:ilvl="3" w:tplc="0C0A000F" w:tentative="1">
      <w:start w:val="1"/>
      <w:numFmt w:val="decimal"/>
      <w:lvlText w:val="%4."/>
      <w:lvlJc w:val="left"/>
      <w:pPr>
        <w:ind w:left="3340" w:hanging="360"/>
      </w:pPr>
    </w:lvl>
    <w:lvl w:ilvl="4" w:tplc="0C0A0019" w:tentative="1">
      <w:start w:val="1"/>
      <w:numFmt w:val="lowerLetter"/>
      <w:lvlText w:val="%5."/>
      <w:lvlJc w:val="left"/>
      <w:pPr>
        <w:ind w:left="4060" w:hanging="360"/>
      </w:pPr>
    </w:lvl>
    <w:lvl w:ilvl="5" w:tplc="0C0A001B" w:tentative="1">
      <w:start w:val="1"/>
      <w:numFmt w:val="lowerRoman"/>
      <w:lvlText w:val="%6."/>
      <w:lvlJc w:val="right"/>
      <w:pPr>
        <w:ind w:left="4780" w:hanging="180"/>
      </w:pPr>
    </w:lvl>
    <w:lvl w:ilvl="6" w:tplc="0C0A000F" w:tentative="1">
      <w:start w:val="1"/>
      <w:numFmt w:val="decimal"/>
      <w:lvlText w:val="%7."/>
      <w:lvlJc w:val="left"/>
      <w:pPr>
        <w:ind w:left="5500" w:hanging="360"/>
      </w:pPr>
    </w:lvl>
    <w:lvl w:ilvl="7" w:tplc="0C0A0019" w:tentative="1">
      <w:start w:val="1"/>
      <w:numFmt w:val="lowerLetter"/>
      <w:lvlText w:val="%8."/>
      <w:lvlJc w:val="left"/>
      <w:pPr>
        <w:ind w:left="6220" w:hanging="360"/>
      </w:pPr>
    </w:lvl>
    <w:lvl w:ilvl="8" w:tplc="0C0A001B" w:tentative="1">
      <w:start w:val="1"/>
      <w:numFmt w:val="lowerRoman"/>
      <w:lvlText w:val="%9."/>
      <w:lvlJc w:val="right"/>
      <w:pPr>
        <w:ind w:left="6940" w:hanging="180"/>
      </w:pPr>
    </w:lvl>
  </w:abstractNum>
  <w:num w:numId="1" w16cid:durableId="1591425285">
    <w:abstractNumId w:val="1"/>
  </w:num>
  <w:num w:numId="2" w16cid:durableId="534074858">
    <w:abstractNumId w:val="0"/>
  </w:num>
  <w:num w:numId="3" w16cid:durableId="1357325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121"/>
    <w:rsid w:val="001A0F31"/>
    <w:rsid w:val="00271902"/>
    <w:rsid w:val="003E4666"/>
    <w:rsid w:val="00474F03"/>
    <w:rsid w:val="00487CC7"/>
    <w:rsid w:val="00711A5A"/>
    <w:rsid w:val="007A4708"/>
    <w:rsid w:val="00992D73"/>
    <w:rsid w:val="00A05121"/>
    <w:rsid w:val="00B37543"/>
    <w:rsid w:val="00C609C2"/>
    <w:rsid w:val="00D77EAF"/>
    <w:rsid w:val="00E64392"/>
    <w:rsid w:val="00F45FF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E20781"/>
  <w15:chartTrackingRefBased/>
  <w15:docId w15:val="{758887C3-93EE-4D0E-AAAF-6F7739693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7543"/>
    <w:pPr>
      <w:spacing w:after="0" w:line="240" w:lineRule="auto"/>
    </w:pPr>
    <w:rPr>
      <w:rFonts w:ascii="Times New Roman" w:eastAsia="Times New Roman" w:hAnsi="Times New Roman" w:cs="Times New Roman"/>
      <w:sz w:val="2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37543"/>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EncabezadoCar">
    <w:name w:val="Encabezado Car"/>
    <w:basedOn w:val="Fuentedeprrafopredeter"/>
    <w:link w:val="Encabezado"/>
    <w:uiPriority w:val="99"/>
    <w:rsid w:val="00B37543"/>
  </w:style>
  <w:style w:type="paragraph" w:styleId="Piedepgina">
    <w:name w:val="footer"/>
    <w:basedOn w:val="Normal"/>
    <w:link w:val="PiedepginaCar"/>
    <w:unhideWhenUsed/>
    <w:rsid w:val="00B37543"/>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PiedepginaCar">
    <w:name w:val="Pie de página Car"/>
    <w:basedOn w:val="Fuentedeprrafopredeter"/>
    <w:link w:val="Piedepgina"/>
    <w:rsid w:val="00B37543"/>
  </w:style>
  <w:style w:type="paragraph" w:styleId="Textoindependiente">
    <w:name w:val="Body Text"/>
    <w:basedOn w:val="Normal"/>
    <w:link w:val="TextoindependienteCar"/>
    <w:rsid w:val="00B37543"/>
    <w:pPr>
      <w:tabs>
        <w:tab w:val="left" w:pos="720"/>
        <w:tab w:val="center" w:pos="3888"/>
      </w:tabs>
      <w:spacing w:line="360" w:lineRule="atLeast"/>
      <w:jc w:val="both"/>
    </w:pPr>
    <w:rPr>
      <w:sz w:val="26"/>
    </w:rPr>
  </w:style>
  <w:style w:type="character" w:customStyle="1" w:styleId="TextoindependienteCar">
    <w:name w:val="Texto independiente Car"/>
    <w:basedOn w:val="Fuentedeprrafopredeter"/>
    <w:link w:val="Textoindependiente"/>
    <w:rsid w:val="00B37543"/>
    <w:rPr>
      <w:rFonts w:ascii="Times New Roman" w:eastAsia="Times New Roman" w:hAnsi="Times New Roman" w:cs="Times New Roman"/>
      <w:sz w:val="26"/>
      <w:szCs w:val="20"/>
      <w:lang w:val="es-ES_tradnl" w:eastAsia="es-ES"/>
    </w:rPr>
  </w:style>
  <w:style w:type="character" w:styleId="Nmerodepgina">
    <w:name w:val="page number"/>
    <w:basedOn w:val="Fuentedeprrafopredeter"/>
    <w:rsid w:val="00B37543"/>
  </w:style>
  <w:style w:type="paragraph" w:styleId="Prrafodelista">
    <w:name w:val="List Paragraph"/>
    <w:basedOn w:val="Normal"/>
    <w:uiPriority w:val="99"/>
    <w:qFormat/>
    <w:rsid w:val="00B37543"/>
    <w:pPr>
      <w:ind w:left="720"/>
      <w:contextualSpacing/>
    </w:pPr>
  </w:style>
  <w:style w:type="table" w:styleId="Tablaconcuadrcula">
    <w:name w:val="Table Grid"/>
    <w:basedOn w:val="Tablanormal"/>
    <w:uiPriority w:val="39"/>
    <w:rsid w:val="00711A5A"/>
    <w:pPr>
      <w:spacing w:after="0" w:line="240" w:lineRule="auto"/>
    </w:pPr>
    <w:rPr>
      <w:rFonts w:eastAsiaTheme="minorEastAsia"/>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711A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exnavarra.navarra.es/detalle.asp?r=5274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3</Pages>
  <Words>695</Words>
  <Characters>4071</Characters>
  <Application>Microsoft Office Word</Application>
  <DocSecurity>0</DocSecurity>
  <Lines>508</Lines>
  <Paragraphs>529</Paragraphs>
  <ScaleCrop>false</ScaleCrop>
  <Company>Gobierno de Navarra</Company>
  <LinksUpToDate>false</LinksUpToDate>
  <CharactersWithSpaces>4237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X090467</dc:creator>
  <cp:keywords/>
  <dc:description/>
  <cp:lastModifiedBy>Mauleón, Fernando</cp:lastModifiedBy>
  <cp:revision>13</cp:revision>
  <dcterms:created xsi:type="dcterms:W3CDTF">2023-11-13T13:23:00Z</dcterms:created>
  <dcterms:modified xsi:type="dcterms:W3CDTF">2024-03-19T07:44:00Z</dcterms:modified>
</cp:coreProperties>
</file>