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8CB48" w14:textId="1F256480" w:rsidR="00E14C0F" w:rsidRDefault="00A40A00" w:rsidP="007A14AD">
      <w:pPr>
        <w:ind w:firstLine="5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12 de febrero</w:t>
      </w:r>
    </w:p>
    <w:p w14:paraId="04D73914" w14:textId="2664436E" w:rsidR="00A40A00" w:rsidRDefault="00B07455" w:rsidP="007A14AD">
      <w:pPr>
        <w:ind w:firstLine="5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El</w:t>
      </w:r>
      <w:r w:rsidRPr="00B07455">
        <w:rPr>
          <w:rFonts w:cs="Arial"/>
          <w:color w:val="000000"/>
          <w:szCs w:val="24"/>
        </w:rPr>
        <w:t xml:space="preserve"> Consejer</w:t>
      </w:r>
      <w:r>
        <w:rPr>
          <w:rFonts w:cs="Arial"/>
          <w:color w:val="000000"/>
          <w:szCs w:val="24"/>
        </w:rPr>
        <w:t>o</w:t>
      </w:r>
      <w:r w:rsidRPr="00B07455">
        <w:rPr>
          <w:rFonts w:cs="Arial"/>
          <w:color w:val="000000"/>
          <w:szCs w:val="24"/>
        </w:rPr>
        <w:t xml:space="preserve"> de Desarrollo Rural y Medio Ambiente, en relación </w:t>
      </w:r>
      <w:r w:rsidR="00A40A00">
        <w:rPr>
          <w:rFonts w:cs="Arial"/>
          <w:color w:val="000000"/>
          <w:szCs w:val="24"/>
        </w:rPr>
        <w:t>con</w:t>
      </w:r>
      <w:r w:rsidRPr="00B07455">
        <w:rPr>
          <w:rFonts w:cs="Arial"/>
          <w:color w:val="000000"/>
          <w:szCs w:val="24"/>
        </w:rPr>
        <w:t xml:space="preserve"> la </w:t>
      </w:r>
      <w:r w:rsidR="002F227B">
        <w:rPr>
          <w:rFonts w:cs="Arial"/>
          <w:color w:val="000000"/>
          <w:szCs w:val="24"/>
        </w:rPr>
        <w:t xml:space="preserve">pregunta escrita </w:t>
      </w:r>
      <w:r w:rsidRPr="00B07455">
        <w:rPr>
          <w:rFonts w:cs="Arial"/>
          <w:szCs w:val="24"/>
        </w:rPr>
        <w:t>11-2</w:t>
      </w:r>
      <w:r w:rsidR="003F6512">
        <w:rPr>
          <w:rFonts w:cs="Arial"/>
          <w:szCs w:val="24"/>
        </w:rPr>
        <w:t>4</w:t>
      </w:r>
      <w:r w:rsidRPr="00B07455">
        <w:rPr>
          <w:rFonts w:cs="Arial"/>
          <w:szCs w:val="24"/>
        </w:rPr>
        <w:t>/</w:t>
      </w:r>
      <w:r w:rsidR="002E2482" w:rsidRPr="003F6512">
        <w:rPr>
          <w:rFonts w:cs="Arial"/>
          <w:szCs w:val="24"/>
        </w:rPr>
        <w:t>PES</w:t>
      </w:r>
      <w:r w:rsidRPr="003F6512">
        <w:rPr>
          <w:rFonts w:cs="Arial"/>
          <w:szCs w:val="24"/>
        </w:rPr>
        <w:t>-</w:t>
      </w:r>
      <w:r w:rsidR="003B7973">
        <w:rPr>
          <w:rFonts w:cs="Arial"/>
          <w:szCs w:val="24"/>
        </w:rPr>
        <w:t>00017</w:t>
      </w:r>
      <w:r w:rsidRPr="00B07455">
        <w:rPr>
          <w:rFonts w:cs="Arial"/>
          <w:szCs w:val="24"/>
        </w:rPr>
        <w:t xml:space="preserve"> solicitada por el Parlamentario Foral Ilmo. Sr. </w:t>
      </w:r>
      <w:r w:rsidR="00BC3A3A" w:rsidRPr="003F6512">
        <w:rPr>
          <w:rFonts w:cs="Arial"/>
          <w:color w:val="000000"/>
          <w:szCs w:val="24"/>
        </w:rPr>
        <w:t xml:space="preserve">don </w:t>
      </w:r>
      <w:r w:rsidR="003B7973" w:rsidRPr="003B7973">
        <w:rPr>
          <w:rFonts w:cs="Arial"/>
          <w:color w:val="000000"/>
          <w:szCs w:val="24"/>
        </w:rPr>
        <w:t xml:space="preserve">Adolfo </w:t>
      </w:r>
      <w:proofErr w:type="spellStart"/>
      <w:r w:rsidR="003B7973" w:rsidRPr="003B7973">
        <w:rPr>
          <w:rFonts w:cs="Arial"/>
          <w:color w:val="000000"/>
          <w:szCs w:val="24"/>
        </w:rPr>
        <w:t>Araiz</w:t>
      </w:r>
      <w:proofErr w:type="spellEnd"/>
      <w:r w:rsidR="003B7973" w:rsidRPr="003B7973">
        <w:rPr>
          <w:rFonts w:cs="Arial"/>
          <w:color w:val="000000"/>
          <w:szCs w:val="24"/>
        </w:rPr>
        <w:t xml:space="preserve"> </w:t>
      </w:r>
      <w:proofErr w:type="spellStart"/>
      <w:r w:rsidR="003B7973" w:rsidRPr="003B7973">
        <w:rPr>
          <w:rFonts w:cs="Arial"/>
          <w:color w:val="000000"/>
          <w:szCs w:val="24"/>
        </w:rPr>
        <w:t>Flamarique</w:t>
      </w:r>
      <w:proofErr w:type="spellEnd"/>
      <w:r w:rsidR="00BC3A3A" w:rsidRPr="00B07455">
        <w:rPr>
          <w:rFonts w:cs="Arial"/>
          <w:color w:val="000000"/>
          <w:szCs w:val="24"/>
        </w:rPr>
        <w:t>,</w:t>
      </w:r>
      <w:r w:rsidR="00BC3A3A" w:rsidRPr="00B07455">
        <w:rPr>
          <w:rFonts w:cs="Arial"/>
          <w:szCs w:val="24"/>
        </w:rPr>
        <w:t xml:space="preserve"> adscrito al Grupo Parlamentario</w:t>
      </w:r>
      <w:r w:rsidR="00BC3A3A">
        <w:rPr>
          <w:rFonts w:cs="Arial"/>
        </w:rPr>
        <w:t xml:space="preserve"> </w:t>
      </w:r>
      <w:r w:rsidR="003B7973" w:rsidRPr="003B7973">
        <w:rPr>
          <w:rFonts w:cs="Arial"/>
        </w:rPr>
        <w:t xml:space="preserve">EH </w:t>
      </w:r>
      <w:r w:rsidR="00A40A00" w:rsidRPr="003B7973">
        <w:rPr>
          <w:rFonts w:cs="Arial"/>
        </w:rPr>
        <w:t>Bildu Nafarroa</w:t>
      </w:r>
      <w:r w:rsidR="00BC3A3A" w:rsidRPr="00BC3A3A">
        <w:rPr>
          <w:rFonts w:cs="Arial"/>
        </w:rPr>
        <w:t xml:space="preserve">, </w:t>
      </w:r>
      <w:r>
        <w:rPr>
          <w:rFonts w:cs="Arial"/>
        </w:rPr>
        <w:t xml:space="preserve">sobre </w:t>
      </w:r>
      <w:r w:rsidR="003B7973">
        <w:rPr>
          <w:rFonts w:cs="Arial"/>
        </w:rPr>
        <w:t>el d</w:t>
      </w:r>
      <w:r w:rsidR="003B7973" w:rsidRPr="003B7973">
        <w:rPr>
          <w:rFonts w:cs="Arial"/>
        </w:rPr>
        <w:t>esarrollo reglamentario previsto en la disposición adicional quinta de la Ley Foral 14/2018, de 18 de junio, de Residuos y su Fiscalidad</w:t>
      </w:r>
      <w:r w:rsidR="00665278">
        <w:rPr>
          <w:rFonts w:cs="Arial"/>
        </w:rPr>
        <w:t>,</w:t>
      </w:r>
      <w:r w:rsidR="00F95B6E">
        <w:rPr>
          <w:rFonts w:cs="Arial"/>
        </w:rPr>
        <w:t xml:space="preserve"> </w:t>
      </w:r>
      <w:r w:rsidR="00BC3A3A" w:rsidRPr="00BC3A3A">
        <w:rPr>
          <w:rFonts w:cs="Arial"/>
        </w:rPr>
        <w:t xml:space="preserve">tiene el honor de </w:t>
      </w:r>
      <w:r w:rsidR="00F95B6E">
        <w:rPr>
          <w:rFonts w:cs="Arial"/>
        </w:rPr>
        <w:t>responder a las preguntas planteadas</w:t>
      </w:r>
      <w:r>
        <w:rPr>
          <w:rFonts w:cs="Arial"/>
        </w:rPr>
        <w:t>:</w:t>
      </w:r>
    </w:p>
    <w:p w14:paraId="7ED8047E" w14:textId="3BF232D8" w:rsidR="00A40A00" w:rsidRPr="00944D5C" w:rsidRDefault="00584857" w:rsidP="00944D5C">
      <w:pPr>
        <w:pStyle w:val="Prrafodelista"/>
        <w:numPr>
          <w:ilvl w:val="0"/>
          <w:numId w:val="23"/>
        </w:numPr>
        <w:rPr>
          <w:rFonts w:cs="Arial"/>
          <w:b/>
        </w:rPr>
      </w:pPr>
      <w:r w:rsidRPr="00944D5C">
        <w:rPr>
          <w:rFonts w:cs="Arial"/>
          <w:b/>
        </w:rPr>
        <w:t>¿Qué razones han llevado al Gobierno a no proceder al desarrollo reglamentario previsto en la Disposición Adicional quinta de la Ley Foral 14/2018, de 18 de junio, de Residuos y su Fiscalidad después de haber transcurrido más de cuatro años y medio desde su entrada en vigor?</w:t>
      </w:r>
    </w:p>
    <w:p w14:paraId="3E045D6E" w14:textId="77777777" w:rsidR="00A40A00" w:rsidRDefault="00340E3A" w:rsidP="00340E3A">
      <w:pPr>
        <w:ind w:firstLine="709"/>
        <w:rPr>
          <w:rFonts w:cs="Arial"/>
        </w:rPr>
      </w:pPr>
      <w:r w:rsidRPr="00340E3A">
        <w:rPr>
          <w:rFonts w:cs="Arial"/>
        </w:rPr>
        <w:t xml:space="preserve">El Gobierno de Navarra empezó con la puesta en marcha de esta herramienta fiscal en el mismo año </w:t>
      </w:r>
      <w:r w:rsidRPr="00340E3A">
        <w:rPr>
          <w:rFonts w:cs="Arial"/>
          <w:b/>
        </w:rPr>
        <w:t>2018</w:t>
      </w:r>
      <w:r w:rsidRPr="00340E3A">
        <w:rPr>
          <w:rFonts w:cs="Arial"/>
        </w:rPr>
        <w:t>, encargando desde el Departamento de Desarrollo Rural, Industria, Empleo y Medio Ambiente un estudio a ENT (</w:t>
      </w:r>
      <w:proofErr w:type="spellStart"/>
      <w:r w:rsidRPr="00340E3A">
        <w:rPr>
          <w:rFonts w:cs="Arial"/>
        </w:rPr>
        <w:t>Environment</w:t>
      </w:r>
      <w:proofErr w:type="spellEnd"/>
      <w:r w:rsidRPr="00340E3A">
        <w:rPr>
          <w:rFonts w:cs="Arial"/>
        </w:rPr>
        <w:t xml:space="preserve"> and Management) sobre </w:t>
      </w:r>
      <w:r w:rsidRPr="00340E3A">
        <w:rPr>
          <w:rFonts w:cs="Arial"/>
          <w:b/>
        </w:rPr>
        <w:t>“Exploración preliminar de modelos de compensación por la ubicación de instalaciones de tratamiento de residuos”</w:t>
      </w:r>
      <w:r w:rsidRPr="00340E3A">
        <w:rPr>
          <w:rFonts w:cs="Arial"/>
        </w:rPr>
        <w:t xml:space="preserve">, octubre 2018, en el que se indicaba que en España no existía un marco normativo en materia de compensaciones a los municipios por la ubicación de instalaciones de tratamiento de residuos.  </w:t>
      </w:r>
    </w:p>
    <w:p w14:paraId="08D40975" w14:textId="40314A83" w:rsidR="00340E3A" w:rsidRDefault="00D16F79" w:rsidP="00340E3A">
      <w:pPr>
        <w:ind w:firstLine="709"/>
        <w:rPr>
          <w:rFonts w:cs="Arial"/>
        </w:rPr>
      </w:pPr>
      <w:r w:rsidRPr="00D16F79">
        <w:rPr>
          <w:rFonts w:cs="Arial"/>
        </w:rPr>
        <w:t xml:space="preserve">En </w:t>
      </w:r>
      <w:r w:rsidRPr="00786DE2">
        <w:rPr>
          <w:rFonts w:cs="Arial"/>
          <w:b/>
        </w:rPr>
        <w:t>2019</w:t>
      </w:r>
      <w:r w:rsidRPr="00D16F79">
        <w:rPr>
          <w:rFonts w:cs="Arial"/>
        </w:rPr>
        <w:t xml:space="preserve"> la Dirección general de medio ambiente y ordenación del territorio encargó a Mar Isla un estudio sobre </w:t>
      </w:r>
      <w:r w:rsidRPr="00786DE2">
        <w:rPr>
          <w:rFonts w:cs="Arial"/>
          <w:b/>
        </w:rPr>
        <w:t>“Propuesta de sistema de compensación por la ubicación de instalaciones de tratamiento de residuos”</w:t>
      </w:r>
      <w:r w:rsidRPr="00D16F79">
        <w:rPr>
          <w:rFonts w:cs="Arial"/>
        </w:rPr>
        <w:t>, mayo 2019, que se concretó en tres tipos de medidas indemnizatorias para los municipios de Navarra en los que están en servicio vertederos¹ públicos mancomunados de residuos domésticos, comerciales o industriales no peligrosos, por darse una asimetría entre los beneficios de los servicios ambientales para todo el colectivo de la mancomunidad y los costes ambientales potenciales para los municipios donde se ubican las instalaciones:</w:t>
      </w:r>
    </w:p>
    <w:p w14:paraId="759DDA3A" w14:textId="343D5973" w:rsidR="00A40A00" w:rsidRDefault="00A40A00" w:rsidP="00340E3A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095"/>
      </w:tblGrid>
      <w:tr w:rsidR="00340E3A" w:rsidRPr="00A40A00" w14:paraId="0D4D2BF4" w14:textId="77777777" w:rsidTr="00B57781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CA9" w14:textId="77777777" w:rsidR="00340E3A" w:rsidRPr="00A40A00" w:rsidRDefault="00340E3A" w:rsidP="00340E3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noProof/>
                <w:sz w:val="18"/>
                <w:szCs w:val="18"/>
              </w:rPr>
            </w:pPr>
            <w:bookmarkStart w:id="0" w:name="_Hlk164253705"/>
            <w:r w:rsidRPr="00A40A00">
              <w:rPr>
                <w:rFonts w:eastAsia="Calibri" w:cs="Arial"/>
                <w:b/>
                <w:noProof/>
                <w:sz w:val="18"/>
                <w:szCs w:val="18"/>
              </w:rPr>
              <w:lastRenderedPageBreak/>
              <w:t>CONCEPTOS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2917" w14:textId="77777777" w:rsidR="00340E3A" w:rsidRPr="00A40A00" w:rsidRDefault="00340E3A" w:rsidP="00340E3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noProof/>
                <w:sz w:val="18"/>
                <w:szCs w:val="18"/>
              </w:rPr>
            </w:pPr>
            <w:r w:rsidRPr="00A40A00">
              <w:rPr>
                <w:rFonts w:eastAsia="Calibri" w:cs="Arial"/>
                <w:b/>
                <w:noProof/>
                <w:sz w:val="18"/>
                <w:szCs w:val="18"/>
              </w:rPr>
              <w:t>MEDIDAS INCLUIDAS EN LA PROPUESTA</w:t>
            </w:r>
          </w:p>
        </w:tc>
      </w:tr>
      <w:tr w:rsidR="00340E3A" w:rsidRPr="00A40A00" w14:paraId="33F8ECD8" w14:textId="77777777" w:rsidTr="00B57781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E5E3" w14:textId="77777777" w:rsidR="00340E3A" w:rsidRPr="00A40A00" w:rsidRDefault="00340E3A" w:rsidP="00340E3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noProof/>
                <w:sz w:val="18"/>
                <w:szCs w:val="18"/>
              </w:rPr>
            </w:pPr>
            <w:r w:rsidRPr="00A40A00">
              <w:rPr>
                <w:rFonts w:eastAsia="Calibri" w:cs="Arial"/>
                <w:b/>
                <w:noProof/>
                <w:sz w:val="18"/>
                <w:szCs w:val="18"/>
              </w:rPr>
              <w:t xml:space="preserve">SERVICIOS </w:t>
            </w:r>
          </w:p>
          <w:p w14:paraId="4BCF22C9" w14:textId="77777777" w:rsidR="00340E3A" w:rsidRPr="00A40A00" w:rsidRDefault="00340E3A" w:rsidP="00340E3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noProof/>
                <w:sz w:val="18"/>
                <w:szCs w:val="18"/>
              </w:rPr>
            </w:pPr>
            <w:r w:rsidRPr="00A40A00">
              <w:rPr>
                <w:rFonts w:eastAsia="Calibri" w:cs="Arial"/>
                <w:b/>
                <w:noProof/>
                <w:sz w:val="18"/>
                <w:szCs w:val="18"/>
              </w:rPr>
              <w:t xml:space="preserve">AMBIENTALES </w:t>
            </w:r>
          </w:p>
          <w:p w14:paraId="64765362" w14:textId="77777777" w:rsidR="00340E3A" w:rsidRPr="00A40A00" w:rsidRDefault="00340E3A" w:rsidP="00340E3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noProof/>
                <w:sz w:val="18"/>
                <w:szCs w:val="18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2B1" w14:textId="77777777" w:rsidR="00340E3A" w:rsidRPr="00A40A00" w:rsidRDefault="00340E3A" w:rsidP="00F95B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noProof/>
                <w:sz w:val="18"/>
                <w:szCs w:val="18"/>
              </w:rPr>
            </w:pPr>
            <w:r w:rsidRPr="00A40A00">
              <w:rPr>
                <w:rFonts w:eastAsia="Calibri" w:cs="Arial"/>
                <w:noProof/>
                <w:sz w:val="18"/>
                <w:szCs w:val="18"/>
              </w:rPr>
              <w:t>1. Reserva anual 5% del Fondo de Residuos para acciones en</w:t>
            </w:r>
            <w:r w:rsidR="00F95B6E" w:rsidRPr="00A40A00">
              <w:rPr>
                <w:rFonts w:eastAsia="Calibri" w:cs="Arial"/>
                <w:noProof/>
                <w:sz w:val="18"/>
                <w:szCs w:val="18"/>
              </w:rPr>
              <w:t xml:space="preserve"> </w:t>
            </w:r>
            <w:r w:rsidRPr="00A40A00">
              <w:rPr>
                <w:rFonts w:eastAsia="Calibri" w:cs="Arial"/>
                <w:noProof/>
                <w:sz w:val="18"/>
                <w:szCs w:val="18"/>
              </w:rPr>
              <w:t>municipios con vertederos públicos mancomunados</w:t>
            </w:r>
          </w:p>
        </w:tc>
      </w:tr>
      <w:tr w:rsidR="00340E3A" w:rsidRPr="00A40A00" w14:paraId="16032985" w14:textId="77777777" w:rsidTr="00B57781"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EB50" w14:textId="77777777" w:rsidR="00340E3A" w:rsidRPr="00A40A00" w:rsidRDefault="00340E3A" w:rsidP="00340E3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noProof/>
                <w:sz w:val="18"/>
                <w:szCs w:val="18"/>
              </w:rPr>
            </w:pPr>
            <w:r w:rsidRPr="00A40A00">
              <w:rPr>
                <w:rFonts w:eastAsia="Calibri" w:cs="Arial"/>
                <w:b/>
                <w:noProof/>
                <w:sz w:val="18"/>
                <w:szCs w:val="18"/>
              </w:rPr>
              <w:t xml:space="preserve">APORTACIÓN </w:t>
            </w:r>
          </w:p>
          <w:p w14:paraId="582A5BE4" w14:textId="77777777" w:rsidR="00340E3A" w:rsidRPr="00A40A00" w:rsidRDefault="00340E3A" w:rsidP="00340E3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noProof/>
                <w:sz w:val="18"/>
                <w:szCs w:val="18"/>
              </w:rPr>
            </w:pPr>
            <w:r w:rsidRPr="00A40A00">
              <w:rPr>
                <w:rFonts w:eastAsia="Calibri" w:cs="Arial"/>
                <w:b/>
                <w:noProof/>
                <w:sz w:val="18"/>
                <w:szCs w:val="18"/>
              </w:rPr>
              <w:t xml:space="preserve">AL INTERÉS </w:t>
            </w:r>
          </w:p>
          <w:p w14:paraId="6C140F2B" w14:textId="77777777" w:rsidR="00340E3A" w:rsidRPr="00A40A00" w:rsidRDefault="00340E3A" w:rsidP="00340E3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noProof/>
                <w:sz w:val="18"/>
                <w:szCs w:val="18"/>
              </w:rPr>
            </w:pPr>
            <w:r w:rsidRPr="00A40A00">
              <w:rPr>
                <w:rFonts w:eastAsia="Calibri" w:cs="Arial"/>
                <w:b/>
                <w:noProof/>
                <w:sz w:val="18"/>
                <w:szCs w:val="18"/>
              </w:rPr>
              <w:t xml:space="preserve">GENERAL </w:t>
            </w:r>
            <w:r w:rsidRPr="00A40A00">
              <w:rPr>
                <w:rFonts w:eastAsia="Calibri" w:cs="Arial"/>
                <w:noProof/>
                <w:sz w:val="18"/>
                <w:szCs w:val="18"/>
              </w:rPr>
              <w:t>(propuestas de indemnización económica)</w:t>
            </w:r>
          </w:p>
          <w:p w14:paraId="5896E08D" w14:textId="77777777" w:rsidR="00340E3A" w:rsidRPr="00A40A00" w:rsidRDefault="00340E3A" w:rsidP="00340E3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noProof/>
                <w:sz w:val="18"/>
                <w:szCs w:val="18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6BD9" w14:textId="77777777" w:rsidR="00340E3A" w:rsidRPr="00A40A00" w:rsidRDefault="00340E3A" w:rsidP="00F95B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noProof/>
                <w:sz w:val="18"/>
                <w:szCs w:val="18"/>
              </w:rPr>
            </w:pPr>
            <w:r w:rsidRPr="00A40A00">
              <w:rPr>
                <w:rFonts w:eastAsia="Calibri" w:cs="Arial"/>
                <w:noProof/>
                <w:sz w:val="18"/>
                <w:szCs w:val="18"/>
              </w:rPr>
              <w:t>2. Equiparación del precio del suelo comunal al precio del suelo</w:t>
            </w:r>
            <w:r w:rsidR="00F95B6E" w:rsidRPr="00A40A00">
              <w:rPr>
                <w:rFonts w:eastAsia="Calibri" w:cs="Arial"/>
                <w:noProof/>
                <w:sz w:val="18"/>
                <w:szCs w:val="18"/>
              </w:rPr>
              <w:t xml:space="preserve"> </w:t>
            </w:r>
            <w:r w:rsidRPr="00A40A00">
              <w:rPr>
                <w:rFonts w:eastAsia="Calibri" w:cs="Arial"/>
                <w:noProof/>
                <w:sz w:val="18"/>
                <w:szCs w:val="18"/>
              </w:rPr>
              <w:t>público industrial del mismo municipio o del entorno</w:t>
            </w:r>
            <w:r w:rsidR="00F95B6E" w:rsidRPr="00A40A00">
              <w:rPr>
                <w:rFonts w:eastAsia="Calibri" w:cs="Arial"/>
                <w:noProof/>
                <w:sz w:val="18"/>
                <w:szCs w:val="18"/>
              </w:rPr>
              <w:t xml:space="preserve"> </w:t>
            </w:r>
            <w:r w:rsidRPr="00A40A00">
              <w:rPr>
                <w:rFonts w:eastAsia="Calibri" w:cs="Arial"/>
                <w:noProof/>
                <w:sz w:val="18"/>
                <w:szCs w:val="18"/>
              </w:rPr>
              <w:t>comparable</w:t>
            </w:r>
          </w:p>
        </w:tc>
      </w:tr>
      <w:tr w:rsidR="00340E3A" w:rsidRPr="00A40A00" w14:paraId="39FF896B" w14:textId="77777777" w:rsidTr="00B57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83F3" w14:textId="77777777" w:rsidR="00340E3A" w:rsidRPr="00A40A00" w:rsidRDefault="00340E3A" w:rsidP="00340E3A">
            <w:pPr>
              <w:spacing w:line="240" w:lineRule="auto"/>
              <w:jc w:val="left"/>
              <w:rPr>
                <w:rFonts w:eastAsia="Calibri" w:cs="Arial"/>
                <w:b/>
                <w:noProof/>
                <w:sz w:val="18"/>
                <w:szCs w:val="18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B056" w14:textId="77777777" w:rsidR="00340E3A" w:rsidRPr="00A40A00" w:rsidRDefault="00340E3A" w:rsidP="00F95B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noProof/>
                <w:sz w:val="18"/>
                <w:szCs w:val="18"/>
              </w:rPr>
            </w:pPr>
            <w:r w:rsidRPr="00A40A00">
              <w:rPr>
                <w:rFonts w:eastAsia="Calibri" w:cs="Arial"/>
                <w:noProof/>
                <w:sz w:val="18"/>
                <w:szCs w:val="18"/>
              </w:rPr>
              <w:t>3. Indemnización por el lucro cesante debido a la exención en la</w:t>
            </w:r>
            <w:r w:rsidR="00F95B6E" w:rsidRPr="00A40A00">
              <w:rPr>
                <w:rFonts w:eastAsia="Calibri" w:cs="Arial"/>
                <w:noProof/>
                <w:sz w:val="18"/>
                <w:szCs w:val="18"/>
              </w:rPr>
              <w:t xml:space="preserve"> </w:t>
            </w:r>
            <w:r w:rsidRPr="00A40A00">
              <w:rPr>
                <w:rFonts w:eastAsia="Calibri" w:cs="Arial"/>
                <w:noProof/>
                <w:sz w:val="18"/>
                <w:szCs w:val="18"/>
              </w:rPr>
              <w:t>fiscalidad municipal de las administraciones públicas y lasentidades dependientes propietarias y/o gestoras de las</w:t>
            </w:r>
            <w:r w:rsidR="00F95B6E" w:rsidRPr="00A40A00">
              <w:rPr>
                <w:rFonts w:eastAsia="Calibri" w:cs="Arial"/>
                <w:noProof/>
                <w:sz w:val="18"/>
                <w:szCs w:val="18"/>
              </w:rPr>
              <w:t xml:space="preserve"> </w:t>
            </w:r>
            <w:r w:rsidRPr="00A40A00">
              <w:rPr>
                <w:rFonts w:eastAsia="Calibri" w:cs="Arial"/>
                <w:noProof/>
                <w:sz w:val="18"/>
                <w:szCs w:val="18"/>
              </w:rPr>
              <w:t>instalaciones</w:t>
            </w:r>
          </w:p>
        </w:tc>
      </w:tr>
    </w:tbl>
    <w:p w14:paraId="488116A2" w14:textId="77777777" w:rsidR="00A40A00" w:rsidRDefault="00A40A00" w:rsidP="00340E3A">
      <w:pPr>
        <w:autoSpaceDE w:val="0"/>
        <w:autoSpaceDN w:val="0"/>
        <w:adjustRightInd w:val="0"/>
        <w:spacing w:line="240" w:lineRule="auto"/>
        <w:rPr>
          <w:rFonts w:eastAsia="Calibri" w:cs="Arial"/>
          <w:noProof/>
          <w:sz w:val="22"/>
          <w:szCs w:val="22"/>
        </w:rPr>
      </w:pPr>
    </w:p>
    <w:p w14:paraId="1EEAFEC0" w14:textId="20C9E983" w:rsidR="00A40A00" w:rsidRDefault="00D16F79" w:rsidP="00D16F79">
      <w:pPr>
        <w:autoSpaceDE w:val="0"/>
        <w:autoSpaceDN w:val="0"/>
        <w:adjustRightInd w:val="0"/>
        <w:spacing w:line="240" w:lineRule="auto"/>
        <w:rPr>
          <w:rFonts w:eastAsia="Calibri" w:cs="Arial"/>
          <w:noProof/>
          <w:sz w:val="20"/>
          <w:lang w:val="es-ES_tradnl"/>
        </w:rPr>
      </w:pPr>
      <w:r w:rsidRPr="009B10C2">
        <w:rPr>
          <w:rFonts w:eastAsia="Calibri" w:cs="Arial"/>
          <w:noProof/>
          <w:sz w:val="20"/>
          <w:vertAlign w:val="superscript"/>
        </w:rPr>
        <w:footnoteRef/>
      </w:r>
      <w:r w:rsidRPr="009B10C2">
        <w:rPr>
          <w:rFonts w:eastAsia="Calibri" w:cs="Arial"/>
          <w:noProof/>
          <w:sz w:val="20"/>
        </w:rPr>
        <w:t xml:space="preserve"> riesgo ambiental potencial derivado de que se trata de un depósito permanente de residuos en el subsuelo que,  eventualmente, pudiese  derivar en algun tipo de contaminación y que limita para siempre las posibilidades de aprovechamiento del suelo, incluso con posterioridad a la clausura del vertedero. </w:t>
      </w:r>
    </w:p>
    <w:bookmarkEnd w:id="0"/>
    <w:p w14:paraId="377F43B7" w14:textId="77777777" w:rsidR="00B477C2" w:rsidRDefault="00B477C2" w:rsidP="00B477C2">
      <w:pPr>
        <w:rPr>
          <w:rFonts w:cs="Arial"/>
        </w:rPr>
      </w:pPr>
    </w:p>
    <w:p w14:paraId="6AC73BD7" w14:textId="0DACC146" w:rsidR="00A40A00" w:rsidRDefault="00340E3A" w:rsidP="009B10C2">
      <w:pPr>
        <w:ind w:firstLine="709"/>
        <w:rPr>
          <w:rFonts w:cs="Arial"/>
        </w:rPr>
      </w:pPr>
      <w:r w:rsidRPr="00340E3A">
        <w:rPr>
          <w:rFonts w:cs="Arial"/>
        </w:rPr>
        <w:t xml:space="preserve">En junio de 2019 se propuso un borrador de </w:t>
      </w:r>
      <w:r w:rsidRPr="00340E3A">
        <w:rPr>
          <w:rFonts w:cs="Arial"/>
          <w:u w:val="single"/>
        </w:rPr>
        <w:t>Orden Foral</w:t>
      </w:r>
      <w:r w:rsidRPr="00340E3A">
        <w:rPr>
          <w:rFonts w:cs="Arial"/>
        </w:rPr>
        <w:t xml:space="preserve"> de la Consejera de Desarrollo Rural, Medio Ambiente y Administración Local, para el establecimiento del sistema de indemnización a percibir por los municipios en los que se ubican instalaciones de tratamiento de residuos, con la </w:t>
      </w:r>
      <w:r w:rsidR="00A40A00" w:rsidRPr="00340E3A">
        <w:rPr>
          <w:rFonts w:cs="Arial"/>
        </w:rPr>
        <w:t>inclusión</w:t>
      </w:r>
      <w:r w:rsidRPr="00340E3A">
        <w:rPr>
          <w:rFonts w:cs="Arial"/>
        </w:rPr>
        <w:t xml:space="preserve"> de Indemnización por </w:t>
      </w:r>
      <w:r w:rsidRPr="00340E3A">
        <w:rPr>
          <w:rFonts w:cs="Arial"/>
          <w:u w:val="single"/>
        </w:rPr>
        <w:t>Servicios Ambientales</w:t>
      </w:r>
      <w:r w:rsidRPr="00340E3A">
        <w:rPr>
          <w:rFonts w:cs="Arial"/>
        </w:rPr>
        <w:t xml:space="preserve"> (reserva anual del 5% del Fondo de Residuos) con una asignación proporcional a la superficie ocupada, ponderada por el tipo de residuo (residuo no peligroso o residuo inerte) e indemnización por </w:t>
      </w:r>
      <w:r w:rsidRPr="00340E3A">
        <w:rPr>
          <w:rFonts w:cs="Arial"/>
          <w:u w:val="single"/>
        </w:rPr>
        <w:t>aportación al interés general</w:t>
      </w:r>
      <w:r w:rsidRPr="00340E3A">
        <w:rPr>
          <w:rFonts w:cs="Arial"/>
        </w:rPr>
        <w:t xml:space="preserve"> a abonar por el titular de la instalación al municipio donde se ubique la misma basada </w:t>
      </w:r>
      <w:r w:rsidR="00CB35A7">
        <w:rPr>
          <w:rFonts w:cs="Arial"/>
        </w:rPr>
        <w:t xml:space="preserve">en dos criterios: Equiparación </w:t>
      </w:r>
      <w:r w:rsidRPr="00340E3A">
        <w:rPr>
          <w:rFonts w:cs="Arial"/>
        </w:rPr>
        <w:t xml:space="preserve">del precio del suelo comunal al precio del suelo público industrial del mismo municipio o del entorno comparable, </w:t>
      </w:r>
      <w:r w:rsidR="00A40A00">
        <w:rPr>
          <w:rFonts w:cs="Arial"/>
        </w:rPr>
        <w:t>e</w:t>
      </w:r>
      <w:r w:rsidRPr="00340E3A">
        <w:rPr>
          <w:rFonts w:cs="Arial"/>
        </w:rPr>
        <w:t xml:space="preserve"> Indemnización por el lucro cesante debido a la exención de la fiscalidad municipal a las administraciones públicas y las entidades dependientes propietarias y/o gestoras de las instalaciones.</w:t>
      </w:r>
    </w:p>
    <w:p w14:paraId="1E20C982" w14:textId="77777777" w:rsidR="00A40A00" w:rsidRDefault="00340E3A" w:rsidP="009B10C2">
      <w:pPr>
        <w:ind w:firstLine="709"/>
        <w:rPr>
          <w:rFonts w:cs="Arial"/>
        </w:rPr>
      </w:pPr>
      <w:r w:rsidRPr="00340E3A">
        <w:rPr>
          <w:rFonts w:cs="Arial"/>
        </w:rPr>
        <w:t xml:space="preserve">La Disposición Adicional Quinta de la LFR 14/2018 indica que las indemnizaciones se deberán determinar reglamentariamente, por lo que tiene que establecerse mediante </w:t>
      </w:r>
      <w:r w:rsidRPr="00340E3A">
        <w:rPr>
          <w:rFonts w:cs="Arial"/>
          <w:u w:val="single"/>
        </w:rPr>
        <w:t>Decreto Foral</w:t>
      </w:r>
      <w:r w:rsidRPr="00340E3A">
        <w:rPr>
          <w:rFonts w:cs="Arial"/>
        </w:rPr>
        <w:t>.</w:t>
      </w:r>
    </w:p>
    <w:p w14:paraId="103C8D27" w14:textId="77777777" w:rsidR="00A40A00" w:rsidRDefault="00340E3A" w:rsidP="006C3411">
      <w:pPr>
        <w:ind w:firstLine="709"/>
        <w:rPr>
          <w:rFonts w:cs="Arial"/>
        </w:rPr>
      </w:pPr>
      <w:r w:rsidRPr="00340E3A">
        <w:rPr>
          <w:rFonts w:cs="Arial"/>
        </w:rPr>
        <w:t xml:space="preserve">En octubre de </w:t>
      </w:r>
      <w:r w:rsidRPr="00340E3A">
        <w:rPr>
          <w:rFonts w:cs="Arial"/>
          <w:b/>
        </w:rPr>
        <w:t>2020</w:t>
      </w:r>
      <w:r w:rsidRPr="00340E3A">
        <w:rPr>
          <w:rFonts w:cs="Arial"/>
        </w:rPr>
        <w:t xml:space="preserve">, con la nueva legislatura, el Director del Servicio de Economía Circular y Cambio Climático solicita se inicie el procedimiento establecido para la elaboración de un </w:t>
      </w:r>
      <w:r w:rsidRPr="00340E3A">
        <w:rPr>
          <w:rFonts w:cs="Arial"/>
          <w:b/>
        </w:rPr>
        <w:t>Decreto Foral</w:t>
      </w:r>
      <w:r w:rsidRPr="00340E3A">
        <w:rPr>
          <w:rFonts w:cs="Arial"/>
        </w:rPr>
        <w:t xml:space="preserve"> que regule la Indemnización a los municipios que dispongan de infraestructuras o instalaciones de gestión de residuos. De este modo el 09 de octubre de 2020 se publicó la </w:t>
      </w:r>
      <w:r w:rsidRPr="00340E3A">
        <w:rPr>
          <w:rFonts w:cs="Arial"/>
          <w:u w:val="single"/>
        </w:rPr>
        <w:t>Orden Foral de inicio</w:t>
      </w:r>
      <w:r w:rsidRPr="00340E3A">
        <w:rPr>
          <w:rFonts w:cs="Arial"/>
        </w:rPr>
        <w:t xml:space="preserve"> de la Consejera de Desarrollo Rural y Medio Ambiente con objeto de iniciar el procedimiento para la elaboración y tramitación de un Decreto Foral que regule la indemnización a los municipios que dispongan de infraestructuras o instalaciones de gestión de residuos. El 09 de diciembre de 2020 se emitió el </w:t>
      </w:r>
      <w:r w:rsidRPr="00340E3A">
        <w:rPr>
          <w:rFonts w:cs="Arial"/>
        </w:rPr>
        <w:lastRenderedPageBreak/>
        <w:t>informe final de consulta pública previa del proyecto de decreto foral por el que se regula la indemnización a los municipios que dispongan de infraestructuras o instalaciones de gestión de residuos, tras el período de presentación de sugerencias desde el 27/10/2020 hasta 27/11/2020, indicando que no se recibieron sugerencias al respecto. En consecuencia, se procede a elaborar el texto del proyecto de decreto foral.</w:t>
      </w:r>
    </w:p>
    <w:p w14:paraId="579DC5D2" w14:textId="77777777" w:rsidR="00A40A00" w:rsidRDefault="00340E3A" w:rsidP="005B5C56">
      <w:pPr>
        <w:ind w:firstLine="709"/>
        <w:rPr>
          <w:rFonts w:cs="Arial"/>
        </w:rPr>
      </w:pPr>
      <w:r w:rsidRPr="00340E3A">
        <w:rPr>
          <w:rFonts w:cs="Arial"/>
        </w:rPr>
        <w:t xml:space="preserve">En </w:t>
      </w:r>
      <w:r w:rsidRPr="00340E3A">
        <w:rPr>
          <w:rFonts w:cs="Arial"/>
          <w:b/>
        </w:rPr>
        <w:t>2021</w:t>
      </w:r>
      <w:r w:rsidRPr="00340E3A">
        <w:rPr>
          <w:rFonts w:cs="Arial"/>
        </w:rPr>
        <w:t xml:space="preserve"> se preparó un borrador de </w:t>
      </w:r>
      <w:r w:rsidRPr="00340E3A">
        <w:rPr>
          <w:rFonts w:cs="Arial"/>
          <w:u w:val="single"/>
        </w:rPr>
        <w:t>Decreto Foral</w:t>
      </w:r>
      <w:r w:rsidRPr="00340E3A">
        <w:rPr>
          <w:rFonts w:cs="Arial"/>
        </w:rPr>
        <w:t xml:space="preserve"> con la inclusión de un algoritmo de cálculo de la cuantía de la indemnización, en base a algunos criterios:</w:t>
      </w:r>
    </w:p>
    <w:p w14:paraId="4F82B0D5" w14:textId="77777777" w:rsidR="00A40A00" w:rsidRDefault="00340E3A" w:rsidP="005B5C56">
      <w:pPr>
        <w:spacing w:after="200"/>
        <w:ind w:firstLine="708"/>
        <w:rPr>
          <w:rFonts w:eastAsia="Calibri" w:cs="Arial"/>
          <w:szCs w:val="24"/>
          <w:lang w:eastAsia="en-US"/>
        </w:rPr>
      </w:pPr>
      <w:r w:rsidRPr="00340E3A">
        <w:rPr>
          <w:rFonts w:eastAsia="Calibri" w:cs="Arial"/>
          <w:szCs w:val="24"/>
          <w:lang w:eastAsia="en-US"/>
        </w:rPr>
        <w:t xml:space="preserve">La indemnización se determinará reglamentariamente en función del </w:t>
      </w:r>
      <w:r w:rsidRPr="00340E3A">
        <w:rPr>
          <w:rFonts w:eastAsia="Calibri" w:cs="Arial"/>
          <w:b/>
          <w:szCs w:val="24"/>
          <w:lang w:eastAsia="en-US"/>
        </w:rPr>
        <w:t>dimensionamiento de las citadas instalaciones</w:t>
      </w:r>
      <w:r w:rsidRPr="00340E3A">
        <w:rPr>
          <w:rFonts w:eastAsia="Calibri" w:cs="Arial"/>
          <w:szCs w:val="24"/>
          <w:lang w:eastAsia="en-US"/>
        </w:rPr>
        <w:t xml:space="preserve"> y de la </w:t>
      </w:r>
      <w:r w:rsidRPr="00340E3A">
        <w:rPr>
          <w:rFonts w:eastAsia="Calibri" w:cs="Arial"/>
          <w:b/>
          <w:szCs w:val="24"/>
          <w:lang w:eastAsia="en-US"/>
        </w:rPr>
        <w:t>valoración</w:t>
      </w:r>
      <w:r w:rsidRPr="00340E3A">
        <w:rPr>
          <w:rFonts w:eastAsia="Calibri" w:cs="Arial"/>
          <w:szCs w:val="24"/>
          <w:lang w:eastAsia="en-US"/>
        </w:rPr>
        <w:t xml:space="preserve"> que se lleve a cabo respecto de la </w:t>
      </w:r>
      <w:r w:rsidRPr="00340E3A">
        <w:rPr>
          <w:rFonts w:eastAsia="Calibri" w:cs="Arial"/>
          <w:b/>
          <w:szCs w:val="24"/>
          <w:lang w:eastAsia="en-US"/>
        </w:rPr>
        <w:t>carga adicional social y ambiental</w:t>
      </w:r>
      <w:r w:rsidRPr="00340E3A">
        <w:rPr>
          <w:rFonts w:eastAsia="Calibri" w:cs="Arial"/>
          <w:szCs w:val="24"/>
          <w:lang w:eastAsia="en-US"/>
        </w:rPr>
        <w:t xml:space="preserve"> de estas entidades en su aportación a la correcta gestión de los residuos.</w:t>
      </w:r>
    </w:p>
    <w:p w14:paraId="35D5F379" w14:textId="5ABAE8D2" w:rsidR="00193AF6" w:rsidRPr="00193AF6" w:rsidRDefault="00193AF6" w:rsidP="00193AF6">
      <w:pPr>
        <w:tabs>
          <w:tab w:val="left" w:pos="1755"/>
        </w:tabs>
        <w:ind w:firstLine="709"/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t xml:space="preserve">El </w:t>
      </w:r>
      <w:r w:rsidRPr="00193AF6">
        <w:rPr>
          <w:rFonts w:cs="Arial"/>
          <w:b/>
          <w:color w:val="000000"/>
          <w:szCs w:val="24"/>
        </w:rPr>
        <w:t>dimensionamiento</w:t>
      </w:r>
      <w:r w:rsidRPr="00193AF6">
        <w:rPr>
          <w:rFonts w:cs="Arial"/>
          <w:color w:val="000000"/>
          <w:szCs w:val="24"/>
        </w:rPr>
        <w:t xml:space="preserve"> de las instalaciones se determinará en función del tipo de </w:t>
      </w:r>
      <w:r w:rsidRPr="00193AF6">
        <w:rPr>
          <w:rFonts w:cs="Arial"/>
          <w:b/>
          <w:color w:val="000000"/>
          <w:szCs w:val="24"/>
        </w:rPr>
        <w:t>autorización de la actividad</w:t>
      </w:r>
      <w:r w:rsidRPr="00193AF6">
        <w:rPr>
          <w:rFonts w:cs="Arial"/>
          <w:color w:val="000000"/>
          <w:szCs w:val="24"/>
        </w:rPr>
        <w:t xml:space="preserve"> (Autorización Ambiental Integrada, Autorización Ambiental Unificada, u otros tipos de Autorización). A mayor dimensión, mayor indemnización.</w:t>
      </w:r>
    </w:p>
    <w:p w14:paraId="582042A7" w14:textId="77777777" w:rsidR="00A40A00" w:rsidRDefault="00193AF6" w:rsidP="00193AF6">
      <w:pPr>
        <w:tabs>
          <w:tab w:val="left" w:pos="1755"/>
        </w:tabs>
        <w:ind w:firstLine="709"/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t xml:space="preserve">La </w:t>
      </w:r>
      <w:r w:rsidRPr="00193AF6">
        <w:rPr>
          <w:rFonts w:cs="Arial"/>
          <w:b/>
          <w:color w:val="000000"/>
          <w:szCs w:val="24"/>
        </w:rPr>
        <w:t>valoración</w:t>
      </w:r>
      <w:r w:rsidRPr="00193AF6">
        <w:rPr>
          <w:rFonts w:cs="Arial"/>
          <w:color w:val="000000"/>
          <w:szCs w:val="24"/>
        </w:rPr>
        <w:t xml:space="preserve"> de las cargas adicionales social y ambiental se determinará del modo siguiente:</w:t>
      </w:r>
    </w:p>
    <w:p w14:paraId="580F6214" w14:textId="63C6AE79" w:rsidR="00193AF6" w:rsidRPr="00193AF6" w:rsidRDefault="00193AF6" w:rsidP="00193AF6">
      <w:pPr>
        <w:tabs>
          <w:tab w:val="left" w:pos="1755"/>
        </w:tabs>
        <w:ind w:firstLine="709"/>
        <w:rPr>
          <w:rFonts w:cs="Arial"/>
          <w:color w:val="000000"/>
          <w:szCs w:val="24"/>
        </w:rPr>
      </w:pPr>
      <w:r w:rsidRPr="00193AF6">
        <w:rPr>
          <w:rFonts w:cs="Arial"/>
          <w:b/>
          <w:color w:val="000000"/>
          <w:szCs w:val="24"/>
        </w:rPr>
        <w:t xml:space="preserve">Carga adicional ambiental. </w:t>
      </w:r>
      <w:r w:rsidRPr="00193AF6">
        <w:rPr>
          <w:rFonts w:cs="Arial"/>
          <w:color w:val="000000"/>
          <w:szCs w:val="24"/>
        </w:rPr>
        <w:t>A mayor carga, mayor indemnización</w:t>
      </w:r>
    </w:p>
    <w:p w14:paraId="61326DEF" w14:textId="77777777" w:rsidR="00193AF6" w:rsidRPr="00193AF6" w:rsidRDefault="00193AF6" w:rsidP="00193AF6">
      <w:pPr>
        <w:numPr>
          <w:ilvl w:val="0"/>
          <w:numId w:val="18"/>
        </w:numPr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t xml:space="preserve">Tipo de </w:t>
      </w:r>
      <w:r w:rsidRPr="00193AF6">
        <w:rPr>
          <w:rFonts w:cs="Arial"/>
          <w:b/>
          <w:color w:val="000000"/>
          <w:szCs w:val="24"/>
        </w:rPr>
        <w:t>autorización de Gestión de residuos (G0X)</w:t>
      </w:r>
      <w:r w:rsidRPr="00193AF6">
        <w:rPr>
          <w:rFonts w:cs="Arial"/>
          <w:color w:val="000000"/>
          <w:szCs w:val="24"/>
        </w:rPr>
        <w:t xml:space="preserve">, por la que se determina si el residuo tratado es </w:t>
      </w:r>
      <w:r w:rsidRPr="00193AF6">
        <w:rPr>
          <w:rFonts w:cs="Arial"/>
          <w:b/>
          <w:color w:val="000000"/>
          <w:szCs w:val="24"/>
        </w:rPr>
        <w:t>Peligroso (RP)</w:t>
      </w:r>
      <w:r w:rsidRPr="00193AF6">
        <w:rPr>
          <w:rFonts w:cs="Arial"/>
          <w:color w:val="000000"/>
          <w:szCs w:val="24"/>
        </w:rPr>
        <w:t xml:space="preserve"> o </w:t>
      </w:r>
      <w:r w:rsidRPr="00193AF6">
        <w:rPr>
          <w:rFonts w:cs="Arial"/>
          <w:b/>
          <w:color w:val="000000"/>
          <w:szCs w:val="24"/>
        </w:rPr>
        <w:t>No Peligroso (RNP)</w:t>
      </w:r>
      <w:r w:rsidRPr="00193AF6">
        <w:rPr>
          <w:rFonts w:cs="Arial"/>
          <w:color w:val="000000"/>
          <w:szCs w:val="24"/>
        </w:rPr>
        <w:t>:</w:t>
      </w:r>
    </w:p>
    <w:p w14:paraId="66B04D67" w14:textId="77777777" w:rsidR="00193AF6" w:rsidRPr="00193AF6" w:rsidRDefault="00193AF6" w:rsidP="00193AF6">
      <w:pPr>
        <w:numPr>
          <w:ilvl w:val="0"/>
          <w:numId w:val="18"/>
        </w:numPr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t xml:space="preserve">Tipo de </w:t>
      </w:r>
      <w:r w:rsidRPr="00193AF6">
        <w:rPr>
          <w:rFonts w:cs="Arial"/>
          <w:b/>
          <w:color w:val="000000"/>
          <w:szCs w:val="24"/>
        </w:rPr>
        <w:t>tratamiento</w:t>
      </w:r>
      <w:r w:rsidRPr="00193AF6">
        <w:rPr>
          <w:rFonts w:cs="Arial"/>
          <w:color w:val="000000"/>
          <w:szCs w:val="24"/>
        </w:rPr>
        <w:t xml:space="preserve"> realizado:</w:t>
      </w:r>
    </w:p>
    <w:p w14:paraId="1496519F" w14:textId="77777777" w:rsidR="00193AF6" w:rsidRPr="00193AF6" w:rsidRDefault="00193AF6" w:rsidP="00A40A00">
      <w:pPr>
        <w:numPr>
          <w:ilvl w:val="1"/>
          <w:numId w:val="21"/>
        </w:numPr>
        <w:rPr>
          <w:rFonts w:cs="Arial"/>
          <w:b/>
          <w:color w:val="000000"/>
          <w:szCs w:val="24"/>
        </w:rPr>
      </w:pPr>
      <w:r w:rsidRPr="00193AF6">
        <w:rPr>
          <w:rFonts w:cs="Arial"/>
          <w:b/>
          <w:color w:val="000000"/>
          <w:szCs w:val="24"/>
        </w:rPr>
        <w:t>Valorización (R)</w:t>
      </w:r>
    </w:p>
    <w:p w14:paraId="65C5F522" w14:textId="77777777" w:rsidR="00193AF6" w:rsidRPr="00193AF6" w:rsidRDefault="00193AF6" w:rsidP="00A40A00">
      <w:pPr>
        <w:numPr>
          <w:ilvl w:val="1"/>
          <w:numId w:val="21"/>
        </w:numPr>
        <w:rPr>
          <w:rFonts w:cs="Arial"/>
          <w:b/>
          <w:color w:val="000000"/>
          <w:szCs w:val="24"/>
        </w:rPr>
      </w:pPr>
      <w:r w:rsidRPr="00193AF6">
        <w:rPr>
          <w:rFonts w:cs="Arial"/>
          <w:b/>
          <w:color w:val="000000"/>
          <w:szCs w:val="24"/>
        </w:rPr>
        <w:t>Eliminación (D)</w:t>
      </w:r>
    </w:p>
    <w:p w14:paraId="5AF65372" w14:textId="77777777" w:rsidR="00A40A00" w:rsidRDefault="00193AF6" w:rsidP="006F6917">
      <w:pPr>
        <w:numPr>
          <w:ilvl w:val="0"/>
          <w:numId w:val="18"/>
        </w:numPr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t xml:space="preserve">Tipo de </w:t>
      </w:r>
      <w:r w:rsidRPr="00193AF6">
        <w:rPr>
          <w:rFonts w:cs="Arial"/>
          <w:b/>
          <w:color w:val="000000"/>
          <w:szCs w:val="24"/>
        </w:rPr>
        <w:t xml:space="preserve">operación </w:t>
      </w:r>
      <w:r w:rsidRPr="00193AF6">
        <w:rPr>
          <w:rFonts w:cs="Arial"/>
          <w:color w:val="000000"/>
          <w:szCs w:val="24"/>
        </w:rPr>
        <w:t>realizada, en función de su posición en la jerarquía de residuos.</w:t>
      </w:r>
    </w:p>
    <w:p w14:paraId="4BB56B4D" w14:textId="68A9F3AE" w:rsidR="00193AF6" w:rsidRPr="00193AF6" w:rsidRDefault="00193AF6" w:rsidP="00193AF6">
      <w:pPr>
        <w:tabs>
          <w:tab w:val="left" w:pos="1755"/>
        </w:tabs>
        <w:ind w:firstLine="709"/>
        <w:rPr>
          <w:rFonts w:cs="Arial"/>
          <w:color w:val="000000"/>
          <w:szCs w:val="24"/>
        </w:rPr>
      </w:pPr>
      <w:r w:rsidRPr="00193AF6">
        <w:rPr>
          <w:rFonts w:cs="Arial"/>
          <w:b/>
          <w:color w:val="000000"/>
          <w:szCs w:val="24"/>
        </w:rPr>
        <w:t xml:space="preserve">Carga adicional social. </w:t>
      </w:r>
      <w:r w:rsidRPr="00193AF6">
        <w:rPr>
          <w:rFonts w:cs="Arial"/>
          <w:color w:val="000000"/>
          <w:szCs w:val="24"/>
        </w:rPr>
        <w:t>A mayor carga, mayor indemnización</w:t>
      </w:r>
    </w:p>
    <w:p w14:paraId="09E237E0" w14:textId="77777777" w:rsidR="00193AF6" w:rsidRPr="00193AF6" w:rsidRDefault="00193AF6" w:rsidP="006F6917">
      <w:pPr>
        <w:numPr>
          <w:ilvl w:val="0"/>
          <w:numId w:val="20"/>
        </w:numPr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t xml:space="preserve">Tamaño del municipio en el que se encuentra la instalación: </w:t>
      </w:r>
      <w:r w:rsidRPr="00193AF6">
        <w:rPr>
          <w:rFonts w:cs="Arial"/>
          <w:b/>
          <w:color w:val="000000"/>
          <w:szCs w:val="24"/>
        </w:rPr>
        <w:t>Habitantes afectados</w:t>
      </w:r>
    </w:p>
    <w:p w14:paraId="46864A1E" w14:textId="77777777" w:rsidR="00193AF6" w:rsidRPr="00193AF6" w:rsidRDefault="00193AF6" w:rsidP="006F6917">
      <w:pPr>
        <w:numPr>
          <w:ilvl w:val="0"/>
          <w:numId w:val="20"/>
        </w:numPr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t xml:space="preserve">Servicio prestado: </w:t>
      </w:r>
      <w:r w:rsidRPr="00193AF6">
        <w:rPr>
          <w:rFonts w:cs="Arial"/>
          <w:b/>
          <w:color w:val="000000"/>
          <w:szCs w:val="24"/>
        </w:rPr>
        <w:t>Habitantes a los que da servicio la instalación</w:t>
      </w:r>
      <w:r w:rsidRPr="00193AF6">
        <w:rPr>
          <w:rFonts w:cs="Arial"/>
          <w:color w:val="000000"/>
          <w:szCs w:val="24"/>
        </w:rPr>
        <w:t>:</w:t>
      </w:r>
    </w:p>
    <w:p w14:paraId="28D62E27" w14:textId="77777777" w:rsidR="00193AF6" w:rsidRPr="00193AF6" w:rsidRDefault="00193AF6" w:rsidP="00A40A00">
      <w:pPr>
        <w:numPr>
          <w:ilvl w:val="1"/>
          <w:numId w:val="22"/>
        </w:numPr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lastRenderedPageBreak/>
        <w:t>Instalaciones de tratamiento/almacenamiento de residuos domésticos y comerciales: en función de las mancomunidades de residuos a las que dan servicio</w:t>
      </w:r>
    </w:p>
    <w:p w14:paraId="19835445" w14:textId="77777777" w:rsidR="00A40A00" w:rsidRDefault="00193AF6" w:rsidP="00A40A00">
      <w:pPr>
        <w:numPr>
          <w:ilvl w:val="1"/>
          <w:numId w:val="22"/>
        </w:numPr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t>Instalaciones de tratamiento/almacenamiento del resto de flujos de residuos: población de Navarra repartida entre el número de instalaciones de Navarra con un mismo proceso</w:t>
      </w:r>
    </w:p>
    <w:p w14:paraId="1BF2673B" w14:textId="36EC1235" w:rsidR="00193AF6" w:rsidRPr="00193AF6" w:rsidRDefault="00193AF6" w:rsidP="00193AF6">
      <w:pPr>
        <w:tabs>
          <w:tab w:val="left" w:pos="1755"/>
        </w:tabs>
        <w:ind w:firstLine="709"/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t xml:space="preserve">A posteriori, la Secretaría General Técnica determinó, que al tratarse de gravámenes (impuesto, tasa, …), no podía ser establecido mediante decreto foral, sino que requería que se aprobara su imposición mediante una ley, </w:t>
      </w:r>
      <w:r w:rsidR="000679FD" w:rsidRPr="000679FD">
        <w:rPr>
          <w:rFonts w:cs="Arial"/>
          <w:color w:val="000000"/>
          <w:szCs w:val="24"/>
        </w:rPr>
        <w:t>que transcendía a las competencias de la Dirección General de Medio Ambiente.</w:t>
      </w:r>
    </w:p>
    <w:p w14:paraId="71E02E3B" w14:textId="7D6D4FFA" w:rsidR="00A40A00" w:rsidRPr="00944D5C" w:rsidRDefault="00193AF6" w:rsidP="00944D5C">
      <w:pPr>
        <w:pStyle w:val="Prrafodelista"/>
        <w:numPr>
          <w:ilvl w:val="0"/>
          <w:numId w:val="22"/>
        </w:numPr>
        <w:tabs>
          <w:tab w:val="left" w:pos="1755"/>
        </w:tabs>
        <w:rPr>
          <w:rFonts w:cs="Arial"/>
          <w:b/>
          <w:color w:val="000000"/>
        </w:rPr>
      </w:pPr>
      <w:r w:rsidRPr="00944D5C">
        <w:rPr>
          <w:rFonts w:cs="Arial"/>
          <w:b/>
          <w:color w:val="000000"/>
        </w:rPr>
        <w:t>¿Para cuándo tiene previsto el Gobierno proceder a este desarrollo reglamentario actuaciones ha hecho el Gobierno para dar cumplimiento a esta sentencia que le obligaba a la “mayor brevedad”, y en todo caso en el plazo de un año desde que se dictó a elaborar los preceptivos planes de calidad del aire para la mejora del nivel de ozono en la Ribera?</w:t>
      </w:r>
    </w:p>
    <w:p w14:paraId="6A5D95F7" w14:textId="77777777" w:rsidR="00A40A00" w:rsidRDefault="00193AF6" w:rsidP="00193AF6">
      <w:pPr>
        <w:tabs>
          <w:tab w:val="left" w:pos="1755"/>
        </w:tabs>
        <w:ind w:firstLine="709"/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t>La pregunta no está bien formulada por lo que no podemos dar respuesta. Agradeceríamos formulara la pregunta de nuevo para poder dar respuesta por nuestra parte.</w:t>
      </w:r>
    </w:p>
    <w:p w14:paraId="291012A2" w14:textId="4BC76EF9" w:rsidR="00A40A00" w:rsidRPr="00944D5C" w:rsidRDefault="00193AF6" w:rsidP="00944D5C">
      <w:pPr>
        <w:pStyle w:val="Prrafodelista"/>
        <w:numPr>
          <w:ilvl w:val="0"/>
          <w:numId w:val="22"/>
        </w:numPr>
        <w:tabs>
          <w:tab w:val="left" w:pos="1755"/>
        </w:tabs>
        <w:rPr>
          <w:rFonts w:cs="Arial"/>
          <w:b/>
          <w:color w:val="000000"/>
        </w:rPr>
      </w:pPr>
      <w:r w:rsidRPr="00944D5C">
        <w:rPr>
          <w:rFonts w:cs="Arial"/>
          <w:b/>
          <w:color w:val="000000"/>
        </w:rPr>
        <w:t>¿Qué municipios considera el Gobierno que podrían ser beneficiarios de esas indemnizaciones por albergar en su término municipal instalaciones o infraestructuras de gestión de residuos?</w:t>
      </w:r>
    </w:p>
    <w:p w14:paraId="02F2FDFC" w14:textId="77777777" w:rsidR="00A40A00" w:rsidRDefault="00193AF6" w:rsidP="00E14C0F">
      <w:pPr>
        <w:tabs>
          <w:tab w:val="left" w:pos="1755"/>
        </w:tabs>
        <w:spacing w:line="240" w:lineRule="auto"/>
        <w:ind w:firstLine="709"/>
        <w:rPr>
          <w:rFonts w:cs="Arial"/>
          <w:color w:val="000000"/>
          <w:szCs w:val="24"/>
        </w:rPr>
      </w:pPr>
      <w:r w:rsidRPr="00193AF6">
        <w:rPr>
          <w:rFonts w:cs="Arial"/>
          <w:color w:val="000000"/>
          <w:szCs w:val="24"/>
        </w:rPr>
        <w:t xml:space="preserve">Como se ha explicado en la respuesta al primer apartado, no se ha llegado a determinar el listado de municipios afectados. En 2019, al estar limitada la indemnización a municipios con vertederos públicos, el listado se reducía a cuatro vertederos y por tanto a cuatro municipios: Tudela, </w:t>
      </w:r>
      <w:proofErr w:type="spellStart"/>
      <w:r w:rsidRPr="00193AF6">
        <w:rPr>
          <w:rFonts w:cs="Arial"/>
          <w:color w:val="000000"/>
          <w:szCs w:val="24"/>
        </w:rPr>
        <w:t>Cárcar</w:t>
      </w:r>
      <w:proofErr w:type="spellEnd"/>
      <w:r w:rsidRPr="00193AF6">
        <w:rPr>
          <w:rFonts w:cs="Arial"/>
          <w:color w:val="000000"/>
          <w:szCs w:val="24"/>
        </w:rPr>
        <w:t>, Arbizu y Aranguren. En 2021, al considerar todo tipo de instalaciones de gestión de residuos, el número ascendía a 208 instalaciones, en 80 municipios.</w:t>
      </w:r>
    </w:p>
    <w:p w14:paraId="747322C5" w14:textId="689A2780" w:rsidR="00A40A00" w:rsidRDefault="00A56CCF" w:rsidP="00A56CCF">
      <w:pPr>
        <w:ind w:firstLine="540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 xml:space="preserve">Es cuanto tengo el honor de informar </w:t>
      </w:r>
      <w:r w:rsidR="00BF37AF">
        <w:rPr>
          <w:rFonts w:cs="Arial"/>
          <w:color w:val="000000"/>
          <w:szCs w:val="24"/>
        </w:rPr>
        <w:t>en cumplimiento del artículo 215</w:t>
      </w:r>
      <w:r>
        <w:rPr>
          <w:rFonts w:cs="Arial"/>
          <w:color w:val="000000"/>
          <w:szCs w:val="24"/>
        </w:rPr>
        <w:t xml:space="preserve"> </w:t>
      </w:r>
      <w:r w:rsidRPr="00A56CCF">
        <w:rPr>
          <w:rFonts w:cs="Arial"/>
          <w:color w:val="000000"/>
          <w:szCs w:val="24"/>
        </w:rPr>
        <w:t>del Reglamento del Parlamento de Navarra</w:t>
      </w:r>
    </w:p>
    <w:p w14:paraId="164D5525" w14:textId="099307AD" w:rsidR="00A40A00" w:rsidRDefault="00A56CCF" w:rsidP="00697CA3">
      <w:pPr>
        <w:jc w:val="center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 xml:space="preserve">En </w:t>
      </w:r>
      <w:r w:rsidR="00934199" w:rsidRPr="00A56CCF">
        <w:rPr>
          <w:rFonts w:cs="Arial"/>
          <w:color w:val="000000"/>
          <w:szCs w:val="24"/>
        </w:rPr>
        <w:t xml:space="preserve">Pamplona, </w:t>
      </w:r>
      <w:r w:rsidR="00E14C0F">
        <w:rPr>
          <w:rFonts w:cs="Arial"/>
          <w:color w:val="000000"/>
          <w:szCs w:val="24"/>
        </w:rPr>
        <w:t>12</w:t>
      </w:r>
      <w:r w:rsidR="00934199" w:rsidRPr="00A56CCF">
        <w:rPr>
          <w:rFonts w:cs="Arial"/>
          <w:color w:val="000000"/>
          <w:szCs w:val="24"/>
        </w:rPr>
        <w:t xml:space="preserve"> de </w:t>
      </w:r>
      <w:r w:rsidR="003B7973">
        <w:rPr>
          <w:rFonts w:cs="Arial"/>
          <w:color w:val="000000"/>
          <w:szCs w:val="24"/>
        </w:rPr>
        <w:t>febrero</w:t>
      </w:r>
      <w:r w:rsidRPr="00A56CCF">
        <w:rPr>
          <w:rFonts w:cs="Arial"/>
          <w:color w:val="000000"/>
          <w:szCs w:val="24"/>
        </w:rPr>
        <w:t xml:space="preserve"> </w:t>
      </w:r>
      <w:r w:rsidR="00697CA3">
        <w:rPr>
          <w:rFonts w:cs="Arial"/>
          <w:color w:val="000000"/>
          <w:szCs w:val="24"/>
        </w:rPr>
        <w:t>de 202</w:t>
      </w:r>
      <w:r w:rsidR="003F6512">
        <w:rPr>
          <w:rFonts w:cs="Arial"/>
          <w:color w:val="000000"/>
          <w:szCs w:val="24"/>
        </w:rPr>
        <w:t>4</w:t>
      </w:r>
    </w:p>
    <w:p w14:paraId="74714365" w14:textId="3EB0595E" w:rsidR="00D77C2F" w:rsidRPr="00E07A7D" w:rsidRDefault="00A40A00" w:rsidP="00E14C0F">
      <w:pPr>
        <w:ind w:firstLine="540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El</w:t>
      </w:r>
      <w:r w:rsidRPr="00B07455">
        <w:rPr>
          <w:rFonts w:cs="Arial"/>
          <w:color w:val="000000"/>
          <w:szCs w:val="24"/>
        </w:rPr>
        <w:t xml:space="preserve"> Consejer</w:t>
      </w:r>
      <w:r>
        <w:rPr>
          <w:rFonts w:cs="Arial"/>
          <w:color w:val="000000"/>
          <w:szCs w:val="24"/>
        </w:rPr>
        <w:t>o</w:t>
      </w:r>
      <w:r w:rsidRPr="00B07455">
        <w:rPr>
          <w:rFonts w:cs="Arial"/>
          <w:color w:val="000000"/>
          <w:szCs w:val="24"/>
        </w:rPr>
        <w:t xml:space="preserve"> de Desarrollo Rural y Medio Ambiente</w:t>
      </w:r>
      <w:r>
        <w:rPr>
          <w:rFonts w:cs="Arial"/>
          <w:color w:val="000000"/>
          <w:szCs w:val="24"/>
        </w:rPr>
        <w:t>:</w:t>
      </w:r>
      <w:r w:rsidRPr="008F46DB">
        <w:rPr>
          <w:rFonts w:cs="Arial"/>
          <w:color w:val="000000"/>
          <w:szCs w:val="24"/>
        </w:rPr>
        <w:t xml:space="preserve"> </w:t>
      </w:r>
      <w:r w:rsidR="0083638A" w:rsidRPr="008F46DB">
        <w:rPr>
          <w:rFonts w:cs="Arial"/>
          <w:color w:val="000000"/>
          <w:szCs w:val="24"/>
        </w:rPr>
        <w:t xml:space="preserve">José María </w:t>
      </w:r>
      <w:proofErr w:type="spellStart"/>
      <w:r w:rsidR="0083638A" w:rsidRPr="008F46DB">
        <w:rPr>
          <w:rFonts w:cs="Arial"/>
          <w:color w:val="000000"/>
          <w:szCs w:val="24"/>
        </w:rPr>
        <w:t>Ai</w:t>
      </w:r>
      <w:r w:rsidR="0083638A">
        <w:rPr>
          <w:rFonts w:cs="Arial"/>
          <w:color w:val="000000"/>
          <w:szCs w:val="24"/>
        </w:rPr>
        <w:t>erdi</w:t>
      </w:r>
      <w:proofErr w:type="spellEnd"/>
      <w:r w:rsidR="0083638A">
        <w:rPr>
          <w:rFonts w:cs="Arial"/>
          <w:color w:val="000000"/>
          <w:szCs w:val="24"/>
        </w:rPr>
        <w:t xml:space="preserve"> Fernández de Barrena</w:t>
      </w:r>
    </w:p>
    <w:sectPr w:rsidR="00D77C2F" w:rsidRPr="00E07A7D" w:rsidSect="00A40A00">
      <w:headerReference w:type="default" r:id="rId7"/>
      <w:footerReference w:type="even" r:id="rId8"/>
      <w:pgSz w:w="11906" w:h="16838" w:code="9"/>
      <w:pgMar w:top="1702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3A860" w14:textId="77777777" w:rsidR="001C2465" w:rsidRDefault="001C2465" w:rsidP="00381BB8">
      <w:pPr>
        <w:pStyle w:val="Encabezado"/>
      </w:pPr>
      <w:r>
        <w:separator/>
      </w:r>
    </w:p>
  </w:endnote>
  <w:endnote w:type="continuationSeparator" w:id="0">
    <w:p w14:paraId="47D9AB84" w14:textId="77777777" w:rsidR="001C2465" w:rsidRDefault="001C2465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05E13" w14:textId="77777777" w:rsidR="00514ED6" w:rsidRDefault="007D07D2">
    <w:pPr>
      <w:pStyle w:val="Piedepgina"/>
    </w:pPr>
    <w:r w:rsidRPr="00514ED6">
      <w:rPr>
        <w:rStyle w:val="Nmerodepgina"/>
        <w:rFonts w:cs="Arial"/>
      </w:rPr>
      <w:fldChar w:fldCharType="begin"/>
    </w:r>
    <w:r w:rsidR="00514ED6"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="00514ED6" w:rsidRPr="00514ED6">
      <w:rPr>
        <w:rStyle w:val="Nmerodepgina"/>
        <w:rFonts w:cs="Arial"/>
      </w:rPr>
      <w:t>/</w:t>
    </w:r>
    <w:r w:rsidRPr="00514ED6">
      <w:rPr>
        <w:rStyle w:val="Nmerodepgina"/>
        <w:rFonts w:cs="Arial"/>
      </w:rPr>
      <w:fldChar w:fldCharType="begin"/>
    </w:r>
    <w:r w:rsidR="00514ED6"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CB35A7">
      <w:rPr>
        <w:rStyle w:val="Nmerodepgina"/>
        <w:rFonts w:cs="Arial"/>
        <w:noProof/>
      </w:rPr>
      <w:t>5</w:t>
    </w:r>
    <w:r w:rsidRPr="00514ED6">
      <w:rPr>
        <w:rStyle w:val="Nmerodepgina"/>
        <w:rFonts w:cs="Arial"/>
      </w:rPr>
      <w:fldChar w:fldCharType="end"/>
    </w:r>
    <w:r w:rsidR="00741256">
      <w:rPr>
        <w:rStyle w:val="Nmerodepgina"/>
        <w:rFonts w:cs="Arial"/>
      </w:rPr>
      <w:t xml:space="preserve"> </w:t>
    </w:r>
    <w:r w:rsidR="00514ED6" w:rsidRPr="00514ED6">
      <w:rPr>
        <w:rStyle w:val="Nmerodepgina"/>
        <w:rFonts w:cs="Arial"/>
      </w:rPr>
      <w:tab/>
    </w:r>
    <w:r w:rsidR="00514ED6" w:rsidRPr="00514ED6">
      <w:rPr>
        <w:rStyle w:val="Nmerodepgina"/>
        <w:rFonts w:cs="Arial"/>
      </w:rPr>
      <w:tab/>
    </w:r>
    <w:r w:rsidR="00203FAC">
      <w:rPr>
        <w:rStyle w:val="Nmerodepgina"/>
        <w:rFonts w:cs="Arial"/>
      </w:rPr>
      <w:t>Q1</w:t>
    </w:r>
    <w:r w:rsidR="00DF10FC">
      <w:rPr>
        <w:rStyle w:val="Nmerodepgina"/>
        <w:rFonts w:cs="Arial"/>
      </w:rPr>
      <w:t>9/</w:t>
    </w:r>
    <w:proofErr w:type="spellStart"/>
    <w:r w:rsidR="008E5BBA" w:rsidRPr="008E5BBA">
      <w:rPr>
        <w:rStyle w:val="Nmerodepgina"/>
        <w:rFonts w:cs="Arial"/>
        <w:highlight w:val="yellow"/>
      </w:rPr>
      <w:t>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4F187" w14:textId="77777777" w:rsidR="001C2465" w:rsidRDefault="001C2465" w:rsidP="00381BB8">
      <w:pPr>
        <w:pStyle w:val="Encabezado"/>
      </w:pPr>
      <w:r>
        <w:separator/>
      </w:r>
    </w:p>
  </w:footnote>
  <w:footnote w:type="continuationSeparator" w:id="0">
    <w:p w14:paraId="7BC3DF01" w14:textId="77777777" w:rsidR="001C2465" w:rsidRDefault="001C2465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10F11" w14:textId="3791648A" w:rsidR="00797AF9" w:rsidRDefault="00797AF9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E78E3"/>
    <w:multiLevelType w:val="hybridMultilevel"/>
    <w:tmpl w:val="75E43B76"/>
    <w:lvl w:ilvl="0" w:tplc="A8E6F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4FE5"/>
    <w:multiLevelType w:val="hybridMultilevel"/>
    <w:tmpl w:val="44306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5B90F27"/>
    <w:multiLevelType w:val="hybridMultilevel"/>
    <w:tmpl w:val="642E99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 w15:restartNumberingAfterBreak="0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FA7B55"/>
    <w:multiLevelType w:val="hybridMultilevel"/>
    <w:tmpl w:val="46DCE10C"/>
    <w:lvl w:ilvl="0" w:tplc="2B2CA8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FD761D"/>
    <w:multiLevelType w:val="hybridMultilevel"/>
    <w:tmpl w:val="27AEB5C4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D22866"/>
    <w:multiLevelType w:val="hybridMultilevel"/>
    <w:tmpl w:val="9EC2E500"/>
    <w:lvl w:ilvl="0" w:tplc="18E68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62038731">
    <w:abstractNumId w:val="10"/>
  </w:num>
  <w:num w:numId="2" w16cid:durableId="837114076">
    <w:abstractNumId w:val="5"/>
  </w:num>
  <w:num w:numId="3" w16cid:durableId="1382173156">
    <w:abstractNumId w:val="12"/>
  </w:num>
  <w:num w:numId="4" w16cid:durableId="484400160">
    <w:abstractNumId w:val="19"/>
  </w:num>
  <w:num w:numId="5" w16cid:durableId="1441874847">
    <w:abstractNumId w:val="1"/>
  </w:num>
  <w:num w:numId="6" w16cid:durableId="2123762925">
    <w:abstractNumId w:val="18"/>
  </w:num>
  <w:num w:numId="7" w16cid:durableId="1419865286">
    <w:abstractNumId w:val="8"/>
  </w:num>
  <w:num w:numId="8" w16cid:durableId="1265840942">
    <w:abstractNumId w:val="6"/>
  </w:num>
  <w:num w:numId="9" w16cid:durableId="1767116808">
    <w:abstractNumId w:val="9"/>
  </w:num>
  <w:num w:numId="10" w16cid:durableId="18539564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29158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9262689">
    <w:abstractNumId w:val="21"/>
  </w:num>
  <w:num w:numId="13" w16cid:durableId="1558935605">
    <w:abstractNumId w:val="2"/>
  </w:num>
  <w:num w:numId="14" w16cid:durableId="1718509868">
    <w:abstractNumId w:val="16"/>
  </w:num>
  <w:num w:numId="15" w16cid:durableId="1964651790">
    <w:abstractNumId w:val="0"/>
  </w:num>
  <w:num w:numId="16" w16cid:durableId="1541551131">
    <w:abstractNumId w:val="13"/>
  </w:num>
  <w:num w:numId="17" w16cid:durableId="718437530">
    <w:abstractNumId w:val="15"/>
  </w:num>
  <w:num w:numId="18" w16cid:durableId="770779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612379">
    <w:abstractNumId w:val="3"/>
  </w:num>
  <w:num w:numId="20" w16cid:durableId="72498997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62685406">
    <w:abstractNumId w:val="17"/>
  </w:num>
  <w:num w:numId="22" w16cid:durableId="1955597243">
    <w:abstractNumId w:val="7"/>
  </w:num>
  <w:num w:numId="23" w16cid:durableId="14648083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73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4373"/>
    <w:rsid w:val="00014944"/>
    <w:rsid w:val="00015583"/>
    <w:rsid w:val="0002079F"/>
    <w:rsid w:val="00023B6B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679FD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B2B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5709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3AF6"/>
    <w:rsid w:val="00195645"/>
    <w:rsid w:val="001A07E1"/>
    <w:rsid w:val="001A0E52"/>
    <w:rsid w:val="001A0F7D"/>
    <w:rsid w:val="001A2B69"/>
    <w:rsid w:val="001A3067"/>
    <w:rsid w:val="001A3360"/>
    <w:rsid w:val="001A4476"/>
    <w:rsid w:val="001A4667"/>
    <w:rsid w:val="001A53CA"/>
    <w:rsid w:val="001A5E65"/>
    <w:rsid w:val="001A5FA3"/>
    <w:rsid w:val="001A6369"/>
    <w:rsid w:val="001A735A"/>
    <w:rsid w:val="001B001A"/>
    <w:rsid w:val="001B098B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65"/>
    <w:rsid w:val="001C24FF"/>
    <w:rsid w:val="001C2BBF"/>
    <w:rsid w:val="001C3536"/>
    <w:rsid w:val="001C4095"/>
    <w:rsid w:val="001C532D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4389"/>
    <w:rsid w:val="001F50D5"/>
    <w:rsid w:val="002028A8"/>
    <w:rsid w:val="00203FAC"/>
    <w:rsid w:val="00206AA2"/>
    <w:rsid w:val="00206DCB"/>
    <w:rsid w:val="00206FD4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37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70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482"/>
    <w:rsid w:val="002E28D9"/>
    <w:rsid w:val="002E2EC9"/>
    <w:rsid w:val="002E4D0E"/>
    <w:rsid w:val="002E5DFE"/>
    <w:rsid w:val="002E5E96"/>
    <w:rsid w:val="002F068D"/>
    <w:rsid w:val="002F2049"/>
    <w:rsid w:val="002F227B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58C1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923"/>
    <w:rsid w:val="00337ABB"/>
    <w:rsid w:val="00337E69"/>
    <w:rsid w:val="00340086"/>
    <w:rsid w:val="00340352"/>
    <w:rsid w:val="00340E3A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4BA4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B7973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6512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1FA"/>
    <w:rsid w:val="00415CB1"/>
    <w:rsid w:val="0041642D"/>
    <w:rsid w:val="00417309"/>
    <w:rsid w:val="00420B84"/>
    <w:rsid w:val="0042685B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69B7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B42"/>
    <w:rsid w:val="004D136E"/>
    <w:rsid w:val="004D2447"/>
    <w:rsid w:val="004D2A72"/>
    <w:rsid w:val="004D2E16"/>
    <w:rsid w:val="004D3AC7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0040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4857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4E55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B5C56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194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278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97CA3"/>
    <w:rsid w:val="006A0343"/>
    <w:rsid w:val="006A2E99"/>
    <w:rsid w:val="006A34AF"/>
    <w:rsid w:val="006A3FA5"/>
    <w:rsid w:val="006A4770"/>
    <w:rsid w:val="006A687C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3411"/>
    <w:rsid w:val="006C42A5"/>
    <w:rsid w:val="006C45CA"/>
    <w:rsid w:val="006C5892"/>
    <w:rsid w:val="006C66A1"/>
    <w:rsid w:val="006C7E03"/>
    <w:rsid w:val="006D21B5"/>
    <w:rsid w:val="006D27FB"/>
    <w:rsid w:val="006D31C8"/>
    <w:rsid w:val="006D53FB"/>
    <w:rsid w:val="006D62A9"/>
    <w:rsid w:val="006D6EBB"/>
    <w:rsid w:val="006D7A0E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6F6917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FD3"/>
    <w:rsid w:val="00781AC1"/>
    <w:rsid w:val="00783066"/>
    <w:rsid w:val="0078384C"/>
    <w:rsid w:val="00784381"/>
    <w:rsid w:val="00784DDB"/>
    <w:rsid w:val="007863C9"/>
    <w:rsid w:val="00786DE2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E6"/>
    <w:rsid w:val="007D07D2"/>
    <w:rsid w:val="007D1C77"/>
    <w:rsid w:val="007D1F81"/>
    <w:rsid w:val="007D21FF"/>
    <w:rsid w:val="007D48BE"/>
    <w:rsid w:val="007D4D40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638A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5874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6B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99A"/>
    <w:rsid w:val="00940D3C"/>
    <w:rsid w:val="00941757"/>
    <w:rsid w:val="00941C84"/>
    <w:rsid w:val="00942310"/>
    <w:rsid w:val="00942866"/>
    <w:rsid w:val="00943F91"/>
    <w:rsid w:val="00944421"/>
    <w:rsid w:val="00944D5C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0C2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4934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3ADE"/>
    <w:rsid w:val="00A15A8F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0A00"/>
    <w:rsid w:val="00A413F7"/>
    <w:rsid w:val="00A415C2"/>
    <w:rsid w:val="00A4258D"/>
    <w:rsid w:val="00A42FB5"/>
    <w:rsid w:val="00A43B4F"/>
    <w:rsid w:val="00A447B7"/>
    <w:rsid w:val="00A45836"/>
    <w:rsid w:val="00A466BB"/>
    <w:rsid w:val="00A503D1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67E4"/>
    <w:rsid w:val="00B07455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477C2"/>
    <w:rsid w:val="00B507A5"/>
    <w:rsid w:val="00B50AE5"/>
    <w:rsid w:val="00B538B3"/>
    <w:rsid w:val="00B577B7"/>
    <w:rsid w:val="00B579B2"/>
    <w:rsid w:val="00B57EDE"/>
    <w:rsid w:val="00B60635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7B5"/>
    <w:rsid w:val="00B849D0"/>
    <w:rsid w:val="00B852FD"/>
    <w:rsid w:val="00B852FF"/>
    <w:rsid w:val="00B874C8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16C8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7EFA"/>
    <w:rsid w:val="00BF059D"/>
    <w:rsid w:val="00BF079E"/>
    <w:rsid w:val="00BF08FA"/>
    <w:rsid w:val="00BF31A5"/>
    <w:rsid w:val="00BF37AF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3BB1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2E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35A7"/>
    <w:rsid w:val="00CB789F"/>
    <w:rsid w:val="00CB79FC"/>
    <w:rsid w:val="00CC1577"/>
    <w:rsid w:val="00CC16FE"/>
    <w:rsid w:val="00CC1DC3"/>
    <w:rsid w:val="00CC329D"/>
    <w:rsid w:val="00CC3C30"/>
    <w:rsid w:val="00CC462A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16F79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504FD"/>
    <w:rsid w:val="00D5066C"/>
    <w:rsid w:val="00D507AF"/>
    <w:rsid w:val="00D508A0"/>
    <w:rsid w:val="00D562CE"/>
    <w:rsid w:val="00D61671"/>
    <w:rsid w:val="00D61F69"/>
    <w:rsid w:val="00D622EF"/>
    <w:rsid w:val="00D625C7"/>
    <w:rsid w:val="00D62F97"/>
    <w:rsid w:val="00D63D2F"/>
    <w:rsid w:val="00D65545"/>
    <w:rsid w:val="00D6750A"/>
    <w:rsid w:val="00D7136C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6B9"/>
    <w:rsid w:val="00D93AA3"/>
    <w:rsid w:val="00D93C44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94F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4C0F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81B"/>
    <w:rsid w:val="00E44028"/>
    <w:rsid w:val="00E449CF"/>
    <w:rsid w:val="00E459CE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5B6E"/>
    <w:rsid w:val="00F9661D"/>
    <w:rsid w:val="00F971F1"/>
    <w:rsid w:val="00FA0F05"/>
    <w:rsid w:val="00FA12FF"/>
    <w:rsid w:val="00FA1472"/>
    <w:rsid w:val="00FA1B33"/>
    <w:rsid w:val="00FA321C"/>
    <w:rsid w:val="00FA6126"/>
    <w:rsid w:val="00FA7E17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26830A"/>
  <w15:docId w15:val="{318F9FF9-2564-401E-A5A1-C2D7A5A1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40E3A"/>
    <w:rPr>
      <w:sz w:val="20"/>
    </w:rPr>
  </w:style>
  <w:style w:type="character" w:customStyle="1" w:styleId="TextonotapieCar">
    <w:name w:val="Texto nota pie Car"/>
    <w:link w:val="Textonotapie"/>
    <w:rsid w:val="00340E3A"/>
    <w:rPr>
      <w:rFonts w:ascii="Arial" w:hAnsi="Arial"/>
    </w:rPr>
  </w:style>
  <w:style w:type="character" w:styleId="Refdenotaalpie">
    <w:name w:val="footnote reference"/>
    <w:rsid w:val="00340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546500\Documents\Plantillas%20personalizadas%20de%20Office\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PES</Template>
  <TotalTime>16</TotalTime>
  <Pages>4</Pages>
  <Words>1296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subject/>
  <dc:creator>N546500</dc:creator>
  <cp:keywords/>
  <dc:description/>
  <cp:lastModifiedBy>Mauleón, Fernando</cp:lastModifiedBy>
  <cp:revision>6</cp:revision>
  <cp:lastPrinted>2024-02-12T08:35:00Z</cp:lastPrinted>
  <dcterms:created xsi:type="dcterms:W3CDTF">2024-02-20T08:42:00Z</dcterms:created>
  <dcterms:modified xsi:type="dcterms:W3CDTF">2024-04-17T11:48:00Z</dcterms:modified>
</cp:coreProperties>
</file>