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637FA" w14:textId="3242DA9C" w:rsidR="00211860" w:rsidRDefault="00E84664" w:rsidP="007A14AD">
      <w:pPr>
        <w:ind w:firstLine="540"/>
        <w:rPr>
          <w:rFonts w:cs="Arial"/>
          <w:b/>
          <w:bCs/>
          <w:color w:val="000000"/>
          <w:szCs w:val="24"/>
        </w:rPr>
      </w:pPr>
      <w:r>
        <w:rPr>
          <w:b/>
          <w:color w:val="000000"/>
        </w:rPr>
        <w:t>2024ko otsailaren 27a</w:t>
      </w:r>
    </w:p>
    <w:p w14:paraId="7456DE57" w14:textId="77777777" w:rsidR="00214AFC" w:rsidRPr="00E84664" w:rsidRDefault="00214AFC" w:rsidP="007A14AD">
      <w:pPr>
        <w:ind w:firstLine="540"/>
        <w:rPr>
          <w:rFonts w:cs="Arial"/>
          <w:b/>
          <w:bCs/>
          <w:color w:val="000000"/>
          <w:szCs w:val="24"/>
        </w:rPr>
      </w:pPr>
    </w:p>
    <w:p w14:paraId="111E30FD" w14:textId="77777777" w:rsidR="00934199" w:rsidRDefault="00B07455" w:rsidP="007A14AD">
      <w:pPr>
        <w:ind w:firstLine="540"/>
        <w:rPr>
          <w:rFonts w:cs="Arial"/>
        </w:rPr>
      </w:pPr>
      <w:r>
        <w:rPr>
          <w:color w:val="000000"/>
        </w:rPr>
        <w:t xml:space="preserve">UPN talde parlamentarioari atxikitako foru parlamentari Miguel Bujanda </w:t>
      </w:r>
      <w:proofErr w:type="spellStart"/>
      <w:r>
        <w:rPr>
          <w:color w:val="000000"/>
        </w:rPr>
        <w:t>Cirauqui</w:t>
      </w:r>
      <w:proofErr w:type="spellEnd"/>
      <w:r>
        <w:rPr>
          <w:color w:val="000000"/>
        </w:rPr>
        <w:t xml:space="preserve"> </w:t>
      </w:r>
      <w:r>
        <w:t xml:space="preserve">jaunak 11-24/PES-00065 galdera egin du idatziz, </w:t>
      </w:r>
      <w:proofErr w:type="spellStart"/>
      <w:r>
        <w:t>Ecofert</w:t>
      </w:r>
      <w:proofErr w:type="spellEnd"/>
      <w:r>
        <w:t xml:space="preserve"> </w:t>
      </w:r>
      <w:proofErr w:type="spellStart"/>
      <w:r>
        <w:t>Sansoain</w:t>
      </w:r>
      <w:proofErr w:type="spellEnd"/>
      <w:r>
        <w:t xml:space="preserve"> eta </w:t>
      </w:r>
      <w:proofErr w:type="spellStart"/>
      <w:r>
        <w:t>Lacoya</w:t>
      </w:r>
      <w:proofErr w:type="spellEnd"/>
      <w:r>
        <w:t xml:space="preserve"> </w:t>
      </w:r>
      <w:proofErr w:type="spellStart"/>
      <w:r>
        <w:t>Medioambiental</w:t>
      </w:r>
      <w:proofErr w:type="spellEnd"/>
      <w:r>
        <w:t xml:space="preserve"> enpresen Artaxoako instalazioetako hondakinen analisiari buruz, 2024ko urtarrilaren 31ko prentsaurrekoan aipatu baitziren. Hona hemen Landa Garapeneko eta Ingurumeneko kontseilariak horri buruz ematen dion informazioa:</w:t>
      </w:r>
    </w:p>
    <w:p w14:paraId="4E4A121B" w14:textId="77777777" w:rsidR="008D13F8" w:rsidRDefault="008D13F8" w:rsidP="007A14AD">
      <w:pPr>
        <w:ind w:firstLine="540"/>
        <w:rPr>
          <w:rFonts w:cs="Arial"/>
        </w:rPr>
      </w:pPr>
    </w:p>
    <w:p w14:paraId="0AA5787E" w14:textId="77777777" w:rsidR="001A52C0" w:rsidRPr="00897DD7" w:rsidRDefault="00897DD7" w:rsidP="001A52C0">
      <w:pPr>
        <w:ind w:firstLine="540"/>
        <w:rPr>
          <w:rFonts w:cs="Arial"/>
          <w:b/>
          <w:color w:val="000000"/>
          <w:szCs w:val="24"/>
        </w:rPr>
      </w:pPr>
      <w:r>
        <w:rPr>
          <w:b/>
          <w:color w:val="000000"/>
        </w:rPr>
        <w:t>1.- Iragandako denboran metal astunak dekantatu ahal izan diren baltsan hondoa edo ohiak analizatu al dira?</w:t>
      </w:r>
    </w:p>
    <w:p w14:paraId="090C35B8" w14:textId="77777777" w:rsidR="001A52C0" w:rsidRPr="001A52C0" w:rsidRDefault="001A52C0" w:rsidP="001A52C0">
      <w:pPr>
        <w:ind w:firstLine="540"/>
        <w:rPr>
          <w:rFonts w:cs="Arial"/>
          <w:color w:val="000000"/>
          <w:szCs w:val="24"/>
        </w:rPr>
      </w:pPr>
      <w:r>
        <w:rPr>
          <w:color w:val="000000"/>
        </w:rPr>
        <w:t xml:space="preserve">Baltsan dagoen likidoa analizatu da, hau da, </w:t>
      </w:r>
      <w:proofErr w:type="spellStart"/>
      <w:r>
        <w:rPr>
          <w:color w:val="000000"/>
        </w:rPr>
        <w:t>lixibiatua</w:t>
      </w:r>
      <w:proofErr w:type="spellEnd"/>
      <w:r>
        <w:rPr>
          <w:color w:val="000000"/>
        </w:rPr>
        <w:t xml:space="preserve"> bera. Ez da planteatu baltsaren hondoko lohia analizatzea. </w:t>
      </w:r>
    </w:p>
    <w:p w14:paraId="3475934F" w14:textId="77777777" w:rsidR="001A52C0" w:rsidRPr="00897DD7" w:rsidRDefault="001A52C0" w:rsidP="001A52C0">
      <w:pPr>
        <w:ind w:firstLine="540"/>
        <w:rPr>
          <w:rFonts w:cs="Arial"/>
          <w:b/>
          <w:color w:val="000000"/>
          <w:szCs w:val="24"/>
        </w:rPr>
      </w:pPr>
      <w:r>
        <w:rPr>
          <w:color w:val="000000"/>
        </w:rPr>
        <w:t xml:space="preserve"> </w:t>
      </w:r>
      <w:r>
        <w:rPr>
          <w:b/>
          <w:color w:val="000000"/>
        </w:rPr>
        <w:t xml:space="preserve">2.- </w:t>
      </w:r>
      <w:proofErr w:type="spellStart"/>
      <w:r>
        <w:rPr>
          <w:b/>
          <w:color w:val="000000"/>
        </w:rPr>
        <w:t>Lixibiaturik</w:t>
      </w:r>
      <w:proofErr w:type="spellEnd"/>
      <w:r>
        <w:rPr>
          <w:b/>
          <w:color w:val="000000"/>
        </w:rPr>
        <w:t xml:space="preserve"> atera ahal izan al dute analisia egin aitzin?</w:t>
      </w:r>
    </w:p>
    <w:p w14:paraId="1DA111C5" w14:textId="77777777" w:rsidR="001A52C0" w:rsidRPr="001A52C0" w:rsidRDefault="001A52C0" w:rsidP="001A52C0">
      <w:pPr>
        <w:ind w:firstLine="540"/>
        <w:rPr>
          <w:rFonts w:cs="Arial"/>
          <w:color w:val="000000"/>
          <w:szCs w:val="24"/>
        </w:rPr>
      </w:pPr>
      <w:r>
        <w:rPr>
          <w:color w:val="000000"/>
        </w:rPr>
        <w:t xml:space="preserve">Baltsan dagoen likidoa analizatu da, hau da, konpostatze prozesuaren ondoriozko </w:t>
      </w:r>
      <w:proofErr w:type="spellStart"/>
      <w:r>
        <w:rPr>
          <w:color w:val="000000"/>
        </w:rPr>
        <w:t>lixibiatua</w:t>
      </w:r>
      <w:proofErr w:type="spellEnd"/>
      <w:r>
        <w:rPr>
          <w:color w:val="000000"/>
        </w:rPr>
        <w:t xml:space="preserve"> bera. Ez da solido bat, zeinetik </w:t>
      </w:r>
      <w:proofErr w:type="spellStart"/>
      <w:r>
        <w:rPr>
          <w:color w:val="000000"/>
        </w:rPr>
        <w:t>lixibiatu</w:t>
      </w:r>
      <w:proofErr w:type="spellEnd"/>
      <w:r>
        <w:rPr>
          <w:color w:val="000000"/>
        </w:rPr>
        <w:t xml:space="preserve"> bat lortzen baita; ez du zentzurik material likido batetik </w:t>
      </w:r>
      <w:proofErr w:type="spellStart"/>
      <w:r>
        <w:rPr>
          <w:color w:val="000000"/>
        </w:rPr>
        <w:t>lixibiatu</w:t>
      </w:r>
      <w:proofErr w:type="spellEnd"/>
      <w:r>
        <w:rPr>
          <w:color w:val="000000"/>
        </w:rPr>
        <w:t xml:space="preserve"> bat lortzeak.</w:t>
      </w:r>
    </w:p>
    <w:p w14:paraId="473384C3" w14:textId="77777777" w:rsidR="001A52C0" w:rsidRPr="00897DD7" w:rsidRDefault="00897DD7" w:rsidP="001A52C0">
      <w:pPr>
        <w:ind w:firstLine="540"/>
        <w:rPr>
          <w:rFonts w:cs="Arial"/>
          <w:b/>
          <w:color w:val="000000"/>
          <w:szCs w:val="24"/>
        </w:rPr>
      </w:pPr>
      <w:r>
        <w:rPr>
          <w:b/>
          <w:color w:val="000000"/>
        </w:rPr>
        <w:t>3.- Diluzio-prozesurik gertatu ahal izan al da –alegia, likido ez toxikoarekin nahastea, emaitza “hobetzea” ekarrita–?</w:t>
      </w:r>
    </w:p>
    <w:p w14:paraId="1E7910A6" w14:textId="5D6A7C40" w:rsidR="008D13F8" w:rsidRPr="007A14AD" w:rsidRDefault="001A52C0" w:rsidP="001A52C0">
      <w:pPr>
        <w:ind w:firstLine="540"/>
        <w:rPr>
          <w:rFonts w:cs="Arial"/>
          <w:color w:val="000000"/>
          <w:szCs w:val="24"/>
        </w:rPr>
      </w:pPr>
      <w:r>
        <w:rPr>
          <w:color w:val="000000"/>
        </w:rPr>
        <w:t xml:space="preserve">Baltsek xede dute </w:t>
      </w:r>
      <w:proofErr w:type="spellStart"/>
      <w:r w:rsidR="000D75B6">
        <w:rPr>
          <w:color w:val="000000"/>
        </w:rPr>
        <w:t>Ecofert</w:t>
      </w:r>
      <w:proofErr w:type="spellEnd"/>
      <w:r w:rsidR="000D75B6">
        <w:rPr>
          <w:color w:val="000000"/>
        </w:rPr>
        <w:t xml:space="preserve"> </w:t>
      </w:r>
      <w:proofErr w:type="spellStart"/>
      <w:r w:rsidR="000D75B6">
        <w:rPr>
          <w:color w:val="000000"/>
        </w:rPr>
        <w:t>Sansoain</w:t>
      </w:r>
      <w:proofErr w:type="spellEnd"/>
      <w:r w:rsidR="000D75B6">
        <w:rPr>
          <w:color w:val="000000"/>
        </w:rPr>
        <w:t xml:space="preserve"> </w:t>
      </w:r>
      <w:r>
        <w:rPr>
          <w:color w:val="000000"/>
        </w:rPr>
        <w:t xml:space="preserve">SL eta </w:t>
      </w:r>
      <w:proofErr w:type="spellStart"/>
      <w:r w:rsidR="000D75B6">
        <w:rPr>
          <w:color w:val="000000"/>
        </w:rPr>
        <w:t>Desarrollos</w:t>
      </w:r>
      <w:proofErr w:type="spellEnd"/>
      <w:r w:rsidR="000D75B6">
        <w:rPr>
          <w:color w:val="000000"/>
        </w:rPr>
        <w:t xml:space="preserve"> </w:t>
      </w:r>
      <w:proofErr w:type="spellStart"/>
      <w:r w:rsidR="000D75B6">
        <w:rPr>
          <w:color w:val="000000"/>
        </w:rPr>
        <w:t>Medioambientales</w:t>
      </w:r>
      <w:proofErr w:type="spellEnd"/>
      <w:r w:rsidR="000D75B6">
        <w:rPr>
          <w:color w:val="000000"/>
        </w:rPr>
        <w:t xml:space="preserve"> La </w:t>
      </w:r>
      <w:proofErr w:type="spellStart"/>
      <w:r w:rsidR="000D75B6">
        <w:rPr>
          <w:color w:val="000000"/>
        </w:rPr>
        <w:t>Coya</w:t>
      </w:r>
      <w:proofErr w:type="spellEnd"/>
      <w:r w:rsidR="000D75B6">
        <w:rPr>
          <w:color w:val="000000"/>
        </w:rPr>
        <w:t xml:space="preserve"> </w:t>
      </w:r>
      <w:r>
        <w:rPr>
          <w:color w:val="000000"/>
        </w:rPr>
        <w:t xml:space="preserve">SL enpresen instalazioetan prozesuen ondorioz dauden </w:t>
      </w:r>
      <w:proofErr w:type="spellStart"/>
      <w:r>
        <w:rPr>
          <w:color w:val="000000"/>
        </w:rPr>
        <w:t>lixibiatuak</w:t>
      </w:r>
      <w:proofErr w:type="spellEnd"/>
      <w:r>
        <w:rPr>
          <w:color w:val="000000"/>
        </w:rPr>
        <w:t xml:space="preserve"> eta bertako euri urak biltzea. Baltsetan dagoen likidoa </w:t>
      </w:r>
      <w:proofErr w:type="spellStart"/>
      <w:r>
        <w:rPr>
          <w:color w:val="000000"/>
        </w:rPr>
        <w:t>ekotoxikoa</w:t>
      </w:r>
      <w:proofErr w:type="spellEnd"/>
      <w:r>
        <w:rPr>
          <w:color w:val="000000"/>
        </w:rPr>
        <w:t xml:space="preserve"> izaten ahal da arriskuaren ezaugarria duten materialak eta arrisku hori ez dutenak sartzearen eta ateratzearen arabera, horren barnean hartuta euri urak. Hondakinak laginketa egiten den unean dituen ezaugarriak erakusten ditu analisiak.</w:t>
      </w:r>
    </w:p>
    <w:p w14:paraId="258061AF" w14:textId="77777777" w:rsidR="00897DD7" w:rsidRDefault="00897DD7">
      <w:pPr>
        <w:spacing w:line="240" w:lineRule="auto"/>
        <w:jc w:val="left"/>
        <w:rPr>
          <w:rFonts w:cs="Arial"/>
        </w:rPr>
      </w:pPr>
      <w:r>
        <w:br w:type="page"/>
      </w:r>
    </w:p>
    <w:p w14:paraId="493044F3" w14:textId="77777777" w:rsidR="001A52C0" w:rsidRPr="00897DD7" w:rsidRDefault="00897DD7" w:rsidP="001A52C0">
      <w:pPr>
        <w:ind w:firstLine="709"/>
        <w:rPr>
          <w:rFonts w:cs="Arial"/>
          <w:b/>
        </w:rPr>
      </w:pPr>
      <w:r>
        <w:rPr>
          <w:b/>
        </w:rPr>
        <w:lastRenderedPageBreak/>
        <w:t xml:space="preserve">4.- 2023ko otsailean egindako analisiaren emaitza </w:t>
      </w:r>
      <w:proofErr w:type="spellStart"/>
      <w:r>
        <w:rPr>
          <w:b/>
        </w:rPr>
        <w:t>ekotoxikoa</w:t>
      </w:r>
      <w:proofErr w:type="spellEnd"/>
      <w:r>
        <w:rPr>
          <w:b/>
        </w:rPr>
        <w:t xml:space="preserve"> da ala ez?</w:t>
      </w:r>
    </w:p>
    <w:p w14:paraId="5BD1F7F7" w14:textId="77777777" w:rsidR="001A52C0" w:rsidRPr="001A52C0" w:rsidRDefault="001A52C0" w:rsidP="001A52C0">
      <w:pPr>
        <w:ind w:firstLine="709"/>
        <w:rPr>
          <w:rFonts w:cs="Arial"/>
        </w:rPr>
      </w:pPr>
      <w:r>
        <w:t xml:space="preserve">Hondakin baten </w:t>
      </w:r>
      <w:proofErr w:type="spellStart"/>
      <w:r>
        <w:t>arriskugarritasun</w:t>
      </w:r>
      <w:proofErr w:type="spellEnd"/>
      <w:r>
        <w:t xml:space="preserve"> ezaugarriak bi modutan zehazten ahal dira: bata, hondakinaren konposizioan oinarrituta, eta Kontseiluaren 2017ko ekainaren 8ko 2017/997 (EB) Erregelamenduko irizpideak aplikatuta (Hondakinen Esparru Zuzentarauaren III. eranskina aldatzen du); bestea, Batzordearen 2008ko maiatzaren 30eko 440/2008 (EE) Erregelamenduan agertzen diren </w:t>
      </w:r>
      <w:proofErr w:type="spellStart"/>
      <w:r>
        <w:t>ekotoxikotasun</w:t>
      </w:r>
      <w:proofErr w:type="spellEnd"/>
      <w:r>
        <w:t xml:space="preserve"> saiakuntzen bidez.</w:t>
      </w:r>
    </w:p>
    <w:p w14:paraId="2122A8D5" w14:textId="77777777" w:rsidR="001A52C0" w:rsidRPr="001A52C0" w:rsidRDefault="001A52C0" w:rsidP="001A52C0">
      <w:pPr>
        <w:ind w:firstLine="709"/>
        <w:rPr>
          <w:rFonts w:cs="Arial"/>
        </w:rPr>
      </w:pPr>
      <w:r>
        <w:t>Hondakin bera analizatzeko bi metodoak erabiltzen badira, kontuan izan behar da, Batzordearen 2014/955/EB Erabakiaren arabera, hondakin baten arrisku-ezaugarri bat saiakuntza baten bidez ebaluatzen bada, eta substantzia arriskutsuen kontzentrazioak HEZ zuzentarauaren III. eranskinean adierazten den moduan aplikatuz gero, saiakuntzaren emaitzak gailenduko direla.</w:t>
      </w:r>
    </w:p>
    <w:p w14:paraId="49B3AEA6" w14:textId="77777777" w:rsidR="001A52C0" w:rsidRPr="001A52C0" w:rsidRDefault="001A52C0" w:rsidP="001A52C0">
      <w:pPr>
        <w:ind w:firstLine="709"/>
        <w:rPr>
          <w:rFonts w:cs="Arial"/>
        </w:rPr>
      </w:pPr>
      <w:r>
        <w:t xml:space="preserve">Oro har, errazagoa izaten da hondakinaren konposizioa laborategian zehaztea eta 2017/997 (EB) Erregelamenduko irizpideak aplikatzea, baina hondakinaren konposizioa ezagutzen ez bada eta ezin bada analisi bidez zehaztu, </w:t>
      </w:r>
      <w:proofErr w:type="spellStart"/>
      <w:r>
        <w:t>ekotoxikotasunaren</w:t>
      </w:r>
      <w:proofErr w:type="spellEnd"/>
      <w:r>
        <w:t xml:space="preserve"> ebaluazioa </w:t>
      </w:r>
      <w:proofErr w:type="spellStart"/>
      <w:r>
        <w:t>ekotoxikotasun</w:t>
      </w:r>
      <w:proofErr w:type="spellEnd"/>
      <w:r>
        <w:t xml:space="preserve"> saiakuntzen bidez egiten ahal da (ur-toxikotasun akutuko saiakuntzak, ur-toxikotasun kronikoko saiakuntzak eta lehorreko ingurumenerako toxikotasun saiakuntzak).</w:t>
      </w:r>
    </w:p>
    <w:p w14:paraId="0D3FE3C9" w14:textId="77777777" w:rsidR="001A52C0" w:rsidRPr="001A52C0" w:rsidRDefault="001A52C0" w:rsidP="001A52C0">
      <w:pPr>
        <w:ind w:firstLine="709"/>
        <w:rPr>
          <w:rFonts w:cs="Arial"/>
        </w:rPr>
      </w:pPr>
      <w:r>
        <w:t xml:space="preserve">Kasu honetan, ez dakigu zer konposizio duen hondakinak, hainbat jatorritako hondakinak jasotzen dituzten bi konpostatze instalazioetako </w:t>
      </w:r>
      <w:proofErr w:type="spellStart"/>
      <w:r>
        <w:t>lixibiatuen</w:t>
      </w:r>
      <w:proofErr w:type="spellEnd"/>
      <w:r>
        <w:t xml:space="preserve"> baltsetako likidoa baita, eta, zehazki, instalazio horietako batean instalaziora iritsi behar ez zuten hondakinak jaso baitira. Horregatik guztiagatik, saiakuntzara jotzen da.</w:t>
      </w:r>
    </w:p>
    <w:p w14:paraId="67124273" w14:textId="77777777" w:rsidR="001A52C0" w:rsidRPr="001A52C0" w:rsidRDefault="001A52C0" w:rsidP="001A52C0">
      <w:pPr>
        <w:ind w:firstLine="709"/>
        <w:rPr>
          <w:rFonts w:cs="Arial"/>
        </w:rPr>
      </w:pPr>
      <w:r>
        <w:t xml:space="preserve">Emaitzen interpretazioari dagokionez:  </w:t>
      </w:r>
    </w:p>
    <w:p w14:paraId="428C2AF7" w14:textId="77777777" w:rsidR="001A52C0" w:rsidRPr="001A52C0" w:rsidRDefault="001A52C0" w:rsidP="001A52C0">
      <w:pPr>
        <w:ind w:firstLine="709"/>
        <w:rPr>
          <w:rFonts w:cs="Arial"/>
        </w:rPr>
      </w:pPr>
      <w:r>
        <w:t>•</w:t>
      </w:r>
      <w:r>
        <w:tab/>
        <w:t>7/2022 Legearen arabera, I. eranskinean (Hondakin arriskutsutzat kalifikatzeko aukera ematen duten hondakinen ezaugarriak), “n) HP 14 </w:t>
      </w:r>
      <w:proofErr w:type="spellStart"/>
      <w:r>
        <w:t>Ekotoxikoa</w:t>
      </w:r>
      <w:proofErr w:type="spellEnd"/>
      <w:r>
        <w:t xml:space="preserve">” deritzon puntuan: ingurumeneko konpartimentu baterako edo gehiagorako berehalako arriskuak edo arrisku </w:t>
      </w:r>
      <w:proofErr w:type="spellStart"/>
      <w:r>
        <w:t>diferituak</w:t>
      </w:r>
      <w:proofErr w:type="spellEnd"/>
      <w:r>
        <w:t xml:space="preserve"> dituzten edo izaten ahal dituzten hondakinak dira. Baldintza hauetakoren bat betetzen duten hondakinak arriskutsu gisa sailkatuko dira HP 14ren arabera:</w:t>
      </w:r>
    </w:p>
    <w:p w14:paraId="165922DF" w14:textId="6A4031E4" w:rsidR="001A52C0" w:rsidRPr="001A52C0" w:rsidRDefault="001A52C0" w:rsidP="001A52C0">
      <w:pPr>
        <w:ind w:firstLine="709"/>
        <w:rPr>
          <w:rFonts w:cs="Arial"/>
        </w:rPr>
      </w:pPr>
      <w:r>
        <w:lastRenderedPageBreak/>
        <w:t>•</w:t>
      </w:r>
      <w:r>
        <w:tab/>
      </w:r>
      <w:r w:rsidR="00F03A85">
        <w:t xml:space="preserve">Europako Parlamentuaren eta Kontseiluaren </w:t>
      </w:r>
      <w:r>
        <w:t>1272/2008 (EE) </w:t>
      </w:r>
      <w:r w:rsidR="00F03A85">
        <w:t>Erregelamendua</w:t>
      </w:r>
      <w:r>
        <w:t>, 2008ko abenduaren 16koa, substantzien eta nahasketen sailkapenari, etiketatzeari eta ontziratzeari buruzkoa, eta 67/548/EEE eta 1999/45/EE Zuzentarauak aldatu eta indargabetu eta 1907/2006/EE Erregelamendua aldatzen duena.</w:t>
      </w:r>
    </w:p>
    <w:p w14:paraId="749B7005" w14:textId="77777777" w:rsidR="001A52C0" w:rsidRPr="001A52C0" w:rsidRDefault="001A52C0" w:rsidP="001A52C0">
      <w:pPr>
        <w:ind w:firstLine="709"/>
        <w:rPr>
          <w:rFonts w:cs="Arial"/>
        </w:rPr>
      </w:pPr>
      <w:r>
        <w:t xml:space="preserve"> 4.1.3.3. Nahasketak sailkatzea, nahasketari buruzko datuak eskura daudenean.</w:t>
      </w:r>
    </w:p>
    <w:p w14:paraId="0A2553B3" w14:textId="77777777" w:rsidR="001A52C0" w:rsidRPr="001A52C0" w:rsidRDefault="001A52C0" w:rsidP="001A52C0">
      <w:pPr>
        <w:ind w:firstLine="709"/>
        <w:rPr>
          <w:rFonts w:cs="Arial"/>
        </w:rPr>
      </w:pPr>
      <w:r>
        <w:t xml:space="preserve">4.1.3.3.1. Nahasketaren ur toxikotasuna zehazteko saiakuntzak egin direnean, substantzietarako hartutako irizpideen arabera sailkatuko da, baina kategoria akuturako soilik. Sailkapena arrain, krustazeo, alga nahiz landareetarako datuetan oinarrituko da. Ezin dira nahasketak toxikotasun kronikoaren kategorian sailkatu CL50 edo CE50 datuen arabera; izan ere, nahasketak ingurumenean duen toxikotasunari eta destinoari/portaerari buruzko datuak behar dira, eta nahasketak berez degradatzeko eta </w:t>
      </w:r>
      <w:proofErr w:type="spellStart"/>
      <w:r>
        <w:t>biometatzeko</w:t>
      </w:r>
      <w:proofErr w:type="spellEnd"/>
      <w:r>
        <w:t xml:space="preserve"> daturik ez dago. Kasu honetan, ezin dira aplikatu toxikotasun kronikoaren irizpideak sailkapenerako, ezin direlako interpretatu nahasketa baten </w:t>
      </w:r>
      <w:proofErr w:type="spellStart"/>
      <w:r>
        <w:t>degradagarritasun</w:t>
      </w:r>
      <w:proofErr w:type="spellEnd"/>
      <w:r>
        <w:t xml:space="preserve">- eta </w:t>
      </w:r>
      <w:proofErr w:type="spellStart"/>
      <w:r>
        <w:t>biometaketa</w:t>
      </w:r>
      <w:proofErr w:type="spellEnd"/>
      <w:r>
        <w:t>-saiakuntzetatik eratorritako datuak. Datu horiek substantzia indibidualetarako baino ez dute zentzua.</w:t>
      </w:r>
    </w:p>
    <w:p w14:paraId="5508B273" w14:textId="77777777" w:rsidR="001A52C0" w:rsidRPr="001A52C0" w:rsidRDefault="001A52C0" w:rsidP="001A52C0">
      <w:pPr>
        <w:ind w:firstLine="709"/>
        <w:rPr>
          <w:rFonts w:cs="Arial"/>
        </w:rPr>
      </w:pPr>
      <w:r>
        <w:t>4.1.3.3.2. Nahasketaren toxikotasun akutuari buruzko saiakuntzen datuak (CL50 edo CE50) eskura daudenean, datu horiek eta osagaien toxikotasun kronikoaren araberako sailkapenari buruzko informazioa (epe luzera) saiakuntzan erabilitako nahasketen sailkapena osatzeko erabiliko dira, jarraian adierazten den moduan. Gainera, toxikotasun kronikoari buruzko datuak (NOEC) ere erabiliko dira, eskuragarri daudenean.</w:t>
      </w:r>
    </w:p>
    <w:p w14:paraId="49B2B700" w14:textId="77777777" w:rsidR="001A52C0" w:rsidRPr="001A52C0" w:rsidRDefault="001A52C0" w:rsidP="001A52C0">
      <w:pPr>
        <w:ind w:firstLine="709"/>
        <w:rPr>
          <w:rFonts w:cs="Arial"/>
        </w:rPr>
      </w:pPr>
      <w:r>
        <w:t xml:space="preserve">(a) Saiakuntzan erabilitako nahasketaren C(E)L50 ≤ 100 mg/l eta nahasketa horren </w:t>
      </w:r>
      <w:proofErr w:type="spellStart"/>
      <w:r>
        <w:t>Noec</w:t>
      </w:r>
      <w:proofErr w:type="spellEnd"/>
      <w:r>
        <w:t xml:space="preserve"> &gt; 1 mg/l edo ezezaguna da:</w:t>
      </w:r>
    </w:p>
    <w:p w14:paraId="682350F1" w14:textId="6196DE69" w:rsidR="001A52C0" w:rsidRPr="001A52C0" w:rsidRDefault="007D5BCF" w:rsidP="001A52C0">
      <w:pPr>
        <w:ind w:firstLine="709"/>
        <w:rPr>
          <w:rFonts w:cs="Arial"/>
        </w:rPr>
      </w:pPr>
      <w:r>
        <w:t>– Nahasketa 1. kategoria akutuan sailkatzea (nahastearen CL50 edo CE50 esperimentala &lt; 1 mg/l), edo ez da beharrezkoa sailkapen akutua egitea (nahastearen CL50 edo CE50 esperimentala &gt; 1 mg/l).</w:t>
      </w:r>
    </w:p>
    <w:p w14:paraId="2DE51481" w14:textId="7BF16447" w:rsidR="001A52C0" w:rsidRPr="001A52C0" w:rsidRDefault="00D92CFE" w:rsidP="001A52C0">
      <w:pPr>
        <w:ind w:firstLine="709"/>
        <w:rPr>
          <w:rFonts w:cs="Arial"/>
        </w:rPr>
      </w:pPr>
      <w:r>
        <w:t>– Metodo batukaria aplikatzea (ikus 4.1.3.5.5) 1, 2, 3 edo 4. kategoria kronikoetan sailkatzeko, edo sailkapen hori beharrezkoa ez dela zehazteko;</w:t>
      </w:r>
    </w:p>
    <w:p w14:paraId="4850625E" w14:textId="77777777" w:rsidR="001A52C0" w:rsidRPr="001A52C0" w:rsidRDefault="001A52C0" w:rsidP="001A52C0">
      <w:pPr>
        <w:ind w:firstLine="709"/>
        <w:rPr>
          <w:rFonts w:cs="Arial"/>
        </w:rPr>
      </w:pPr>
      <w:r>
        <w:lastRenderedPageBreak/>
        <w:t xml:space="preserve">(b) Saiakuntzan erabilitako nahasketaren C(E)L50 ≤ 100 mg/l eta nahasketa horren </w:t>
      </w:r>
      <w:proofErr w:type="spellStart"/>
      <w:r>
        <w:t>Noec</w:t>
      </w:r>
      <w:proofErr w:type="spellEnd"/>
      <w:r>
        <w:t xml:space="preserve"> esperimentalak &gt; 1 mg/l:</w:t>
      </w:r>
    </w:p>
    <w:p w14:paraId="4EDA9141" w14:textId="10C222A5" w:rsidR="001A52C0" w:rsidRPr="001A52C0" w:rsidRDefault="00D92CFE" w:rsidP="001A52C0">
      <w:pPr>
        <w:ind w:firstLine="709"/>
        <w:rPr>
          <w:rFonts w:cs="Arial"/>
        </w:rPr>
      </w:pPr>
      <w:r>
        <w:t>– Ez dago kategoria akutuan sailkatu beharrik;</w:t>
      </w:r>
    </w:p>
    <w:p w14:paraId="3203540A" w14:textId="12DE7691" w:rsidR="001A52C0" w:rsidRPr="001A52C0" w:rsidRDefault="00D92CFE" w:rsidP="001A52C0">
      <w:pPr>
        <w:ind w:firstLine="709"/>
        <w:rPr>
          <w:rFonts w:cs="Arial"/>
        </w:rPr>
      </w:pPr>
      <w:r>
        <w:t>– Metodo batukaria aplikatzea (ikus 4.1.3.5.5) 1. kategoria kronikoan sailkatzeko. Nahasketa ez bada kategoria horretan sailkatzen, kategoria kronikoan sailkatzea ez da beharrezkoa izanen.</w:t>
      </w:r>
    </w:p>
    <w:p w14:paraId="44BBCCEA" w14:textId="77777777" w:rsidR="001A52C0" w:rsidRPr="001A52C0" w:rsidRDefault="001A52C0" w:rsidP="001A52C0">
      <w:pPr>
        <w:ind w:firstLine="709"/>
        <w:rPr>
          <w:rFonts w:cs="Arial"/>
        </w:rPr>
      </w:pPr>
      <w:r>
        <w:t xml:space="preserve">(c) Saiakuntzan erabilitako nahasketaren C(E)L50ak &gt; 100 mg/l edo uretan disolbatzeko mugaz gaindikoak eta nahasketa horren </w:t>
      </w:r>
      <w:proofErr w:type="spellStart"/>
      <w:r>
        <w:t>Noec</w:t>
      </w:r>
      <w:proofErr w:type="spellEnd"/>
      <w:r>
        <w:t xml:space="preserve"> ≤ 1 mg/l edo ezezaguna da:</w:t>
      </w:r>
    </w:p>
    <w:p w14:paraId="73B0F935" w14:textId="373D4B11" w:rsidR="001A52C0" w:rsidRPr="001A52C0" w:rsidRDefault="00D92CFE" w:rsidP="001A52C0">
      <w:pPr>
        <w:ind w:firstLine="709"/>
        <w:rPr>
          <w:rFonts w:cs="Arial"/>
        </w:rPr>
      </w:pPr>
      <w:r>
        <w:t>– Ez dago kategoria akutuan sailkatu beharrik;</w:t>
      </w:r>
    </w:p>
    <w:p w14:paraId="67555C0A" w14:textId="2A441EF4" w:rsidR="001A52C0" w:rsidRPr="001A52C0" w:rsidRDefault="00D92CFE" w:rsidP="001A52C0">
      <w:pPr>
        <w:ind w:firstLine="709"/>
        <w:rPr>
          <w:rFonts w:cs="Arial"/>
        </w:rPr>
      </w:pPr>
      <w:r>
        <w:t>– Metodo batukaria aplikatzea (ikus 4.1.3.5.5) 4. kategoria kronikoetan sailkatzeko, edo sailkapen hori beharrezkoa ez dela zehazteko;</w:t>
      </w:r>
    </w:p>
    <w:p w14:paraId="50B8DA27" w14:textId="77777777" w:rsidR="001A52C0" w:rsidRDefault="001A52C0" w:rsidP="001A52C0">
      <w:pPr>
        <w:ind w:firstLine="709"/>
        <w:rPr>
          <w:rFonts w:cs="Arial"/>
        </w:rPr>
      </w:pPr>
      <w:r>
        <w:t xml:space="preserve">(d) Saiakuntzan erabilitako nahasketaren C(E)L50ak &gt; 100 mg/l edo uretan disolbatzeko mugaz gaindikoak eta nahasketa horren </w:t>
      </w:r>
      <w:proofErr w:type="spellStart"/>
      <w:r>
        <w:t>Noec</w:t>
      </w:r>
      <w:proofErr w:type="spellEnd"/>
      <w:r>
        <w:t xml:space="preserve"> &gt; 1 mg/l: Ez da beharrezkoa sailkatzea kategoria akutu edo kronikoetarako (epe luzera).</w:t>
      </w:r>
    </w:p>
    <w:p w14:paraId="5E95E0EF" w14:textId="77777777" w:rsidR="001A52C0" w:rsidRDefault="001A52C0" w:rsidP="00BC3A3A">
      <w:pPr>
        <w:ind w:firstLine="709"/>
        <w:rPr>
          <w:rFonts w:cs="Arial"/>
        </w:rPr>
      </w:pPr>
    </w:p>
    <w:p w14:paraId="36E317B4" w14:textId="77777777" w:rsidR="00897DD7" w:rsidRDefault="001A52C0" w:rsidP="00897DD7">
      <w:pPr>
        <w:rPr>
          <w:rFonts w:eastAsia="Calibri" w:cs="Arial"/>
          <w:sz w:val="22"/>
          <w:szCs w:val="22"/>
        </w:rPr>
      </w:pPr>
      <w:r>
        <w:rPr>
          <w:sz w:val="22"/>
        </w:rPr>
        <w:t xml:space="preserve">Toxikotasun saiakuntzen emaitzak Unitate Toxikoetan (UT) adierazten dira. Unitate horiek mota horretako saiakuntzetan erabiltzen den </w:t>
      </w:r>
      <w:proofErr w:type="spellStart"/>
      <w:r>
        <w:rPr>
          <w:sz w:val="22"/>
        </w:rPr>
        <w:t>Equitox</w:t>
      </w:r>
      <w:proofErr w:type="spellEnd"/>
      <w:r>
        <w:rPr>
          <w:sz w:val="22"/>
        </w:rPr>
        <w:t>/m</w:t>
      </w:r>
      <w:r>
        <w:rPr>
          <w:sz w:val="22"/>
          <w:vertAlign w:val="superscript"/>
        </w:rPr>
        <w:t>3</w:t>
      </w:r>
      <w:r>
        <w:rPr>
          <w:sz w:val="22"/>
        </w:rPr>
        <w:t xml:space="preserve"> unitatearen baliokideak dira. </w:t>
      </w:r>
      <w:proofErr w:type="spellStart"/>
      <w:r>
        <w:rPr>
          <w:sz w:val="22"/>
        </w:rPr>
        <w:t>Ekotoxikotasun</w:t>
      </w:r>
      <w:proofErr w:type="spellEnd"/>
      <w:r>
        <w:rPr>
          <w:sz w:val="22"/>
        </w:rPr>
        <w:t xml:space="preserve"> saiakuntzetan lortutako C(E)L50 emaitzak laginaren portzentajean adierazten dira hasieran. U.T.=100/C(E)L50(%).</w:t>
      </w:r>
    </w:p>
    <w:p w14:paraId="648CCBB1" w14:textId="12260792" w:rsidR="001A52C0" w:rsidRPr="001A52C0" w:rsidRDefault="001A52C0" w:rsidP="00E84664">
      <w:pPr>
        <w:spacing w:line="240" w:lineRule="auto"/>
        <w:jc w:val="left"/>
        <w:rPr>
          <w:rFonts w:eastAsia="Calibri" w:cs="Arial"/>
          <w:sz w:val="22"/>
          <w:szCs w:val="22"/>
        </w:rPr>
      </w:pPr>
      <w:r>
        <w:rPr>
          <w:sz w:val="22"/>
        </w:rPr>
        <w:t xml:space="preserve">UT bateko (1) toxikotasunak adierazten du organismoen % 50i (hila edo </w:t>
      </w:r>
      <w:proofErr w:type="spellStart"/>
      <w:r>
        <w:rPr>
          <w:sz w:val="22"/>
        </w:rPr>
        <w:t>immobilizatua</w:t>
      </w:r>
      <w:proofErr w:type="spellEnd"/>
      <w:r>
        <w:rPr>
          <w:sz w:val="22"/>
        </w:rPr>
        <w:t xml:space="preserve">) eragiten diela diluitu gabeko laginak ( % 100ean); 10 </w:t>
      </w:r>
      <w:proofErr w:type="spellStart"/>
      <w:r>
        <w:rPr>
          <w:sz w:val="22"/>
        </w:rPr>
        <w:t>UTko</w:t>
      </w:r>
      <w:proofErr w:type="spellEnd"/>
      <w:r>
        <w:rPr>
          <w:sz w:val="22"/>
        </w:rPr>
        <w:t xml:space="preserve"> balioak adierazten du organismoen % 50i (hila edo </w:t>
      </w:r>
      <w:proofErr w:type="spellStart"/>
      <w:r>
        <w:rPr>
          <w:sz w:val="22"/>
        </w:rPr>
        <w:t>immobilizatua</w:t>
      </w:r>
      <w:proofErr w:type="spellEnd"/>
      <w:r>
        <w:rPr>
          <w:sz w:val="22"/>
        </w:rPr>
        <w:t xml:space="preserve">) eragiten diela % 10ean diluitutako laginak (1/10). Horrela, honako hau da mg/l-ko kontzentrazioaren eta </w:t>
      </w:r>
      <w:proofErr w:type="spellStart"/>
      <w:r>
        <w:rPr>
          <w:sz w:val="22"/>
        </w:rPr>
        <w:t>UTren</w:t>
      </w:r>
      <w:proofErr w:type="spellEnd"/>
      <w:r>
        <w:rPr>
          <w:sz w:val="22"/>
        </w:rPr>
        <w:t xml:space="preserve"> arteko baliokidetasuna:</w:t>
      </w:r>
    </w:p>
    <w:p w14:paraId="086F261D" w14:textId="77777777" w:rsidR="001A52C0" w:rsidRPr="001A52C0" w:rsidRDefault="001A52C0" w:rsidP="001A52C0">
      <w:pPr>
        <w:spacing w:line="259" w:lineRule="auto"/>
        <w:jc w:val="left"/>
        <w:rPr>
          <w:rFonts w:eastAsia="Calibri" w:cs="Arial"/>
          <w:sz w:val="22"/>
          <w:szCs w:val="22"/>
          <w:lang w:eastAsia="en-US"/>
        </w:rPr>
      </w:pPr>
    </w:p>
    <w:tbl>
      <w:tblPr>
        <w:tblW w:w="0" w:type="auto"/>
        <w:tblBorders>
          <w:top w:val="single" w:sz="8"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1740"/>
        <w:gridCol w:w="1747"/>
        <w:gridCol w:w="2535"/>
        <w:gridCol w:w="2482"/>
      </w:tblGrid>
      <w:tr w:rsidR="001A52C0" w:rsidRPr="001A52C0" w14:paraId="62BB6780" w14:textId="77777777" w:rsidTr="00977199">
        <w:tc>
          <w:tcPr>
            <w:tcW w:w="1809" w:type="dxa"/>
            <w:tcMar>
              <w:top w:w="0" w:type="dxa"/>
              <w:left w:w="108" w:type="dxa"/>
              <w:bottom w:w="0" w:type="dxa"/>
              <w:right w:w="108" w:type="dxa"/>
            </w:tcMar>
          </w:tcPr>
          <w:p w14:paraId="2B15CDB9" w14:textId="57FD2CB3" w:rsidR="001A52C0" w:rsidRPr="001A52C0" w:rsidRDefault="001A52C0" w:rsidP="001A52C0">
            <w:pPr>
              <w:spacing w:line="259" w:lineRule="auto"/>
              <w:rPr>
                <w:rFonts w:eastAsia="Calibri" w:cs="Arial"/>
                <w:sz w:val="22"/>
                <w:szCs w:val="22"/>
              </w:rPr>
            </w:pPr>
            <w:r>
              <w:rPr>
                <w:sz w:val="22"/>
              </w:rPr>
              <w:t xml:space="preserve">&gt; 100 mg/l </w:t>
            </w:r>
          </w:p>
        </w:tc>
        <w:tc>
          <w:tcPr>
            <w:tcW w:w="1843" w:type="dxa"/>
            <w:tcMar>
              <w:top w:w="0" w:type="dxa"/>
              <w:left w:w="108" w:type="dxa"/>
              <w:bottom w:w="0" w:type="dxa"/>
              <w:right w:w="108" w:type="dxa"/>
            </w:tcMar>
          </w:tcPr>
          <w:p w14:paraId="7E820BF8" w14:textId="77777777" w:rsidR="001A52C0" w:rsidRPr="001A52C0" w:rsidRDefault="001A52C0" w:rsidP="001A52C0">
            <w:pPr>
              <w:spacing w:line="259" w:lineRule="auto"/>
              <w:rPr>
                <w:rFonts w:eastAsia="Calibri" w:cs="Arial"/>
                <w:sz w:val="22"/>
                <w:szCs w:val="22"/>
              </w:rPr>
            </w:pPr>
            <w:r>
              <w:rPr>
                <w:sz w:val="22"/>
              </w:rPr>
              <w:t xml:space="preserve">&lt; 1 U.T. </w:t>
            </w:r>
          </w:p>
        </w:tc>
        <w:tc>
          <w:tcPr>
            <w:tcW w:w="2693" w:type="dxa"/>
          </w:tcPr>
          <w:p w14:paraId="5E121A29" w14:textId="77777777" w:rsidR="001A52C0" w:rsidRPr="001A52C0" w:rsidRDefault="001A52C0" w:rsidP="001A52C0">
            <w:pPr>
              <w:autoSpaceDE w:val="0"/>
              <w:autoSpaceDN w:val="0"/>
              <w:spacing w:line="259" w:lineRule="auto"/>
              <w:ind w:left="146" w:right="72"/>
              <w:rPr>
                <w:rFonts w:eastAsia="Calibri" w:cs="Arial"/>
                <w:szCs w:val="24"/>
              </w:rPr>
            </w:pPr>
            <w:r>
              <w:rPr>
                <w:sz w:val="22"/>
              </w:rPr>
              <w:t>Ez sailkatua (toxikotasun gutxi)</w:t>
            </w:r>
          </w:p>
        </w:tc>
        <w:tc>
          <w:tcPr>
            <w:tcW w:w="2660" w:type="dxa"/>
            <w:tcMar>
              <w:top w:w="0" w:type="dxa"/>
              <w:left w:w="108" w:type="dxa"/>
              <w:bottom w:w="0" w:type="dxa"/>
              <w:right w:w="108" w:type="dxa"/>
            </w:tcMar>
          </w:tcPr>
          <w:p w14:paraId="7782747A" w14:textId="77777777" w:rsidR="001A52C0" w:rsidRPr="001A52C0" w:rsidRDefault="001A52C0" w:rsidP="001A52C0">
            <w:pPr>
              <w:autoSpaceDE w:val="0"/>
              <w:autoSpaceDN w:val="0"/>
              <w:spacing w:line="259" w:lineRule="auto"/>
              <w:rPr>
                <w:rFonts w:eastAsia="Calibri" w:cs="Arial"/>
                <w:sz w:val="22"/>
                <w:szCs w:val="22"/>
              </w:rPr>
            </w:pPr>
            <w:r>
              <w:t>1. mota: &lt; 1 U.T.</w:t>
            </w:r>
          </w:p>
        </w:tc>
      </w:tr>
      <w:tr w:rsidR="001A52C0" w:rsidRPr="001A52C0" w14:paraId="3EE53233" w14:textId="77777777" w:rsidTr="00977199">
        <w:tc>
          <w:tcPr>
            <w:tcW w:w="1809" w:type="dxa"/>
            <w:tcMar>
              <w:top w:w="0" w:type="dxa"/>
              <w:left w:w="108" w:type="dxa"/>
              <w:bottom w:w="0" w:type="dxa"/>
              <w:right w:w="108" w:type="dxa"/>
            </w:tcMar>
          </w:tcPr>
          <w:p w14:paraId="4A7E8B04" w14:textId="77777777" w:rsidR="001A52C0" w:rsidRPr="001A52C0" w:rsidRDefault="001A52C0" w:rsidP="001A52C0">
            <w:pPr>
              <w:spacing w:line="259" w:lineRule="auto"/>
              <w:rPr>
                <w:rFonts w:eastAsia="Calibri" w:cs="Arial"/>
                <w:sz w:val="22"/>
                <w:szCs w:val="22"/>
              </w:rPr>
            </w:pPr>
            <w:r>
              <w:rPr>
                <w:sz w:val="22"/>
              </w:rPr>
              <w:t xml:space="preserve">100 – 10 mg/l </w:t>
            </w:r>
          </w:p>
        </w:tc>
        <w:tc>
          <w:tcPr>
            <w:tcW w:w="1843" w:type="dxa"/>
            <w:tcMar>
              <w:top w:w="0" w:type="dxa"/>
              <w:left w:w="108" w:type="dxa"/>
              <w:bottom w:w="0" w:type="dxa"/>
              <w:right w:w="108" w:type="dxa"/>
            </w:tcMar>
          </w:tcPr>
          <w:p w14:paraId="73A7F968" w14:textId="77777777" w:rsidR="001A52C0" w:rsidRPr="001A52C0" w:rsidRDefault="001A52C0" w:rsidP="001A52C0">
            <w:pPr>
              <w:spacing w:line="259" w:lineRule="auto"/>
              <w:rPr>
                <w:rFonts w:eastAsia="Calibri" w:cs="Arial"/>
                <w:sz w:val="22"/>
                <w:szCs w:val="22"/>
              </w:rPr>
            </w:pPr>
            <w:r>
              <w:rPr>
                <w:sz w:val="22"/>
              </w:rPr>
              <w:t xml:space="preserve">1 – 10 U.T. </w:t>
            </w:r>
          </w:p>
        </w:tc>
        <w:tc>
          <w:tcPr>
            <w:tcW w:w="2693" w:type="dxa"/>
          </w:tcPr>
          <w:p w14:paraId="0E180CA3" w14:textId="77777777" w:rsidR="001A52C0" w:rsidRPr="001A52C0" w:rsidRDefault="001A52C0" w:rsidP="001A52C0">
            <w:pPr>
              <w:autoSpaceDE w:val="0"/>
              <w:autoSpaceDN w:val="0"/>
              <w:spacing w:line="259" w:lineRule="auto"/>
              <w:ind w:left="146" w:right="72"/>
              <w:rPr>
                <w:rFonts w:eastAsia="Calibri" w:cs="Arial"/>
                <w:szCs w:val="24"/>
              </w:rPr>
            </w:pPr>
            <w:r>
              <w:rPr>
                <w:sz w:val="22"/>
              </w:rPr>
              <w:t>Kaltegarria</w:t>
            </w:r>
          </w:p>
        </w:tc>
        <w:tc>
          <w:tcPr>
            <w:tcW w:w="2660" w:type="dxa"/>
            <w:tcMar>
              <w:top w:w="0" w:type="dxa"/>
              <w:left w:w="108" w:type="dxa"/>
              <w:bottom w:w="0" w:type="dxa"/>
              <w:right w:w="108" w:type="dxa"/>
            </w:tcMar>
          </w:tcPr>
          <w:p w14:paraId="4BA97473" w14:textId="77777777" w:rsidR="001A52C0" w:rsidRPr="001A52C0" w:rsidRDefault="001A52C0" w:rsidP="001A52C0">
            <w:pPr>
              <w:autoSpaceDE w:val="0"/>
              <w:autoSpaceDN w:val="0"/>
              <w:spacing w:line="259" w:lineRule="auto"/>
              <w:rPr>
                <w:rFonts w:eastAsia="Calibri" w:cs="Arial"/>
                <w:sz w:val="22"/>
                <w:szCs w:val="22"/>
              </w:rPr>
            </w:pPr>
            <w:r>
              <w:t>2. mota: 1 – 10 U.T.</w:t>
            </w:r>
          </w:p>
        </w:tc>
      </w:tr>
      <w:tr w:rsidR="001A52C0" w:rsidRPr="001A52C0" w14:paraId="12474853" w14:textId="77777777" w:rsidTr="00977199">
        <w:tc>
          <w:tcPr>
            <w:tcW w:w="1809" w:type="dxa"/>
            <w:tcMar>
              <w:top w:w="0" w:type="dxa"/>
              <w:left w:w="108" w:type="dxa"/>
              <w:bottom w:w="0" w:type="dxa"/>
              <w:right w:w="108" w:type="dxa"/>
            </w:tcMar>
          </w:tcPr>
          <w:p w14:paraId="79C3A0DF" w14:textId="77777777" w:rsidR="001A52C0" w:rsidRPr="001A52C0" w:rsidRDefault="001A52C0" w:rsidP="001A52C0">
            <w:pPr>
              <w:spacing w:line="259" w:lineRule="auto"/>
              <w:rPr>
                <w:rFonts w:eastAsia="Calibri" w:cs="Arial"/>
                <w:sz w:val="22"/>
                <w:szCs w:val="22"/>
              </w:rPr>
            </w:pPr>
            <w:r>
              <w:rPr>
                <w:sz w:val="22"/>
              </w:rPr>
              <w:t xml:space="preserve">10 – 1 mg/l </w:t>
            </w:r>
          </w:p>
        </w:tc>
        <w:tc>
          <w:tcPr>
            <w:tcW w:w="1843" w:type="dxa"/>
            <w:tcMar>
              <w:top w:w="0" w:type="dxa"/>
              <w:left w:w="108" w:type="dxa"/>
              <w:bottom w:w="0" w:type="dxa"/>
              <w:right w:w="108" w:type="dxa"/>
            </w:tcMar>
          </w:tcPr>
          <w:p w14:paraId="60FF7CC0" w14:textId="77777777" w:rsidR="001A52C0" w:rsidRPr="001A52C0" w:rsidRDefault="001A52C0" w:rsidP="001A52C0">
            <w:pPr>
              <w:spacing w:line="259" w:lineRule="auto"/>
              <w:rPr>
                <w:rFonts w:eastAsia="Calibri" w:cs="Arial"/>
                <w:sz w:val="22"/>
                <w:szCs w:val="22"/>
              </w:rPr>
            </w:pPr>
            <w:r>
              <w:rPr>
                <w:sz w:val="22"/>
              </w:rPr>
              <w:t xml:space="preserve">11 – 100 U.T. </w:t>
            </w:r>
          </w:p>
        </w:tc>
        <w:tc>
          <w:tcPr>
            <w:tcW w:w="2693" w:type="dxa"/>
          </w:tcPr>
          <w:p w14:paraId="4461C7C3" w14:textId="77777777" w:rsidR="001A52C0" w:rsidRPr="001A52C0" w:rsidRDefault="001A52C0" w:rsidP="001A52C0">
            <w:pPr>
              <w:autoSpaceDE w:val="0"/>
              <w:autoSpaceDN w:val="0"/>
              <w:spacing w:line="259" w:lineRule="auto"/>
              <w:ind w:left="146" w:right="72"/>
              <w:rPr>
                <w:rFonts w:eastAsia="Calibri" w:cs="Arial"/>
                <w:szCs w:val="24"/>
              </w:rPr>
            </w:pPr>
            <w:r>
              <w:rPr>
                <w:sz w:val="22"/>
              </w:rPr>
              <w:t>Toxikoa</w:t>
            </w:r>
          </w:p>
        </w:tc>
        <w:tc>
          <w:tcPr>
            <w:tcW w:w="2660" w:type="dxa"/>
            <w:tcMar>
              <w:top w:w="0" w:type="dxa"/>
              <w:left w:w="108" w:type="dxa"/>
              <w:bottom w:w="0" w:type="dxa"/>
              <w:right w:w="108" w:type="dxa"/>
            </w:tcMar>
          </w:tcPr>
          <w:p w14:paraId="763960E6" w14:textId="77777777" w:rsidR="001A52C0" w:rsidRPr="001A52C0" w:rsidRDefault="001A52C0" w:rsidP="001A52C0">
            <w:pPr>
              <w:autoSpaceDE w:val="0"/>
              <w:autoSpaceDN w:val="0"/>
              <w:spacing w:line="259" w:lineRule="auto"/>
              <w:rPr>
                <w:rFonts w:eastAsia="Calibri" w:cs="Arial"/>
                <w:sz w:val="22"/>
                <w:szCs w:val="22"/>
              </w:rPr>
            </w:pPr>
            <w:r>
              <w:t>3. mota: 10 – 50 U.T.</w:t>
            </w:r>
          </w:p>
        </w:tc>
      </w:tr>
      <w:tr w:rsidR="001A52C0" w:rsidRPr="001A52C0" w14:paraId="5A0DAC3F" w14:textId="77777777" w:rsidTr="00977199">
        <w:tc>
          <w:tcPr>
            <w:tcW w:w="1809" w:type="dxa"/>
            <w:tcMar>
              <w:top w:w="0" w:type="dxa"/>
              <w:left w:w="108" w:type="dxa"/>
              <w:bottom w:w="0" w:type="dxa"/>
              <w:right w:w="108" w:type="dxa"/>
            </w:tcMar>
          </w:tcPr>
          <w:p w14:paraId="53AE59DD" w14:textId="77777777" w:rsidR="001A52C0" w:rsidRPr="001A52C0" w:rsidRDefault="001A52C0" w:rsidP="001A52C0">
            <w:pPr>
              <w:spacing w:line="259" w:lineRule="auto"/>
              <w:rPr>
                <w:rFonts w:eastAsia="Calibri" w:cs="Arial"/>
                <w:sz w:val="22"/>
                <w:szCs w:val="22"/>
              </w:rPr>
            </w:pPr>
            <w:r>
              <w:rPr>
                <w:sz w:val="22"/>
              </w:rPr>
              <w:t xml:space="preserve">&lt; 1 mg/l </w:t>
            </w:r>
          </w:p>
        </w:tc>
        <w:tc>
          <w:tcPr>
            <w:tcW w:w="1843" w:type="dxa"/>
            <w:tcMar>
              <w:top w:w="0" w:type="dxa"/>
              <w:left w:w="108" w:type="dxa"/>
              <w:bottom w:w="0" w:type="dxa"/>
              <w:right w:w="108" w:type="dxa"/>
            </w:tcMar>
          </w:tcPr>
          <w:p w14:paraId="62BA5896" w14:textId="77777777" w:rsidR="001A52C0" w:rsidRPr="001A52C0" w:rsidRDefault="001A52C0" w:rsidP="001A52C0">
            <w:pPr>
              <w:spacing w:line="259" w:lineRule="auto"/>
              <w:rPr>
                <w:rFonts w:eastAsia="Calibri" w:cs="Arial"/>
                <w:sz w:val="22"/>
                <w:szCs w:val="22"/>
              </w:rPr>
            </w:pPr>
            <w:r>
              <w:rPr>
                <w:sz w:val="22"/>
              </w:rPr>
              <w:t xml:space="preserve">&gt; 100 </w:t>
            </w:r>
          </w:p>
        </w:tc>
        <w:tc>
          <w:tcPr>
            <w:tcW w:w="2693" w:type="dxa"/>
          </w:tcPr>
          <w:p w14:paraId="21E56283" w14:textId="77777777" w:rsidR="001A52C0" w:rsidRPr="001A52C0" w:rsidRDefault="001A52C0" w:rsidP="001A52C0">
            <w:pPr>
              <w:spacing w:line="259" w:lineRule="auto"/>
              <w:ind w:left="146" w:right="72"/>
              <w:rPr>
                <w:rFonts w:eastAsia="Calibri" w:cs="Arial"/>
                <w:szCs w:val="24"/>
              </w:rPr>
            </w:pPr>
            <w:r>
              <w:rPr>
                <w:sz w:val="22"/>
              </w:rPr>
              <w:t>Oso toxikoa</w:t>
            </w:r>
          </w:p>
        </w:tc>
        <w:tc>
          <w:tcPr>
            <w:tcW w:w="2660" w:type="dxa"/>
            <w:tcMar>
              <w:top w:w="0" w:type="dxa"/>
              <w:left w:w="108" w:type="dxa"/>
              <w:bottom w:w="0" w:type="dxa"/>
              <w:right w:w="108" w:type="dxa"/>
            </w:tcMar>
          </w:tcPr>
          <w:p w14:paraId="78010444" w14:textId="77777777" w:rsidR="001A52C0" w:rsidRPr="001A52C0" w:rsidRDefault="001A52C0" w:rsidP="001A52C0">
            <w:pPr>
              <w:spacing w:line="259" w:lineRule="auto"/>
              <w:rPr>
                <w:rFonts w:eastAsia="Calibri" w:cs="Arial"/>
                <w:sz w:val="22"/>
                <w:szCs w:val="22"/>
              </w:rPr>
            </w:pPr>
            <w:r>
              <w:t>4. mota: &gt; 50 U.T.</w:t>
            </w:r>
          </w:p>
        </w:tc>
      </w:tr>
    </w:tbl>
    <w:p w14:paraId="5995DD5A" w14:textId="77777777" w:rsidR="001A52C0" w:rsidRPr="001A52C0" w:rsidRDefault="001A52C0" w:rsidP="001A52C0">
      <w:pPr>
        <w:spacing w:line="259" w:lineRule="auto"/>
        <w:jc w:val="left"/>
        <w:rPr>
          <w:rFonts w:eastAsia="Calibri" w:cs="Arial"/>
          <w:sz w:val="22"/>
          <w:szCs w:val="22"/>
        </w:rPr>
      </w:pPr>
      <w:r>
        <w:rPr>
          <w:sz w:val="22"/>
        </w:rPr>
        <w:t> </w:t>
      </w:r>
    </w:p>
    <w:p w14:paraId="6559B82F" w14:textId="79042CC8" w:rsidR="001A52C0" w:rsidRPr="001A52C0" w:rsidRDefault="00F03A85" w:rsidP="00897DD7">
      <w:pPr>
        <w:rPr>
          <w:rFonts w:eastAsia="Calibri" w:cs="Arial"/>
          <w:sz w:val="22"/>
          <w:szCs w:val="22"/>
        </w:rPr>
      </w:pPr>
      <w:proofErr w:type="spellStart"/>
      <w:r>
        <w:rPr>
          <w:sz w:val="22"/>
        </w:rPr>
        <w:t>Ecofert</w:t>
      </w:r>
      <w:proofErr w:type="spellEnd"/>
      <w:r>
        <w:rPr>
          <w:sz w:val="22"/>
        </w:rPr>
        <w:t xml:space="preserve"> </w:t>
      </w:r>
      <w:proofErr w:type="spellStart"/>
      <w:r>
        <w:rPr>
          <w:sz w:val="22"/>
        </w:rPr>
        <w:t>Sansoain</w:t>
      </w:r>
      <w:proofErr w:type="spellEnd"/>
      <w:r>
        <w:rPr>
          <w:sz w:val="22"/>
        </w:rPr>
        <w:t xml:space="preserve"> </w:t>
      </w:r>
      <w:r w:rsidR="001A52C0">
        <w:rPr>
          <w:sz w:val="22"/>
        </w:rPr>
        <w:t xml:space="preserve">SL eta </w:t>
      </w:r>
      <w:proofErr w:type="spellStart"/>
      <w:r>
        <w:rPr>
          <w:sz w:val="22"/>
        </w:rPr>
        <w:t>Desarrollos</w:t>
      </w:r>
      <w:proofErr w:type="spellEnd"/>
      <w:r>
        <w:rPr>
          <w:sz w:val="22"/>
        </w:rPr>
        <w:t xml:space="preserve"> </w:t>
      </w:r>
      <w:proofErr w:type="spellStart"/>
      <w:r>
        <w:rPr>
          <w:sz w:val="22"/>
        </w:rPr>
        <w:t>Medioambientales</w:t>
      </w:r>
      <w:proofErr w:type="spellEnd"/>
      <w:r>
        <w:rPr>
          <w:sz w:val="22"/>
        </w:rPr>
        <w:t xml:space="preserve"> La </w:t>
      </w:r>
      <w:proofErr w:type="spellStart"/>
      <w:r>
        <w:rPr>
          <w:sz w:val="22"/>
        </w:rPr>
        <w:t>Coya</w:t>
      </w:r>
      <w:proofErr w:type="spellEnd"/>
      <w:r>
        <w:rPr>
          <w:sz w:val="22"/>
        </w:rPr>
        <w:t xml:space="preserve"> </w:t>
      </w:r>
      <w:r w:rsidR="001A52C0">
        <w:rPr>
          <w:sz w:val="22"/>
        </w:rPr>
        <w:t>SL enpresen laginketan lortutako emaitzak ikusita, hauxe da sailkapena:</w:t>
      </w:r>
    </w:p>
    <w:p w14:paraId="3DFBD1E5" w14:textId="77777777" w:rsidR="001A52C0" w:rsidRPr="001A52C0" w:rsidRDefault="001A52C0" w:rsidP="001A52C0">
      <w:pPr>
        <w:spacing w:line="259" w:lineRule="auto"/>
        <w:jc w:val="left"/>
        <w:rPr>
          <w:rFonts w:eastAsia="Calibri" w:cs="Arial"/>
          <w:sz w:val="22"/>
          <w:szCs w:val="22"/>
          <w:lang w:eastAsia="en-US"/>
        </w:rPr>
      </w:pPr>
    </w:p>
    <w:tbl>
      <w:tblPr>
        <w:tblW w:w="0" w:type="auto"/>
        <w:tblCellMar>
          <w:left w:w="0" w:type="dxa"/>
          <w:right w:w="0" w:type="dxa"/>
        </w:tblCellMar>
        <w:tblLook w:val="04A0" w:firstRow="1" w:lastRow="0" w:firstColumn="1" w:lastColumn="0" w:noHBand="0" w:noVBand="1"/>
      </w:tblPr>
      <w:tblGrid>
        <w:gridCol w:w="2844"/>
        <w:gridCol w:w="2790"/>
        <w:gridCol w:w="2870"/>
      </w:tblGrid>
      <w:tr w:rsidR="001A52C0" w:rsidRPr="001A52C0" w14:paraId="46074A98" w14:textId="77777777" w:rsidTr="00977199">
        <w:tc>
          <w:tcPr>
            <w:tcW w:w="3009" w:type="dxa"/>
            <w:tcBorders>
              <w:bottom w:val="single" w:sz="4" w:space="0" w:color="auto"/>
            </w:tcBorders>
            <w:tcMar>
              <w:top w:w="0" w:type="dxa"/>
              <w:left w:w="108" w:type="dxa"/>
              <w:bottom w:w="0" w:type="dxa"/>
              <w:right w:w="108" w:type="dxa"/>
            </w:tcMar>
          </w:tcPr>
          <w:p w14:paraId="00B00A79" w14:textId="77777777" w:rsidR="001A52C0" w:rsidRPr="001A52C0" w:rsidRDefault="001A52C0" w:rsidP="001A52C0">
            <w:pPr>
              <w:spacing w:line="259" w:lineRule="auto"/>
              <w:jc w:val="left"/>
              <w:rPr>
                <w:rFonts w:eastAsia="Calibri" w:cs="Arial"/>
                <w:sz w:val="22"/>
                <w:szCs w:val="22"/>
              </w:rPr>
            </w:pPr>
            <w:r>
              <w:rPr>
                <w:sz w:val="22"/>
              </w:rPr>
              <w:lastRenderedPageBreak/>
              <w:t> </w:t>
            </w:r>
          </w:p>
        </w:tc>
        <w:tc>
          <w:tcPr>
            <w:tcW w:w="3053" w:type="dxa"/>
            <w:tcBorders>
              <w:top w:val="single" w:sz="8" w:space="0" w:color="auto"/>
              <w:left w:val="nil"/>
              <w:bottom w:val="single" w:sz="8" w:space="0" w:color="auto"/>
            </w:tcBorders>
            <w:shd w:val="clear" w:color="auto" w:fill="D9D9D9"/>
            <w:tcMar>
              <w:top w:w="0" w:type="dxa"/>
              <w:left w:w="108" w:type="dxa"/>
              <w:bottom w:w="0" w:type="dxa"/>
              <w:right w:w="108" w:type="dxa"/>
            </w:tcMar>
            <w:vAlign w:val="center"/>
          </w:tcPr>
          <w:p w14:paraId="7C8E73FC" w14:textId="77777777" w:rsidR="001A52C0" w:rsidRPr="001A52C0" w:rsidRDefault="001A52C0" w:rsidP="001A52C0">
            <w:pPr>
              <w:spacing w:line="259" w:lineRule="auto"/>
              <w:jc w:val="center"/>
              <w:rPr>
                <w:rFonts w:eastAsia="Calibri" w:cs="Arial"/>
                <w:b/>
                <w:sz w:val="22"/>
                <w:szCs w:val="22"/>
              </w:rPr>
            </w:pPr>
            <w:r>
              <w:rPr>
                <w:b/>
                <w:sz w:val="22"/>
              </w:rPr>
              <w:t>ECOFERT SANSOAIN SL</w:t>
            </w:r>
          </w:p>
        </w:tc>
        <w:tc>
          <w:tcPr>
            <w:tcW w:w="2943" w:type="dxa"/>
            <w:tcBorders>
              <w:top w:val="single" w:sz="8" w:space="0" w:color="auto"/>
              <w:bottom w:val="single" w:sz="8" w:space="0" w:color="auto"/>
            </w:tcBorders>
            <w:shd w:val="clear" w:color="auto" w:fill="D9D9D9"/>
            <w:tcMar>
              <w:top w:w="0" w:type="dxa"/>
              <w:left w:w="108" w:type="dxa"/>
              <w:bottom w:w="0" w:type="dxa"/>
              <w:right w:w="108" w:type="dxa"/>
            </w:tcMar>
            <w:vAlign w:val="center"/>
          </w:tcPr>
          <w:p w14:paraId="000474F3" w14:textId="77777777" w:rsidR="001A52C0" w:rsidRPr="001A52C0" w:rsidRDefault="001A52C0" w:rsidP="001A52C0">
            <w:pPr>
              <w:spacing w:line="259" w:lineRule="auto"/>
              <w:jc w:val="center"/>
              <w:rPr>
                <w:rFonts w:eastAsia="Calibri" w:cs="Arial"/>
                <w:b/>
                <w:sz w:val="22"/>
                <w:szCs w:val="22"/>
              </w:rPr>
            </w:pPr>
            <w:r>
              <w:rPr>
                <w:b/>
                <w:sz w:val="22"/>
              </w:rPr>
              <w:t>DESARROLLOS MEDIOAMBIENTALES LA COYA SL</w:t>
            </w:r>
          </w:p>
        </w:tc>
      </w:tr>
      <w:tr w:rsidR="001A52C0" w:rsidRPr="001A52C0" w14:paraId="275B6F95" w14:textId="77777777" w:rsidTr="00977199">
        <w:tc>
          <w:tcPr>
            <w:tcW w:w="3009" w:type="dxa"/>
            <w:tcBorders>
              <w:top w:val="single" w:sz="4" w:space="0" w:color="auto"/>
              <w:bottom w:val="single" w:sz="8" w:space="0" w:color="auto"/>
            </w:tcBorders>
            <w:shd w:val="clear" w:color="auto" w:fill="D9D9D9"/>
            <w:tcMar>
              <w:top w:w="0" w:type="dxa"/>
              <w:left w:w="108" w:type="dxa"/>
              <w:bottom w:w="0" w:type="dxa"/>
              <w:right w:w="108" w:type="dxa"/>
            </w:tcMar>
          </w:tcPr>
          <w:p w14:paraId="20C58B87" w14:textId="77777777" w:rsidR="001A52C0" w:rsidRPr="001A52C0" w:rsidRDefault="001A52C0" w:rsidP="001A52C0">
            <w:pPr>
              <w:spacing w:line="259" w:lineRule="auto"/>
              <w:jc w:val="left"/>
              <w:rPr>
                <w:rFonts w:eastAsia="Calibri" w:cs="Arial"/>
                <w:b/>
                <w:sz w:val="22"/>
                <w:szCs w:val="22"/>
              </w:rPr>
            </w:pPr>
            <w:proofErr w:type="spellStart"/>
            <w:r>
              <w:rPr>
                <w:b/>
                <w:sz w:val="22"/>
              </w:rPr>
              <w:t>Ekotoxikotasuna</w:t>
            </w:r>
            <w:proofErr w:type="spellEnd"/>
            <w:r>
              <w:rPr>
                <w:b/>
                <w:sz w:val="22"/>
              </w:rPr>
              <w:t xml:space="preserve"> U.T.</w:t>
            </w:r>
          </w:p>
        </w:tc>
        <w:tc>
          <w:tcPr>
            <w:tcW w:w="3053" w:type="dxa"/>
            <w:tcBorders>
              <w:top w:val="single" w:sz="8" w:space="0" w:color="auto"/>
              <w:bottom w:val="single" w:sz="8" w:space="0" w:color="auto"/>
            </w:tcBorders>
            <w:tcMar>
              <w:top w:w="0" w:type="dxa"/>
              <w:left w:w="108" w:type="dxa"/>
              <w:bottom w:w="0" w:type="dxa"/>
              <w:right w:w="108" w:type="dxa"/>
            </w:tcMar>
            <w:vAlign w:val="center"/>
          </w:tcPr>
          <w:p w14:paraId="5586875E" w14:textId="77777777" w:rsidR="001A52C0" w:rsidRPr="001A52C0" w:rsidRDefault="001A52C0" w:rsidP="001A52C0">
            <w:pPr>
              <w:spacing w:line="259" w:lineRule="auto"/>
              <w:jc w:val="center"/>
              <w:rPr>
                <w:rFonts w:eastAsia="Calibri" w:cs="Arial"/>
                <w:sz w:val="22"/>
                <w:szCs w:val="22"/>
              </w:rPr>
            </w:pPr>
            <w:r>
              <w:rPr>
                <w:sz w:val="22"/>
              </w:rPr>
              <w:t>244 </w:t>
            </w:r>
            <w:r>
              <w:rPr>
                <w:sz w:val="22"/>
                <w:u w:val="single"/>
              </w:rPr>
              <w:t>+</w:t>
            </w:r>
            <w:r>
              <w:rPr>
                <w:sz w:val="22"/>
              </w:rPr>
              <w:t> 108</w:t>
            </w:r>
          </w:p>
        </w:tc>
        <w:tc>
          <w:tcPr>
            <w:tcW w:w="2943" w:type="dxa"/>
            <w:tcBorders>
              <w:top w:val="single" w:sz="8" w:space="0" w:color="auto"/>
              <w:bottom w:val="single" w:sz="8" w:space="0" w:color="auto"/>
            </w:tcBorders>
            <w:tcMar>
              <w:top w:w="0" w:type="dxa"/>
              <w:left w:w="108" w:type="dxa"/>
              <w:bottom w:w="0" w:type="dxa"/>
              <w:right w:w="108" w:type="dxa"/>
            </w:tcMar>
            <w:vAlign w:val="center"/>
          </w:tcPr>
          <w:p w14:paraId="25040C5F" w14:textId="77777777" w:rsidR="001A52C0" w:rsidRPr="001A52C0" w:rsidRDefault="001A52C0" w:rsidP="001A52C0">
            <w:pPr>
              <w:spacing w:line="259" w:lineRule="auto"/>
              <w:jc w:val="center"/>
              <w:rPr>
                <w:rFonts w:eastAsia="Calibri" w:cs="Arial"/>
                <w:sz w:val="22"/>
                <w:szCs w:val="22"/>
              </w:rPr>
            </w:pPr>
            <w:r>
              <w:rPr>
                <w:sz w:val="22"/>
              </w:rPr>
              <w:t>57,7 </w:t>
            </w:r>
            <w:r>
              <w:rPr>
                <w:sz w:val="22"/>
                <w:u w:val="single"/>
              </w:rPr>
              <w:t>+</w:t>
            </w:r>
            <w:r>
              <w:rPr>
                <w:sz w:val="22"/>
              </w:rPr>
              <w:t> 25,5</w:t>
            </w:r>
          </w:p>
        </w:tc>
      </w:tr>
      <w:tr w:rsidR="001A52C0" w:rsidRPr="001A52C0" w14:paraId="7FFFBF85" w14:textId="77777777" w:rsidTr="00977199">
        <w:tc>
          <w:tcPr>
            <w:tcW w:w="3009" w:type="dxa"/>
            <w:tcBorders>
              <w:top w:val="single" w:sz="8" w:space="0" w:color="auto"/>
            </w:tcBorders>
            <w:shd w:val="clear" w:color="auto" w:fill="D9D9D9"/>
            <w:tcMar>
              <w:top w:w="0" w:type="dxa"/>
              <w:left w:w="108" w:type="dxa"/>
              <w:bottom w:w="0" w:type="dxa"/>
              <w:right w:w="108" w:type="dxa"/>
            </w:tcMar>
            <w:vAlign w:val="center"/>
          </w:tcPr>
          <w:p w14:paraId="79D45D26" w14:textId="77777777" w:rsidR="001A52C0" w:rsidRPr="001A52C0" w:rsidRDefault="001A52C0" w:rsidP="001A52C0">
            <w:pPr>
              <w:spacing w:line="259" w:lineRule="auto"/>
              <w:jc w:val="left"/>
              <w:rPr>
                <w:rFonts w:eastAsia="Calibri" w:cs="Arial"/>
                <w:b/>
                <w:sz w:val="22"/>
                <w:szCs w:val="22"/>
              </w:rPr>
            </w:pPr>
            <w:proofErr w:type="spellStart"/>
            <w:r>
              <w:rPr>
                <w:b/>
                <w:sz w:val="22"/>
              </w:rPr>
              <w:t>Ekotoxikotasun</w:t>
            </w:r>
            <w:proofErr w:type="spellEnd"/>
            <w:r>
              <w:rPr>
                <w:b/>
                <w:sz w:val="22"/>
              </w:rPr>
              <w:t xml:space="preserve"> tartea U.T.</w:t>
            </w:r>
          </w:p>
        </w:tc>
        <w:tc>
          <w:tcPr>
            <w:tcW w:w="3053" w:type="dxa"/>
            <w:tcBorders>
              <w:top w:val="single" w:sz="8" w:space="0" w:color="auto"/>
              <w:bottom w:val="single" w:sz="8" w:space="0" w:color="auto"/>
            </w:tcBorders>
            <w:tcMar>
              <w:top w:w="0" w:type="dxa"/>
              <w:left w:w="108" w:type="dxa"/>
              <w:bottom w:w="0" w:type="dxa"/>
              <w:right w:w="108" w:type="dxa"/>
            </w:tcMar>
            <w:vAlign w:val="center"/>
          </w:tcPr>
          <w:p w14:paraId="63067995" w14:textId="77777777" w:rsidR="001A52C0" w:rsidRPr="001A52C0" w:rsidRDefault="001A52C0" w:rsidP="001A52C0">
            <w:pPr>
              <w:spacing w:line="259" w:lineRule="auto"/>
              <w:jc w:val="center"/>
              <w:rPr>
                <w:rFonts w:eastAsia="Calibri" w:cs="Arial"/>
                <w:sz w:val="22"/>
                <w:szCs w:val="22"/>
              </w:rPr>
            </w:pPr>
            <w:r>
              <w:rPr>
                <w:sz w:val="22"/>
              </w:rPr>
              <w:t>136 - 352</w:t>
            </w:r>
          </w:p>
        </w:tc>
        <w:tc>
          <w:tcPr>
            <w:tcW w:w="2943" w:type="dxa"/>
            <w:tcBorders>
              <w:top w:val="single" w:sz="8" w:space="0" w:color="auto"/>
              <w:bottom w:val="single" w:sz="8" w:space="0" w:color="auto"/>
            </w:tcBorders>
            <w:tcMar>
              <w:top w:w="0" w:type="dxa"/>
              <w:left w:w="108" w:type="dxa"/>
              <w:bottom w:w="0" w:type="dxa"/>
              <w:right w:w="108" w:type="dxa"/>
            </w:tcMar>
            <w:vAlign w:val="center"/>
          </w:tcPr>
          <w:p w14:paraId="0A732FDC" w14:textId="77777777" w:rsidR="001A52C0" w:rsidRPr="001A52C0" w:rsidRDefault="001A52C0" w:rsidP="001A52C0">
            <w:pPr>
              <w:spacing w:line="259" w:lineRule="auto"/>
              <w:jc w:val="center"/>
              <w:rPr>
                <w:rFonts w:eastAsia="Calibri" w:cs="Arial"/>
                <w:sz w:val="22"/>
                <w:szCs w:val="22"/>
              </w:rPr>
            </w:pPr>
            <w:r>
              <w:rPr>
                <w:sz w:val="22"/>
              </w:rPr>
              <w:t>32,2 – 83,2</w:t>
            </w:r>
          </w:p>
        </w:tc>
      </w:tr>
      <w:tr w:rsidR="001A52C0" w:rsidRPr="001A52C0" w14:paraId="672CD265" w14:textId="77777777" w:rsidTr="00977199">
        <w:tc>
          <w:tcPr>
            <w:tcW w:w="3009" w:type="dxa"/>
            <w:tcBorders>
              <w:top w:val="single" w:sz="8" w:space="0" w:color="auto"/>
              <w:bottom w:val="single" w:sz="8" w:space="0" w:color="auto"/>
            </w:tcBorders>
            <w:shd w:val="clear" w:color="auto" w:fill="D9D9D9"/>
            <w:tcMar>
              <w:top w:w="0" w:type="dxa"/>
              <w:left w:w="108" w:type="dxa"/>
              <w:bottom w:w="0" w:type="dxa"/>
              <w:right w:w="108" w:type="dxa"/>
            </w:tcMar>
          </w:tcPr>
          <w:p w14:paraId="11633ECA" w14:textId="77777777" w:rsidR="001A52C0" w:rsidRPr="001A52C0" w:rsidRDefault="001A52C0" w:rsidP="001A52C0">
            <w:pPr>
              <w:spacing w:line="259" w:lineRule="auto"/>
              <w:jc w:val="left"/>
              <w:rPr>
                <w:rFonts w:eastAsia="Calibri" w:cs="Arial"/>
                <w:b/>
                <w:sz w:val="22"/>
                <w:szCs w:val="22"/>
              </w:rPr>
            </w:pPr>
            <w:r>
              <w:rPr>
                <w:b/>
                <w:sz w:val="22"/>
              </w:rPr>
              <w:t>Sailkapena</w:t>
            </w:r>
          </w:p>
        </w:tc>
        <w:tc>
          <w:tcPr>
            <w:tcW w:w="3053" w:type="dxa"/>
            <w:tcBorders>
              <w:top w:val="single" w:sz="8" w:space="0" w:color="auto"/>
              <w:bottom w:val="single" w:sz="8" w:space="0" w:color="auto"/>
            </w:tcBorders>
            <w:tcMar>
              <w:top w:w="0" w:type="dxa"/>
              <w:left w:w="108" w:type="dxa"/>
              <w:bottom w:w="0" w:type="dxa"/>
              <w:right w:w="108" w:type="dxa"/>
            </w:tcMar>
            <w:vAlign w:val="center"/>
          </w:tcPr>
          <w:p w14:paraId="276C8D65" w14:textId="77777777" w:rsidR="001A52C0" w:rsidRPr="001A52C0" w:rsidRDefault="001A52C0" w:rsidP="001A52C0">
            <w:pPr>
              <w:spacing w:line="259" w:lineRule="auto"/>
              <w:jc w:val="center"/>
              <w:rPr>
                <w:rFonts w:eastAsia="Calibri" w:cs="Arial"/>
                <w:sz w:val="22"/>
                <w:szCs w:val="22"/>
              </w:rPr>
            </w:pPr>
            <w:r>
              <w:rPr>
                <w:sz w:val="22"/>
              </w:rPr>
              <w:t>Oso toxikoa</w:t>
            </w:r>
          </w:p>
        </w:tc>
        <w:tc>
          <w:tcPr>
            <w:tcW w:w="2943" w:type="dxa"/>
            <w:tcBorders>
              <w:top w:val="single" w:sz="8" w:space="0" w:color="auto"/>
              <w:bottom w:val="single" w:sz="8" w:space="0" w:color="auto"/>
            </w:tcBorders>
            <w:tcMar>
              <w:top w:w="0" w:type="dxa"/>
              <w:left w:w="108" w:type="dxa"/>
              <w:bottom w:w="0" w:type="dxa"/>
              <w:right w:w="108" w:type="dxa"/>
            </w:tcMar>
            <w:vAlign w:val="center"/>
          </w:tcPr>
          <w:p w14:paraId="0A793682" w14:textId="77777777" w:rsidR="001A52C0" w:rsidRPr="001A52C0" w:rsidRDefault="001A52C0" w:rsidP="001A52C0">
            <w:pPr>
              <w:spacing w:line="259" w:lineRule="auto"/>
              <w:jc w:val="center"/>
              <w:rPr>
                <w:rFonts w:eastAsia="Calibri" w:cs="Arial"/>
                <w:sz w:val="22"/>
                <w:szCs w:val="22"/>
              </w:rPr>
            </w:pPr>
            <w:r>
              <w:rPr>
                <w:sz w:val="22"/>
              </w:rPr>
              <w:t>Toxikoa</w:t>
            </w:r>
          </w:p>
        </w:tc>
      </w:tr>
      <w:tr w:rsidR="001A52C0" w:rsidRPr="001A52C0" w14:paraId="2A83C9B2" w14:textId="77777777" w:rsidTr="00977199">
        <w:tc>
          <w:tcPr>
            <w:tcW w:w="3009" w:type="dxa"/>
            <w:tcBorders>
              <w:top w:val="single" w:sz="8" w:space="0" w:color="auto"/>
              <w:bottom w:val="single" w:sz="8" w:space="0" w:color="auto"/>
            </w:tcBorders>
            <w:shd w:val="clear" w:color="auto" w:fill="D9D9D9"/>
            <w:tcMar>
              <w:top w:w="0" w:type="dxa"/>
              <w:left w:w="108" w:type="dxa"/>
              <w:bottom w:w="0" w:type="dxa"/>
              <w:right w:w="108" w:type="dxa"/>
            </w:tcMar>
          </w:tcPr>
          <w:p w14:paraId="3D905D3C" w14:textId="77777777" w:rsidR="001A52C0" w:rsidRPr="001A52C0" w:rsidRDefault="001A52C0" w:rsidP="001A52C0">
            <w:pPr>
              <w:spacing w:line="259" w:lineRule="auto"/>
              <w:jc w:val="left"/>
              <w:rPr>
                <w:rFonts w:eastAsia="Calibri" w:cs="Arial"/>
                <w:b/>
                <w:sz w:val="22"/>
                <w:szCs w:val="22"/>
              </w:rPr>
            </w:pPr>
            <w:proofErr w:type="spellStart"/>
            <w:r>
              <w:rPr>
                <w:b/>
                <w:sz w:val="22"/>
              </w:rPr>
              <w:t>Arriskugarritasun</w:t>
            </w:r>
            <w:proofErr w:type="spellEnd"/>
            <w:r>
              <w:rPr>
                <w:b/>
                <w:sz w:val="22"/>
              </w:rPr>
              <w:t xml:space="preserve"> ezaugarria</w:t>
            </w:r>
          </w:p>
        </w:tc>
        <w:tc>
          <w:tcPr>
            <w:tcW w:w="3053" w:type="dxa"/>
            <w:tcBorders>
              <w:top w:val="single" w:sz="8" w:space="0" w:color="auto"/>
              <w:bottom w:val="single" w:sz="8" w:space="0" w:color="auto"/>
            </w:tcBorders>
            <w:tcMar>
              <w:top w:w="0" w:type="dxa"/>
              <w:left w:w="108" w:type="dxa"/>
              <w:bottom w:w="0" w:type="dxa"/>
              <w:right w:w="108" w:type="dxa"/>
            </w:tcMar>
            <w:vAlign w:val="center"/>
          </w:tcPr>
          <w:p w14:paraId="665599E4" w14:textId="77777777" w:rsidR="001A52C0" w:rsidRPr="001A52C0" w:rsidRDefault="001A52C0" w:rsidP="001A52C0">
            <w:pPr>
              <w:spacing w:line="259" w:lineRule="auto"/>
              <w:jc w:val="center"/>
              <w:rPr>
                <w:rFonts w:eastAsia="Calibri" w:cs="Arial"/>
                <w:sz w:val="22"/>
                <w:szCs w:val="22"/>
              </w:rPr>
            </w:pPr>
            <w:r>
              <w:rPr>
                <w:sz w:val="22"/>
              </w:rPr>
              <w:t>HP 14</w:t>
            </w:r>
          </w:p>
        </w:tc>
        <w:tc>
          <w:tcPr>
            <w:tcW w:w="2943" w:type="dxa"/>
            <w:tcBorders>
              <w:top w:val="single" w:sz="8" w:space="0" w:color="auto"/>
              <w:bottom w:val="single" w:sz="8" w:space="0" w:color="auto"/>
            </w:tcBorders>
            <w:tcMar>
              <w:top w:w="0" w:type="dxa"/>
              <w:left w:w="108" w:type="dxa"/>
              <w:bottom w:w="0" w:type="dxa"/>
              <w:right w:w="108" w:type="dxa"/>
            </w:tcMar>
            <w:vAlign w:val="center"/>
          </w:tcPr>
          <w:p w14:paraId="7CFDAA86" w14:textId="77777777" w:rsidR="001A52C0" w:rsidRPr="001A52C0" w:rsidRDefault="001A52C0" w:rsidP="001A52C0">
            <w:pPr>
              <w:spacing w:line="259" w:lineRule="auto"/>
              <w:jc w:val="center"/>
              <w:rPr>
                <w:rFonts w:eastAsia="Calibri" w:cs="Arial"/>
                <w:sz w:val="22"/>
                <w:szCs w:val="22"/>
              </w:rPr>
            </w:pPr>
            <w:r>
              <w:rPr>
                <w:sz w:val="22"/>
              </w:rPr>
              <w:t>HP 14</w:t>
            </w:r>
          </w:p>
        </w:tc>
      </w:tr>
      <w:tr w:rsidR="001A52C0" w:rsidRPr="001A52C0" w14:paraId="5363EA8A" w14:textId="77777777" w:rsidTr="00977199">
        <w:tc>
          <w:tcPr>
            <w:tcW w:w="3009" w:type="dxa"/>
            <w:tcBorders>
              <w:top w:val="single" w:sz="8" w:space="0" w:color="auto"/>
              <w:bottom w:val="single" w:sz="8" w:space="0" w:color="auto"/>
            </w:tcBorders>
            <w:shd w:val="clear" w:color="auto" w:fill="D9D9D9"/>
            <w:tcMar>
              <w:top w:w="0" w:type="dxa"/>
              <w:left w:w="108" w:type="dxa"/>
              <w:bottom w:w="0" w:type="dxa"/>
              <w:right w:w="108" w:type="dxa"/>
            </w:tcMar>
          </w:tcPr>
          <w:p w14:paraId="1CDD849D" w14:textId="77777777" w:rsidR="001A52C0" w:rsidRPr="001A52C0" w:rsidRDefault="001A52C0" w:rsidP="001A52C0">
            <w:pPr>
              <w:spacing w:line="259" w:lineRule="auto"/>
              <w:jc w:val="left"/>
              <w:rPr>
                <w:rFonts w:eastAsia="Calibri" w:cs="Arial"/>
                <w:b/>
                <w:sz w:val="22"/>
                <w:szCs w:val="22"/>
              </w:rPr>
            </w:pPr>
            <w:r>
              <w:rPr>
                <w:b/>
                <w:sz w:val="22"/>
              </w:rPr>
              <w:t>Arrisku adierazpena</w:t>
            </w:r>
          </w:p>
        </w:tc>
        <w:tc>
          <w:tcPr>
            <w:tcW w:w="3053" w:type="dxa"/>
            <w:tcBorders>
              <w:top w:val="single" w:sz="8" w:space="0" w:color="auto"/>
              <w:bottom w:val="single" w:sz="8" w:space="0" w:color="auto"/>
            </w:tcBorders>
            <w:tcMar>
              <w:top w:w="0" w:type="dxa"/>
              <w:left w:w="108" w:type="dxa"/>
              <w:bottom w:w="0" w:type="dxa"/>
              <w:right w:w="108" w:type="dxa"/>
            </w:tcMar>
            <w:vAlign w:val="center"/>
          </w:tcPr>
          <w:p w14:paraId="7935316E" w14:textId="77777777" w:rsidR="001A52C0" w:rsidRPr="001A52C0" w:rsidRDefault="001A52C0" w:rsidP="001A52C0">
            <w:pPr>
              <w:spacing w:line="259" w:lineRule="auto"/>
              <w:jc w:val="center"/>
              <w:rPr>
                <w:rFonts w:eastAsia="Calibri" w:cs="Arial"/>
                <w:sz w:val="22"/>
                <w:szCs w:val="22"/>
              </w:rPr>
            </w:pPr>
            <w:r>
              <w:rPr>
                <w:sz w:val="22"/>
              </w:rPr>
              <w:t>H410 Oso toxikoa organismo urtarrentzat, ondorio kaltegarri iraunkorrekin.</w:t>
            </w:r>
          </w:p>
        </w:tc>
        <w:tc>
          <w:tcPr>
            <w:tcW w:w="2943" w:type="dxa"/>
            <w:tcBorders>
              <w:top w:val="single" w:sz="8" w:space="0" w:color="auto"/>
              <w:bottom w:val="single" w:sz="8" w:space="0" w:color="auto"/>
            </w:tcBorders>
            <w:tcMar>
              <w:top w:w="0" w:type="dxa"/>
              <w:left w:w="108" w:type="dxa"/>
              <w:bottom w:w="0" w:type="dxa"/>
              <w:right w:w="108" w:type="dxa"/>
            </w:tcMar>
            <w:vAlign w:val="center"/>
          </w:tcPr>
          <w:p w14:paraId="08B64439" w14:textId="77777777" w:rsidR="001A52C0" w:rsidRPr="001A52C0" w:rsidRDefault="001A52C0" w:rsidP="001A52C0">
            <w:pPr>
              <w:spacing w:line="259" w:lineRule="auto"/>
              <w:jc w:val="center"/>
              <w:rPr>
                <w:rFonts w:eastAsia="Calibri" w:cs="Arial"/>
                <w:sz w:val="22"/>
                <w:szCs w:val="22"/>
              </w:rPr>
            </w:pPr>
            <w:r>
              <w:rPr>
                <w:sz w:val="22"/>
              </w:rPr>
              <w:t>H411 Toxikoa organismo urtarrentzat, ondorio kaltegarri iraunkorrekin</w:t>
            </w:r>
          </w:p>
        </w:tc>
      </w:tr>
    </w:tbl>
    <w:p w14:paraId="3B2993F0" w14:textId="77777777" w:rsidR="001A52C0" w:rsidRPr="001A52C0" w:rsidRDefault="001A52C0" w:rsidP="001A52C0">
      <w:pPr>
        <w:spacing w:line="259" w:lineRule="auto"/>
        <w:jc w:val="left"/>
        <w:rPr>
          <w:rFonts w:eastAsia="Calibri" w:cs="Arial"/>
          <w:sz w:val="22"/>
          <w:szCs w:val="22"/>
        </w:rPr>
      </w:pPr>
      <w:r>
        <w:rPr>
          <w:sz w:val="22"/>
        </w:rPr>
        <w:t> </w:t>
      </w:r>
    </w:p>
    <w:p w14:paraId="0CAAB9D7" w14:textId="59CF923C" w:rsidR="00897DD7" w:rsidRDefault="001A52C0" w:rsidP="00E84664">
      <w:pPr>
        <w:rPr>
          <w:rFonts w:cs="Arial"/>
          <w:color w:val="000000"/>
          <w:szCs w:val="24"/>
        </w:rPr>
      </w:pPr>
      <w:r>
        <w:rPr>
          <w:sz w:val="22"/>
        </w:rPr>
        <w:t xml:space="preserve">Hori dela-eta, 2023ko otsailean </w:t>
      </w:r>
      <w:proofErr w:type="spellStart"/>
      <w:r w:rsidR="00F03A85">
        <w:rPr>
          <w:sz w:val="22"/>
        </w:rPr>
        <w:t>Ecofert</w:t>
      </w:r>
      <w:proofErr w:type="spellEnd"/>
      <w:r w:rsidR="00F03A85">
        <w:rPr>
          <w:sz w:val="22"/>
        </w:rPr>
        <w:t xml:space="preserve"> </w:t>
      </w:r>
      <w:proofErr w:type="spellStart"/>
      <w:r w:rsidR="00F03A85">
        <w:rPr>
          <w:sz w:val="22"/>
        </w:rPr>
        <w:t>Sansoain</w:t>
      </w:r>
      <w:proofErr w:type="spellEnd"/>
      <w:r w:rsidR="00F03A85">
        <w:rPr>
          <w:sz w:val="22"/>
        </w:rPr>
        <w:t xml:space="preserve"> </w:t>
      </w:r>
      <w:r>
        <w:rPr>
          <w:sz w:val="22"/>
        </w:rPr>
        <w:t>SL enpresaren baltsetan lagindutako likidoa HP14 </w:t>
      </w:r>
      <w:proofErr w:type="spellStart"/>
      <w:r>
        <w:rPr>
          <w:sz w:val="22"/>
        </w:rPr>
        <w:t>ekotoxikotzat</w:t>
      </w:r>
      <w:proofErr w:type="spellEnd"/>
      <w:r>
        <w:rPr>
          <w:sz w:val="22"/>
        </w:rPr>
        <w:t xml:space="preserve"> jo zen, eta garai berean </w:t>
      </w:r>
      <w:proofErr w:type="spellStart"/>
      <w:r w:rsidR="00F03A85">
        <w:rPr>
          <w:sz w:val="22"/>
        </w:rPr>
        <w:t>Desarrollos</w:t>
      </w:r>
      <w:proofErr w:type="spellEnd"/>
      <w:r w:rsidR="00F03A85">
        <w:rPr>
          <w:sz w:val="22"/>
        </w:rPr>
        <w:t xml:space="preserve"> </w:t>
      </w:r>
      <w:proofErr w:type="spellStart"/>
      <w:r w:rsidR="00F03A85">
        <w:rPr>
          <w:sz w:val="22"/>
        </w:rPr>
        <w:t>Medioambientales</w:t>
      </w:r>
      <w:proofErr w:type="spellEnd"/>
      <w:r w:rsidR="00F03A85">
        <w:rPr>
          <w:sz w:val="22"/>
        </w:rPr>
        <w:t xml:space="preserve"> La </w:t>
      </w:r>
      <w:proofErr w:type="spellStart"/>
      <w:r w:rsidR="00F03A85">
        <w:rPr>
          <w:sz w:val="22"/>
        </w:rPr>
        <w:t>Coya</w:t>
      </w:r>
      <w:proofErr w:type="spellEnd"/>
      <w:r>
        <w:rPr>
          <w:sz w:val="22"/>
        </w:rPr>
        <w:t xml:space="preserve"> enpresan lagindutakoak ere HP14 </w:t>
      </w:r>
      <w:proofErr w:type="spellStart"/>
      <w:r>
        <w:rPr>
          <w:sz w:val="22"/>
        </w:rPr>
        <w:t>ekotoxikoaren</w:t>
      </w:r>
      <w:proofErr w:type="spellEnd"/>
      <w:r>
        <w:rPr>
          <w:sz w:val="22"/>
        </w:rPr>
        <w:t xml:space="preserve"> sailkapena jaso zuen.</w:t>
      </w:r>
    </w:p>
    <w:p w14:paraId="3D011CDE" w14:textId="77777777" w:rsidR="00E84664" w:rsidRDefault="00E84664" w:rsidP="00A56CCF">
      <w:pPr>
        <w:ind w:firstLine="540"/>
        <w:rPr>
          <w:rFonts w:cs="Arial"/>
          <w:color w:val="000000"/>
          <w:szCs w:val="24"/>
        </w:rPr>
      </w:pPr>
    </w:p>
    <w:p w14:paraId="0CA8206F" w14:textId="27802ACF" w:rsidR="00A56CCF" w:rsidRPr="00A56CCF" w:rsidRDefault="00A56CCF" w:rsidP="00A56CCF">
      <w:pPr>
        <w:ind w:firstLine="540"/>
        <w:rPr>
          <w:rFonts w:cs="Arial"/>
          <w:color w:val="000000"/>
          <w:szCs w:val="24"/>
        </w:rPr>
      </w:pPr>
      <w:r>
        <w:rPr>
          <w:color w:val="000000"/>
        </w:rPr>
        <w:t>Hori guztia jakinarazten dut, Nafarroako Parlamentuko Erregelamenduaren 215. artikuluan ezarritakoa betez.</w:t>
      </w:r>
    </w:p>
    <w:p w14:paraId="1AFE7779" w14:textId="77777777" w:rsidR="00E84664" w:rsidRDefault="00E84664" w:rsidP="00E84664">
      <w:pPr>
        <w:rPr>
          <w:rFonts w:cs="Arial"/>
          <w:color w:val="000000"/>
          <w:szCs w:val="24"/>
        </w:rPr>
      </w:pPr>
    </w:p>
    <w:p w14:paraId="6D14B618" w14:textId="77777777" w:rsidR="00E84664" w:rsidRDefault="00A56CCF" w:rsidP="00E84664">
      <w:pPr>
        <w:rPr>
          <w:rFonts w:cs="Arial"/>
          <w:color w:val="000000"/>
          <w:szCs w:val="24"/>
        </w:rPr>
      </w:pPr>
      <w:r>
        <w:rPr>
          <w:color w:val="000000"/>
        </w:rPr>
        <w:t>Iruñean, 2024ko otsailaren 26an</w:t>
      </w:r>
    </w:p>
    <w:p w14:paraId="42369BA0" w14:textId="1E5ECFD0" w:rsidR="00D77C2F" w:rsidRPr="00E07A7D" w:rsidRDefault="00C5596D" w:rsidP="00E84664">
      <w:pPr>
        <w:rPr>
          <w:rFonts w:cs="Arial"/>
          <w:color w:val="000000"/>
          <w:szCs w:val="24"/>
        </w:rPr>
      </w:pPr>
      <w:r>
        <w:rPr>
          <w:sz w:val="22"/>
        </w:rPr>
        <w:t>Landa Garapeneko eta Ingurumeneko kontseilaria</w:t>
      </w:r>
      <w:r>
        <w:rPr>
          <w:color w:val="000000"/>
        </w:rPr>
        <w:t>: José María Aierdi Fernández de Barrena</w:t>
      </w:r>
    </w:p>
    <w:sectPr w:rsidR="00D77C2F" w:rsidRPr="00E07A7D" w:rsidSect="002628F5">
      <w:footerReference w:type="even" r:id="rId7"/>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E0898" w14:textId="77777777" w:rsidR="002628F5" w:rsidRDefault="002628F5" w:rsidP="00381BB8">
      <w:pPr>
        <w:pStyle w:val="Encabezado"/>
      </w:pPr>
      <w:r>
        <w:separator/>
      </w:r>
    </w:p>
  </w:endnote>
  <w:endnote w:type="continuationSeparator" w:id="0">
    <w:p w14:paraId="6A44709D" w14:textId="77777777" w:rsidR="002628F5" w:rsidRDefault="002628F5"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0F898"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DF2C0B">
      <w:rPr>
        <w:rStyle w:val="Nmerodepgina"/>
        <w:rFonts w:cs="Arial"/>
      </w:rPr>
      <w:t>6</w:t>
    </w:r>
    <w:r w:rsidRPr="00514ED6">
      <w:rPr>
        <w:rStyle w:val="Nmerodepgina"/>
        <w:rFonts w:cs="Arial"/>
      </w:rPr>
      <w:fldChar w:fldCharType="end"/>
    </w:r>
    <w:r>
      <w:rPr>
        <w:rStyle w:val="Nmerodepgina"/>
      </w:rPr>
      <w:t xml:space="preserve"> </w:t>
    </w:r>
    <w:r>
      <w:rPr>
        <w:rStyle w:val="Nmerodepgina"/>
      </w:rPr>
      <w:tab/>
    </w:r>
    <w:r>
      <w:rPr>
        <w:rStyle w:val="Nmerodepgina"/>
      </w:rPr>
      <w:tab/>
      <w:t>Q19/</w:t>
    </w:r>
    <w:r>
      <w:rPr>
        <w:rStyle w:val="Nmerodepgina"/>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2207A" w14:textId="77777777" w:rsidR="002628F5" w:rsidRDefault="002628F5" w:rsidP="00381BB8">
      <w:pPr>
        <w:pStyle w:val="Encabezado"/>
      </w:pPr>
      <w:r>
        <w:separator/>
      </w:r>
    </w:p>
  </w:footnote>
  <w:footnote w:type="continuationSeparator" w:id="0">
    <w:p w14:paraId="01C35BB5" w14:textId="77777777" w:rsidR="002628F5" w:rsidRDefault="002628F5" w:rsidP="00381BB8">
      <w:pPr>
        <w:pStyle w:val="Encabezad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332532157">
    <w:abstractNumId w:val="7"/>
  </w:num>
  <w:num w:numId="2" w16cid:durableId="386496191">
    <w:abstractNumId w:val="3"/>
  </w:num>
  <w:num w:numId="3" w16cid:durableId="503016572">
    <w:abstractNumId w:val="8"/>
  </w:num>
  <w:num w:numId="4" w16cid:durableId="2128086795">
    <w:abstractNumId w:val="14"/>
  </w:num>
  <w:num w:numId="5" w16cid:durableId="1436364193">
    <w:abstractNumId w:val="1"/>
  </w:num>
  <w:num w:numId="6" w16cid:durableId="555162161">
    <w:abstractNumId w:val="13"/>
  </w:num>
  <w:num w:numId="7" w16cid:durableId="557208818">
    <w:abstractNumId w:val="5"/>
  </w:num>
  <w:num w:numId="8" w16cid:durableId="1586769754">
    <w:abstractNumId w:val="4"/>
  </w:num>
  <w:num w:numId="9" w16cid:durableId="338432187">
    <w:abstractNumId w:val="6"/>
  </w:num>
  <w:num w:numId="10" w16cid:durableId="177354686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37893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9999237">
    <w:abstractNumId w:val="15"/>
  </w:num>
  <w:num w:numId="13" w16cid:durableId="366638175">
    <w:abstractNumId w:val="2"/>
  </w:num>
  <w:num w:numId="14" w16cid:durableId="298655193">
    <w:abstractNumId w:val="12"/>
  </w:num>
  <w:num w:numId="15" w16cid:durableId="750004769">
    <w:abstractNumId w:val="0"/>
  </w:num>
  <w:num w:numId="16" w16cid:durableId="1877690651">
    <w:abstractNumId w:val="9"/>
  </w:num>
  <w:num w:numId="17" w16cid:durableId="1262639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F8"/>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5B6"/>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311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2C0"/>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4AFC"/>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28F5"/>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D5BCF"/>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97DD7"/>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3F8"/>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1769"/>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28B0"/>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96D"/>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2CFE"/>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2C0B"/>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664"/>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3A85"/>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C6FA8"/>
  <w15:chartTrackingRefBased/>
  <w15:docId w15:val="{50D5D861-18E9-4862-BDC6-125E50B4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style>
  <w:style w:type="paragraph" w:styleId="Sangra2detindependiente">
    <w:name w:val="Body Text Indent 2"/>
    <w:basedOn w:val="Normal"/>
    <w:rsid w:val="00085EEC"/>
    <w:pPr>
      <w:spacing w:line="360" w:lineRule="atLeast"/>
      <w:ind w:left="426" w:hanging="426"/>
    </w:p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9</TotalTime>
  <Pages>5</Pages>
  <Words>1033</Words>
  <Characters>7323</Characters>
  <Application>Microsoft Office Word</Application>
  <DocSecurity>0</DocSecurity>
  <Lines>61</Lines>
  <Paragraphs>16</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Martin Cestao, Nerea</cp:lastModifiedBy>
  <cp:revision>9</cp:revision>
  <cp:lastPrinted>2024-02-14T11:48:00Z</cp:lastPrinted>
  <dcterms:created xsi:type="dcterms:W3CDTF">2024-02-27T11:55:00Z</dcterms:created>
  <dcterms:modified xsi:type="dcterms:W3CDTF">2024-05-08T10:09:00Z</dcterms:modified>
</cp:coreProperties>
</file>