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37FA" w14:textId="3242DA9C" w:rsidR="00211860" w:rsidRDefault="00E84664" w:rsidP="007A14AD">
      <w:pPr>
        <w:ind w:firstLine="540"/>
        <w:rPr>
          <w:rFonts w:cs="Arial"/>
          <w:b/>
          <w:bCs/>
          <w:color w:val="000000"/>
          <w:szCs w:val="24"/>
        </w:rPr>
      </w:pPr>
      <w:r w:rsidRPr="00E84664">
        <w:rPr>
          <w:rFonts w:cs="Arial"/>
          <w:b/>
          <w:bCs/>
          <w:color w:val="000000"/>
          <w:szCs w:val="24"/>
        </w:rPr>
        <w:t>27 febrero 2024</w:t>
      </w:r>
    </w:p>
    <w:p w14:paraId="7456DE57" w14:textId="77777777" w:rsidR="00214AFC" w:rsidRPr="00E84664" w:rsidRDefault="00214AFC" w:rsidP="007A14AD">
      <w:pPr>
        <w:ind w:firstLine="540"/>
        <w:rPr>
          <w:rFonts w:cs="Arial"/>
          <w:b/>
          <w:bCs/>
          <w:color w:val="000000"/>
          <w:szCs w:val="24"/>
        </w:rPr>
      </w:pPr>
    </w:p>
    <w:p w14:paraId="111E30FD" w14:textId="77777777" w:rsidR="00934199" w:rsidRDefault="00B07455" w:rsidP="007A14AD">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en relación a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Pr="003F6512">
        <w:rPr>
          <w:rFonts w:cs="Arial"/>
          <w:szCs w:val="24"/>
        </w:rPr>
        <w:t>-</w:t>
      </w:r>
      <w:r w:rsidR="008D13F8">
        <w:rPr>
          <w:rFonts w:cs="Arial"/>
          <w:szCs w:val="24"/>
        </w:rPr>
        <w:t>00065</w:t>
      </w:r>
      <w:r w:rsidRPr="00B07455">
        <w:rPr>
          <w:rFonts w:cs="Arial"/>
          <w:szCs w:val="24"/>
        </w:rPr>
        <w:t xml:space="preserve"> solicitada por el Parlamentario Foral Ilmo. Sr. </w:t>
      </w:r>
      <w:r w:rsidR="00BC3A3A" w:rsidRPr="003F6512">
        <w:rPr>
          <w:rFonts w:cs="Arial"/>
          <w:color w:val="000000"/>
          <w:szCs w:val="24"/>
        </w:rPr>
        <w:t xml:space="preserve">don </w:t>
      </w:r>
      <w:r w:rsidR="008D13F8" w:rsidRPr="008D13F8">
        <w:rPr>
          <w:rFonts w:cs="Arial"/>
          <w:color w:val="000000"/>
          <w:szCs w:val="24"/>
        </w:rPr>
        <w:t>Miguel Bujanda Cirauqui</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8D13F8">
        <w:rPr>
          <w:rFonts w:cs="Arial"/>
        </w:rPr>
        <w:t>UPN</w:t>
      </w:r>
      <w:r w:rsidR="00BC3A3A" w:rsidRPr="00BC3A3A">
        <w:rPr>
          <w:rFonts w:cs="Arial"/>
        </w:rPr>
        <w:t xml:space="preserve">, </w:t>
      </w:r>
      <w:r>
        <w:rPr>
          <w:rFonts w:cs="Arial"/>
        </w:rPr>
        <w:t xml:space="preserve">sobre </w:t>
      </w:r>
      <w:r w:rsidR="008D13F8">
        <w:rPr>
          <w:rFonts w:cs="Arial"/>
        </w:rPr>
        <w:t>los a</w:t>
      </w:r>
      <w:r w:rsidR="008D13F8" w:rsidRPr="008D13F8">
        <w:rPr>
          <w:rFonts w:cs="Arial"/>
        </w:rPr>
        <w:t>nálisis de los residuos de las plantas de Ecofert y Lacoya medioambiental de Artajona</w:t>
      </w:r>
      <w:r w:rsidR="008D13F8">
        <w:rPr>
          <w:rFonts w:cs="Arial"/>
        </w:rPr>
        <w:t xml:space="preserve">, </w:t>
      </w:r>
      <w:r w:rsidR="008D13F8" w:rsidRPr="008D13F8">
        <w:rPr>
          <w:rFonts w:cs="Arial"/>
        </w:rPr>
        <w:t xml:space="preserve">que </w:t>
      </w:r>
      <w:r w:rsidR="001A52C0">
        <w:rPr>
          <w:rFonts w:cs="Arial"/>
        </w:rPr>
        <w:t xml:space="preserve">se mencionaron </w:t>
      </w:r>
      <w:r w:rsidR="008D13F8" w:rsidRPr="008D13F8">
        <w:rPr>
          <w:rFonts w:cs="Arial"/>
        </w:rPr>
        <w:t xml:space="preserve">en la rueda de prensa del día 31 de enero 2024 </w:t>
      </w:r>
      <w:r w:rsidR="00BC3A3A" w:rsidRPr="00BC3A3A">
        <w:rPr>
          <w:rFonts w:cs="Arial"/>
        </w:rPr>
        <w:t xml:space="preserve">tiene el honor de </w:t>
      </w:r>
      <w:r w:rsidR="008D13F8">
        <w:rPr>
          <w:rFonts w:cs="Arial"/>
        </w:rPr>
        <w:t>contestar a las preguntas planteadas:</w:t>
      </w:r>
    </w:p>
    <w:p w14:paraId="4E4A121B" w14:textId="77777777" w:rsidR="008D13F8" w:rsidRDefault="008D13F8" w:rsidP="007A14AD">
      <w:pPr>
        <w:ind w:firstLine="540"/>
        <w:rPr>
          <w:rFonts w:cs="Arial"/>
        </w:rPr>
      </w:pPr>
    </w:p>
    <w:p w14:paraId="0AA5787E" w14:textId="77777777" w:rsidR="001A52C0" w:rsidRPr="00897DD7" w:rsidRDefault="00897DD7" w:rsidP="001A52C0">
      <w:pPr>
        <w:ind w:firstLine="540"/>
        <w:rPr>
          <w:rFonts w:cs="Arial"/>
          <w:b/>
          <w:color w:val="000000"/>
          <w:szCs w:val="24"/>
        </w:rPr>
      </w:pPr>
      <w:r w:rsidRPr="00897DD7">
        <w:rPr>
          <w:rFonts w:cs="Arial"/>
          <w:b/>
          <w:color w:val="000000"/>
          <w:szCs w:val="24"/>
        </w:rPr>
        <w:t xml:space="preserve">1) </w:t>
      </w:r>
      <w:r w:rsidR="001A52C0" w:rsidRPr="00897DD7">
        <w:rPr>
          <w:rFonts w:cs="Arial"/>
          <w:b/>
          <w:color w:val="000000"/>
          <w:szCs w:val="24"/>
        </w:rPr>
        <w:t>¿Se han analizado lodos o fondo de la balsa donde con el tiempo trascurrido se han podido decantar los metales pesados?</w:t>
      </w:r>
    </w:p>
    <w:p w14:paraId="090C35B8" w14:textId="77777777" w:rsidR="001A52C0" w:rsidRPr="001A52C0" w:rsidRDefault="001A52C0" w:rsidP="001A52C0">
      <w:pPr>
        <w:ind w:firstLine="540"/>
        <w:rPr>
          <w:rFonts w:cs="Arial"/>
          <w:color w:val="000000"/>
          <w:szCs w:val="24"/>
        </w:rPr>
      </w:pPr>
      <w:r w:rsidRPr="001A52C0">
        <w:rPr>
          <w:rFonts w:cs="Arial"/>
          <w:color w:val="000000"/>
          <w:szCs w:val="24"/>
        </w:rPr>
        <w:t xml:space="preserve">El análisis se ha realizado del líquido existente en la balsa que corresponde al lixiviado propiamente dicho. No se ha planteado el análisis del lodo en el fondo de la balsa. </w:t>
      </w:r>
    </w:p>
    <w:p w14:paraId="3475934F" w14:textId="77777777" w:rsidR="001A52C0" w:rsidRPr="00897DD7" w:rsidRDefault="001A52C0" w:rsidP="001A52C0">
      <w:pPr>
        <w:ind w:firstLine="540"/>
        <w:rPr>
          <w:rFonts w:cs="Arial"/>
          <w:b/>
          <w:color w:val="000000"/>
          <w:szCs w:val="24"/>
        </w:rPr>
      </w:pPr>
      <w:r w:rsidRPr="001A52C0">
        <w:rPr>
          <w:rFonts w:cs="Arial"/>
          <w:color w:val="000000"/>
          <w:szCs w:val="24"/>
        </w:rPr>
        <w:t xml:space="preserve"> </w:t>
      </w:r>
      <w:r w:rsidR="00897DD7" w:rsidRPr="00897DD7">
        <w:rPr>
          <w:rFonts w:cs="Arial"/>
          <w:b/>
          <w:color w:val="000000"/>
          <w:szCs w:val="24"/>
        </w:rPr>
        <w:t xml:space="preserve">2) </w:t>
      </w:r>
      <w:r w:rsidRPr="00897DD7">
        <w:rPr>
          <w:rFonts w:cs="Arial"/>
          <w:b/>
          <w:color w:val="000000"/>
          <w:szCs w:val="24"/>
        </w:rPr>
        <w:t>¿Se han podido extraer lixiviados antes del análisis?</w:t>
      </w:r>
    </w:p>
    <w:p w14:paraId="1DA111C5" w14:textId="77777777" w:rsidR="001A52C0" w:rsidRPr="001A52C0" w:rsidRDefault="001A52C0" w:rsidP="001A52C0">
      <w:pPr>
        <w:ind w:firstLine="540"/>
        <w:rPr>
          <w:rFonts w:cs="Arial"/>
          <w:color w:val="000000"/>
          <w:szCs w:val="24"/>
        </w:rPr>
      </w:pPr>
      <w:r w:rsidRPr="001A52C0">
        <w:rPr>
          <w:rFonts w:cs="Arial"/>
          <w:color w:val="000000"/>
          <w:szCs w:val="24"/>
        </w:rPr>
        <w:t>El análisis corresponde al líquido existente en la balsa que corresponde al lixiviado del proceso de compostaje propiamente dicho. No se trata de un sólido del cual se obtiene un lixiviado, no tiene sentido obtener un lixiviado de un material líquido</w:t>
      </w:r>
    </w:p>
    <w:p w14:paraId="473384C3" w14:textId="77777777" w:rsidR="001A52C0" w:rsidRPr="00897DD7" w:rsidRDefault="00897DD7" w:rsidP="001A52C0">
      <w:pPr>
        <w:ind w:firstLine="540"/>
        <w:rPr>
          <w:rFonts w:cs="Arial"/>
          <w:b/>
          <w:color w:val="000000"/>
          <w:szCs w:val="24"/>
        </w:rPr>
      </w:pPr>
      <w:r w:rsidRPr="00897DD7">
        <w:rPr>
          <w:rFonts w:cs="Arial"/>
          <w:b/>
          <w:color w:val="000000"/>
          <w:szCs w:val="24"/>
        </w:rPr>
        <w:t xml:space="preserve">3) </w:t>
      </w:r>
      <w:r w:rsidR="001A52C0" w:rsidRPr="00897DD7">
        <w:rPr>
          <w:rFonts w:cs="Arial"/>
          <w:b/>
          <w:color w:val="000000"/>
          <w:szCs w:val="24"/>
        </w:rPr>
        <w:t>¿Se ha podido dar un proceso de dilución, esto es mezcla con liquido no toxico que provoca la "mejora" del resultado?</w:t>
      </w:r>
    </w:p>
    <w:p w14:paraId="1E7910A6" w14:textId="77777777" w:rsidR="008D13F8" w:rsidRPr="007A14AD" w:rsidRDefault="001A52C0" w:rsidP="001A52C0">
      <w:pPr>
        <w:ind w:firstLine="540"/>
        <w:rPr>
          <w:rFonts w:cs="Arial"/>
          <w:color w:val="000000"/>
          <w:szCs w:val="24"/>
        </w:rPr>
      </w:pPr>
      <w:r w:rsidRPr="001A52C0">
        <w:rPr>
          <w:rFonts w:cs="Arial"/>
          <w:color w:val="000000"/>
          <w:szCs w:val="24"/>
        </w:rPr>
        <w:t>El fin de las balsas de recogida de lixiviados existentes en las plantas de ECOFERT SANSOAIN S.L. y DESARROLLOS MEDIOAMBIENTALES LA COYA S.L. es la</w:t>
      </w:r>
      <w:r>
        <w:rPr>
          <w:rFonts w:cs="Arial"/>
          <w:color w:val="000000"/>
          <w:szCs w:val="24"/>
        </w:rPr>
        <w:t xml:space="preserve"> </w:t>
      </w:r>
      <w:r w:rsidRPr="001A52C0">
        <w:rPr>
          <w:rFonts w:cs="Arial"/>
          <w:color w:val="000000"/>
          <w:szCs w:val="24"/>
        </w:rPr>
        <w:t>recogida los lixiviados del proceso junto con las aguas pluviales del recinto. La ecotoxicidad del líquido presente en las balsas dependerá del equilibrio entre la entrada y salida de materiales con dicha característica de peligrosidad y la entrada y salida de materiales sin la misma, incluyendo el agua de lluvia. El análisis muestra las características del residuo en el momento del muestreo.</w:t>
      </w:r>
    </w:p>
    <w:p w14:paraId="258061AF" w14:textId="77777777" w:rsidR="00897DD7" w:rsidRDefault="00897DD7">
      <w:pPr>
        <w:spacing w:line="240" w:lineRule="auto"/>
        <w:jc w:val="left"/>
        <w:rPr>
          <w:rFonts w:cs="Arial"/>
        </w:rPr>
      </w:pPr>
      <w:r>
        <w:rPr>
          <w:rFonts w:cs="Arial"/>
        </w:rPr>
        <w:br w:type="page"/>
      </w:r>
    </w:p>
    <w:p w14:paraId="493044F3" w14:textId="77777777" w:rsidR="001A52C0" w:rsidRPr="00897DD7" w:rsidRDefault="00897DD7" w:rsidP="001A52C0">
      <w:pPr>
        <w:ind w:firstLine="709"/>
        <w:rPr>
          <w:rFonts w:cs="Arial"/>
          <w:b/>
        </w:rPr>
      </w:pPr>
      <w:r w:rsidRPr="00897DD7">
        <w:rPr>
          <w:rFonts w:cs="Arial"/>
          <w:b/>
        </w:rPr>
        <w:lastRenderedPageBreak/>
        <w:t xml:space="preserve">4) </w:t>
      </w:r>
      <w:r w:rsidR="001A52C0" w:rsidRPr="00897DD7">
        <w:rPr>
          <w:rFonts w:cs="Arial"/>
          <w:b/>
        </w:rPr>
        <w:t>¿En el análisis de febrero de 2023 da eco tóxico o no?”</w:t>
      </w:r>
    </w:p>
    <w:p w14:paraId="5BD1F7F7" w14:textId="77777777" w:rsidR="001A52C0" w:rsidRPr="001A52C0" w:rsidRDefault="001A52C0" w:rsidP="001A52C0">
      <w:pPr>
        <w:ind w:firstLine="709"/>
        <w:rPr>
          <w:rFonts w:cs="Arial"/>
        </w:rPr>
      </w:pPr>
      <w:r w:rsidRPr="001A52C0">
        <w:rPr>
          <w:rFonts w:cs="Arial"/>
        </w:rPr>
        <w:t>La determinación de las características de peligrosidad de un residuo se puede hacer de dos maneras: una es basándose en la composición del residuo y aplicando los criterios del Reglamento (UE) 2017/997 del Consejo de 8 de junio de 2017 (que modifica el anexo III de la Directiva Marco de Residuos); otra es mediante los ensayos de ecotoxicidad que figuran en el Reglamento (CE) 440/2008 de la Comisión, de 30 de mayo de 2008.</w:t>
      </w:r>
    </w:p>
    <w:p w14:paraId="2122A8D5" w14:textId="77777777" w:rsidR="001A52C0" w:rsidRPr="001A52C0" w:rsidRDefault="001A52C0" w:rsidP="001A52C0">
      <w:pPr>
        <w:ind w:firstLine="709"/>
        <w:rPr>
          <w:rFonts w:cs="Arial"/>
        </w:rPr>
      </w:pPr>
      <w:r w:rsidRPr="001A52C0">
        <w:rPr>
          <w:rFonts w:cs="Arial"/>
        </w:rPr>
        <w:t>En caso de que se utilicen los dos métodos para analizar el mismo residuo, hay que tener en cuenta que, de acuerdo con la Decisión de la Comisión 2014/955/UE, si una característica de peligrosidad de un residuo se evalúa por medio de un ensayo y también aplicando las concentraciones de las sustancias peligrosas como se indica en el anexo III de la DMR prevalecerán los resultados del ensayo.</w:t>
      </w:r>
    </w:p>
    <w:p w14:paraId="49B3AEA6" w14:textId="77777777" w:rsidR="001A52C0" w:rsidRPr="001A52C0" w:rsidRDefault="001A52C0" w:rsidP="001A52C0">
      <w:pPr>
        <w:ind w:firstLine="709"/>
        <w:rPr>
          <w:rFonts w:cs="Arial"/>
        </w:rPr>
      </w:pPr>
      <w:r w:rsidRPr="001A52C0">
        <w:rPr>
          <w:rFonts w:cs="Arial"/>
        </w:rPr>
        <w:t>Generalmente, suele ser más fácil determinar la composición del residuo en laboratorio y aplicar los criterios del Reglamento (UE) 2017/997 pero, si no se conoce la composición del residuo y no es posible determinarla mediante análisis, la evaluación de la ecotoxicidad puede realizarse mediante ensayos de ecotoxicidad (ensayos de toxicidad acuática aguda, ensayos de toxicidad acuática crónica y ensayos de toxicidad para el medio ambiente terrestre).</w:t>
      </w:r>
    </w:p>
    <w:p w14:paraId="0D3FE3C9" w14:textId="77777777" w:rsidR="001A52C0" w:rsidRPr="001A52C0" w:rsidRDefault="001A52C0" w:rsidP="001A52C0">
      <w:pPr>
        <w:ind w:firstLine="709"/>
        <w:rPr>
          <w:rFonts w:cs="Arial"/>
        </w:rPr>
      </w:pPr>
      <w:r w:rsidRPr="001A52C0">
        <w:rPr>
          <w:rFonts w:cs="Arial"/>
        </w:rPr>
        <w:t>En este caso no se conoce la composición del residuo al tratarse del líquido de las balsas de lixiviado de dos instalaciones de compostaje que reciben residuos de orígenes diversos y en los que, en particular, en una de ellas se han recibido residuos que no deberían haber llegado a la planta. Por todo ello se recurre al ensayo.</w:t>
      </w:r>
    </w:p>
    <w:p w14:paraId="67124273" w14:textId="77777777" w:rsidR="001A52C0" w:rsidRPr="001A52C0" w:rsidRDefault="001A52C0" w:rsidP="001A52C0">
      <w:pPr>
        <w:ind w:firstLine="709"/>
        <w:rPr>
          <w:rFonts w:cs="Arial"/>
        </w:rPr>
      </w:pPr>
      <w:r w:rsidRPr="001A52C0">
        <w:rPr>
          <w:rFonts w:cs="Arial"/>
        </w:rPr>
        <w:t xml:space="preserve">Sobre la interpretación de los resultados:  </w:t>
      </w:r>
    </w:p>
    <w:p w14:paraId="428C2AF7" w14:textId="77777777" w:rsidR="001A52C0" w:rsidRPr="001A52C0" w:rsidRDefault="001A52C0" w:rsidP="001A52C0">
      <w:pPr>
        <w:ind w:firstLine="709"/>
        <w:rPr>
          <w:rFonts w:cs="Arial"/>
        </w:rPr>
      </w:pPr>
      <w:r w:rsidRPr="001A52C0">
        <w:rPr>
          <w:rFonts w:cs="Arial"/>
        </w:rPr>
        <w:t>•</w:t>
      </w:r>
      <w:r w:rsidRPr="001A52C0">
        <w:rPr>
          <w:rFonts w:cs="Arial"/>
        </w:rPr>
        <w:tab/>
        <w:t>De acuerdo con la Ley 7/2022, en el Anexo I. Características de los residuos que permiten calificarlos de peligrosos, en el punto n) HP 14 Ecotóxico: corresponde a los residuos que presentan o pueden presentar riesgos inmediatos o diferidos para uno o más compartimentos del medio ambiente. Los residuos que respondan a alguna de las condiciones siguientes se clasificarán como peligrosos por HP 14:</w:t>
      </w:r>
    </w:p>
    <w:p w14:paraId="165922DF" w14:textId="77777777" w:rsidR="001A52C0" w:rsidRPr="001A52C0" w:rsidRDefault="001A52C0" w:rsidP="001A52C0">
      <w:pPr>
        <w:ind w:firstLine="709"/>
        <w:rPr>
          <w:rFonts w:cs="Arial"/>
        </w:rPr>
      </w:pPr>
      <w:r w:rsidRPr="001A52C0">
        <w:rPr>
          <w:rFonts w:cs="Arial"/>
        </w:rPr>
        <w:lastRenderedPageBreak/>
        <w:t>•</w:t>
      </w:r>
      <w:r w:rsidRPr="001A52C0">
        <w:rPr>
          <w:rFonts w:cs="Arial"/>
        </w:rPr>
        <w:tab/>
        <w:t>REGLAMENTO (CE) No 1272/2008 DEL PARLAMENTO EUROPEO Y DEL CONSEJO de 16 de diciembre de 2008 sobre clasificación, etiquetado y envasado de sustancias y mezclas, y por el que se modifican y derogan las Directivas 67/548/CEE y 1999/45/CE y se modifica el Reglamento (CE) no 1907/2006</w:t>
      </w:r>
    </w:p>
    <w:p w14:paraId="749B7005" w14:textId="77777777" w:rsidR="001A52C0" w:rsidRPr="001A52C0" w:rsidRDefault="001A52C0" w:rsidP="001A52C0">
      <w:pPr>
        <w:ind w:firstLine="709"/>
        <w:rPr>
          <w:rFonts w:cs="Arial"/>
        </w:rPr>
      </w:pPr>
      <w:r w:rsidRPr="001A52C0">
        <w:rPr>
          <w:rFonts w:cs="Arial"/>
        </w:rPr>
        <w:t xml:space="preserve"> 4.1.3.3. Clasificación de las mezclas cuando se dispone de datos para la mezcla como tal</w:t>
      </w:r>
    </w:p>
    <w:p w14:paraId="0A2553B3" w14:textId="77777777" w:rsidR="001A52C0" w:rsidRPr="001A52C0" w:rsidRDefault="001A52C0" w:rsidP="001A52C0">
      <w:pPr>
        <w:ind w:firstLine="709"/>
        <w:rPr>
          <w:rFonts w:cs="Arial"/>
        </w:rPr>
      </w:pPr>
      <w:r w:rsidRPr="001A52C0">
        <w:rPr>
          <w:rFonts w:cs="Arial"/>
        </w:rPr>
        <w:t>4.1.3.3.1. Cuando se hayan realizado ensayos de la mezcla como tal para determinar su toxicidad acuática, se clasificará con arreglo a los criterios adoptados para las sustancias, pero sólo para la categoría aguda. La clasificación se basará en</w:t>
      </w:r>
      <w:r>
        <w:rPr>
          <w:rFonts w:cs="Arial"/>
        </w:rPr>
        <w:t xml:space="preserve"> </w:t>
      </w:r>
      <w:r w:rsidRPr="001A52C0">
        <w:rPr>
          <w:rFonts w:cs="Arial"/>
        </w:rPr>
        <w:t>los datos para peces, crustáceos y algas o plantas. La clasificación en la categoría de toxicidad crónica de las mezclas a partir de los datos de CL50 o CE50 no es posible, ya que se necesitan datos sobre la toxicidad y el destino/comportamiento en el medio ambiente de la mezcla, y no existen datos de degradabilidad y bioacumulación para las mezclas como tales. En este caso no es posible aplicar los criterios de toxicidad crónica para la clasificación porque no se pueden interpretar los datos derivados de los ensayos de degradabilidad y bioacumulación de una mezcla. Estos datos sólo tienen sentido para sustancias individuales.</w:t>
      </w:r>
    </w:p>
    <w:p w14:paraId="5508B273" w14:textId="77777777" w:rsidR="001A52C0" w:rsidRPr="001A52C0" w:rsidRDefault="001A52C0" w:rsidP="001A52C0">
      <w:pPr>
        <w:ind w:firstLine="709"/>
        <w:rPr>
          <w:rFonts w:cs="Arial"/>
        </w:rPr>
      </w:pPr>
      <w:r w:rsidRPr="001A52C0">
        <w:rPr>
          <w:rFonts w:cs="Arial"/>
        </w:rPr>
        <w:t>4.1.3.3.2. Cuando se disponga de datos de los ensayos de toxicidad aguda (CL50 o CE50) para la mezcla como tal, estos datos, así como la información respecto de la clasificación de los componentes según su toxicidad crónica (a largo plazo), se usarán para completar la clasificación de las mezclas ensayadas del modo que se indica a continuación. También se utilizarán, además, los datos sobre toxicidad crónica (NOEC), cuando se disponga de ellos.</w:t>
      </w:r>
    </w:p>
    <w:p w14:paraId="49B2B700" w14:textId="77777777" w:rsidR="001A52C0" w:rsidRPr="001A52C0" w:rsidRDefault="001A52C0" w:rsidP="001A52C0">
      <w:pPr>
        <w:ind w:firstLine="709"/>
        <w:rPr>
          <w:rFonts w:cs="Arial"/>
        </w:rPr>
      </w:pPr>
      <w:r w:rsidRPr="001A52C0">
        <w:rPr>
          <w:rFonts w:cs="Arial"/>
        </w:rPr>
        <w:t>(a) La C(E)L50 de la mezcla sometida a ensayo ≤ 100 mg/l y la Noec de dicha mezcla &gt; 1 mg/l o es desconocida:</w:t>
      </w:r>
    </w:p>
    <w:p w14:paraId="682350F1" w14:textId="6196DE69" w:rsidR="001A52C0" w:rsidRPr="001A52C0" w:rsidRDefault="007D5BCF" w:rsidP="001A52C0">
      <w:pPr>
        <w:ind w:firstLine="709"/>
        <w:rPr>
          <w:rFonts w:cs="Arial"/>
        </w:rPr>
      </w:pPr>
      <w:r>
        <w:rPr>
          <w:rFonts w:cs="Arial"/>
        </w:rPr>
        <w:t>–</w:t>
      </w:r>
      <w:r w:rsidR="001A52C0" w:rsidRPr="001A52C0">
        <w:rPr>
          <w:rFonts w:cs="Arial"/>
        </w:rPr>
        <w:t xml:space="preserve"> Clasificar la mezcla como categoría aguda 1 (CL50 o CE50 experimental de la mezcla &lt; 1 mg/l), o no es necesario clasificación aguda (CL50 o CE50 experimental de la mezcla &gt; 1 mg/l).</w:t>
      </w:r>
    </w:p>
    <w:p w14:paraId="2DE51481" w14:textId="7BF16447" w:rsidR="001A52C0" w:rsidRPr="001A52C0" w:rsidRDefault="00D92CFE" w:rsidP="001A52C0">
      <w:pPr>
        <w:ind w:firstLine="709"/>
        <w:rPr>
          <w:rFonts w:cs="Arial"/>
        </w:rPr>
      </w:pPr>
      <w:r>
        <w:rPr>
          <w:rFonts w:cs="Arial"/>
          <w:color w:val="000000"/>
          <w:szCs w:val="24"/>
        </w:rPr>
        <w:lastRenderedPageBreak/>
        <w:t>–</w:t>
      </w:r>
      <w:r w:rsidR="001A52C0" w:rsidRPr="001A52C0">
        <w:rPr>
          <w:rFonts w:cs="Arial"/>
        </w:rPr>
        <w:t xml:space="preserve"> Aplicar el método sumatorio (véase 4.1.3.5.5) para la clasificación en las categorías crónicas 1, 2, 3 o 4, o para determinar que dicha clasificación no es necesaria;</w:t>
      </w:r>
    </w:p>
    <w:p w14:paraId="4850625E" w14:textId="77777777" w:rsidR="001A52C0" w:rsidRPr="001A52C0" w:rsidRDefault="001A52C0" w:rsidP="001A52C0">
      <w:pPr>
        <w:ind w:firstLine="709"/>
        <w:rPr>
          <w:rFonts w:cs="Arial"/>
        </w:rPr>
      </w:pPr>
      <w:r w:rsidRPr="001A52C0">
        <w:rPr>
          <w:rFonts w:cs="Arial"/>
        </w:rPr>
        <w:t>(b) La C(E)L50 de la mezcla sometida a ensayo ≤ 100 mg/l y las Noecs experimentales de dicha mezcla &gt; 1 mg/l:</w:t>
      </w:r>
    </w:p>
    <w:p w14:paraId="4EDA9141" w14:textId="10C222A5" w:rsidR="001A52C0" w:rsidRPr="001A52C0" w:rsidRDefault="00D92CFE" w:rsidP="001A52C0">
      <w:pPr>
        <w:ind w:firstLine="709"/>
        <w:rPr>
          <w:rFonts w:cs="Arial"/>
        </w:rPr>
      </w:pPr>
      <w:r>
        <w:rPr>
          <w:rFonts w:cs="Arial"/>
          <w:color w:val="000000"/>
          <w:szCs w:val="24"/>
        </w:rPr>
        <w:t>–</w:t>
      </w:r>
      <w:r w:rsidR="001A52C0" w:rsidRPr="001A52C0">
        <w:rPr>
          <w:rFonts w:cs="Arial"/>
        </w:rPr>
        <w:t xml:space="preserve"> No hay necesidad de una clasificación en la categoría aguda;</w:t>
      </w:r>
    </w:p>
    <w:p w14:paraId="3203540A" w14:textId="12DE7691" w:rsidR="001A52C0" w:rsidRPr="001A52C0" w:rsidRDefault="00D92CFE" w:rsidP="001A52C0">
      <w:pPr>
        <w:ind w:firstLine="709"/>
        <w:rPr>
          <w:rFonts w:cs="Arial"/>
        </w:rPr>
      </w:pPr>
      <w:r>
        <w:rPr>
          <w:rFonts w:cs="Arial"/>
          <w:color w:val="000000"/>
          <w:szCs w:val="24"/>
        </w:rPr>
        <w:t>–</w:t>
      </w:r>
      <w:r w:rsidR="001A52C0" w:rsidRPr="001A52C0">
        <w:rPr>
          <w:rFonts w:cs="Arial"/>
        </w:rPr>
        <w:t xml:space="preserve"> Aplicar el método sumatorio (véase 4.1.3.5.5) para la clasificación en la categoría crónica 1. Si la mezcla no se clasifica en dicha categoría, la clasificación en la categoría crónica no será necesaria;</w:t>
      </w:r>
    </w:p>
    <w:p w14:paraId="44BBCCEA" w14:textId="77777777" w:rsidR="001A52C0" w:rsidRPr="001A52C0" w:rsidRDefault="001A52C0" w:rsidP="001A52C0">
      <w:pPr>
        <w:ind w:firstLine="709"/>
        <w:rPr>
          <w:rFonts w:cs="Arial"/>
        </w:rPr>
      </w:pPr>
      <w:r w:rsidRPr="001A52C0">
        <w:rPr>
          <w:rFonts w:cs="Arial"/>
        </w:rPr>
        <w:t>(c) Las C(E)L50s de la mezcla sometida a ensayo &gt; 100 mg/l, o superior al límite de solubilidad en agua, y la Noec de dicha mezcla ≤ 1 mg/l o es desconocida:</w:t>
      </w:r>
    </w:p>
    <w:p w14:paraId="73B0F935" w14:textId="373D4B11" w:rsidR="001A52C0" w:rsidRPr="001A52C0" w:rsidRDefault="00D92CFE" w:rsidP="001A52C0">
      <w:pPr>
        <w:ind w:firstLine="709"/>
        <w:rPr>
          <w:rFonts w:cs="Arial"/>
        </w:rPr>
      </w:pPr>
      <w:r>
        <w:rPr>
          <w:rFonts w:cs="Arial"/>
          <w:color w:val="000000"/>
          <w:szCs w:val="24"/>
        </w:rPr>
        <w:t>–</w:t>
      </w:r>
      <w:r w:rsidR="001A52C0" w:rsidRPr="001A52C0">
        <w:rPr>
          <w:rFonts w:cs="Arial"/>
        </w:rPr>
        <w:t xml:space="preserve"> No hay necesidad de una clasificación en la categoría aguda;</w:t>
      </w:r>
    </w:p>
    <w:p w14:paraId="67555C0A" w14:textId="2A441EF4" w:rsidR="001A52C0" w:rsidRPr="001A52C0" w:rsidRDefault="00D92CFE" w:rsidP="001A52C0">
      <w:pPr>
        <w:ind w:firstLine="709"/>
        <w:rPr>
          <w:rFonts w:cs="Arial"/>
        </w:rPr>
      </w:pPr>
      <w:r>
        <w:rPr>
          <w:rFonts w:cs="Arial"/>
          <w:color w:val="000000"/>
          <w:szCs w:val="24"/>
        </w:rPr>
        <w:t>–</w:t>
      </w:r>
      <w:r w:rsidR="001A52C0" w:rsidRPr="001A52C0">
        <w:rPr>
          <w:rFonts w:cs="Arial"/>
        </w:rPr>
        <w:t xml:space="preserve"> Aplicar el método sumatorio (véase 4.1.3.5.5) para la clasificación en la categoría crónica 4, o para determinar que dicha clasificación no es necesaria;</w:t>
      </w:r>
    </w:p>
    <w:p w14:paraId="50B8DA27" w14:textId="77777777" w:rsidR="001A52C0" w:rsidRDefault="001A52C0" w:rsidP="001A52C0">
      <w:pPr>
        <w:ind w:firstLine="709"/>
        <w:rPr>
          <w:rFonts w:cs="Arial"/>
        </w:rPr>
      </w:pPr>
      <w:r w:rsidRPr="001A52C0">
        <w:rPr>
          <w:rFonts w:cs="Arial"/>
        </w:rPr>
        <w:t>(d) Las C(E)L50s de la mezcla sometida a ensayo &gt; 100 mg/l, o superior al límite de solubilidad en agua, y las Noecs de dicha mezcla &gt; 1 mg/l: No es necesario</w:t>
      </w:r>
      <w:r>
        <w:rPr>
          <w:rFonts w:cs="Arial"/>
        </w:rPr>
        <w:t xml:space="preserve"> </w:t>
      </w:r>
      <w:r w:rsidRPr="001A52C0">
        <w:rPr>
          <w:rFonts w:cs="Arial"/>
        </w:rPr>
        <w:t>clasificar para las categorías agudas o crónicas (a largo plazo).</w:t>
      </w:r>
    </w:p>
    <w:p w14:paraId="5E95E0EF" w14:textId="77777777" w:rsidR="001A52C0" w:rsidRDefault="001A52C0" w:rsidP="00BC3A3A">
      <w:pPr>
        <w:ind w:firstLine="709"/>
        <w:rPr>
          <w:rFonts w:cs="Arial"/>
        </w:rPr>
      </w:pPr>
    </w:p>
    <w:p w14:paraId="36E317B4" w14:textId="77777777" w:rsidR="00897DD7" w:rsidRDefault="001A52C0" w:rsidP="00897DD7">
      <w:pPr>
        <w:rPr>
          <w:rFonts w:eastAsia="Calibri" w:cs="Arial"/>
          <w:sz w:val="22"/>
          <w:szCs w:val="22"/>
          <w:lang w:eastAsia="en-US"/>
        </w:rPr>
      </w:pPr>
      <w:r w:rsidRPr="001A52C0">
        <w:rPr>
          <w:rFonts w:eastAsia="Calibri" w:cs="Arial"/>
          <w:sz w:val="22"/>
          <w:szCs w:val="22"/>
          <w:lang w:eastAsia="en-US"/>
        </w:rPr>
        <w:t>Los resultados de los ensayos de toxicidad se expresan en Unidades Tóxicas (U.T.), que es equivalente a la unidad Equitox/m</w:t>
      </w:r>
      <w:r w:rsidRPr="001A52C0">
        <w:rPr>
          <w:rFonts w:eastAsia="Calibri" w:cs="Arial"/>
          <w:sz w:val="22"/>
          <w:szCs w:val="22"/>
          <w:vertAlign w:val="superscript"/>
          <w:lang w:eastAsia="en-US"/>
        </w:rPr>
        <w:t>3</w:t>
      </w:r>
      <w:r w:rsidRPr="001A52C0">
        <w:rPr>
          <w:rFonts w:eastAsia="Calibri" w:cs="Arial"/>
          <w:sz w:val="22"/>
          <w:szCs w:val="22"/>
          <w:lang w:eastAsia="en-US"/>
        </w:rPr>
        <w:t>, también empleada en este tipo de ensayos. Los resultados de C(E)L50 obtenidos en los ensayos de ecotoxicidad se expresan inicialmente en porcentaje de la muestra. U.T.=100/C(E)L50(%)</w:t>
      </w:r>
      <w:r w:rsidR="00897DD7">
        <w:rPr>
          <w:rFonts w:eastAsia="Calibri" w:cs="Arial"/>
          <w:sz w:val="22"/>
          <w:szCs w:val="22"/>
          <w:lang w:eastAsia="en-US"/>
        </w:rPr>
        <w:t>.</w:t>
      </w:r>
    </w:p>
    <w:p w14:paraId="648CCBB1" w14:textId="12260792" w:rsidR="001A52C0" w:rsidRPr="001A52C0" w:rsidRDefault="001A52C0" w:rsidP="00E84664">
      <w:pPr>
        <w:spacing w:line="240" w:lineRule="auto"/>
        <w:jc w:val="left"/>
        <w:rPr>
          <w:rFonts w:eastAsia="Calibri" w:cs="Arial"/>
          <w:sz w:val="22"/>
          <w:szCs w:val="22"/>
          <w:lang w:eastAsia="en-US"/>
        </w:rPr>
      </w:pPr>
      <w:r w:rsidRPr="001A52C0">
        <w:rPr>
          <w:rFonts w:eastAsia="Calibri" w:cs="Arial"/>
          <w:sz w:val="22"/>
          <w:szCs w:val="22"/>
          <w:lang w:eastAsia="en-US"/>
        </w:rPr>
        <w:t>Una toxicidad de 1 U.T. indica que el 50% de los organismos se ve afectado (muerto o inmovilizado) por la muestra sin diluir (al 100%); un valor de 10 U.T. indica que el 50% de los organismos se ve afectado (muerto o inmovilizado) por la muestra diluida al 10% (1/10). De esta forma la equivalencia entre concentración en mg/l y U.T es la siguiente:</w:t>
      </w:r>
    </w:p>
    <w:p w14:paraId="086F261D" w14:textId="77777777" w:rsidR="001A52C0" w:rsidRPr="001A52C0" w:rsidRDefault="001A52C0" w:rsidP="001A52C0">
      <w:pPr>
        <w:spacing w:line="259" w:lineRule="auto"/>
        <w:jc w:val="left"/>
        <w:rPr>
          <w:rFonts w:eastAsia="Calibri" w:cs="Arial"/>
          <w:sz w:val="22"/>
          <w:szCs w:val="22"/>
          <w:lang w:eastAsia="en-US"/>
        </w:rPr>
      </w:pPr>
    </w:p>
    <w:tbl>
      <w:tblPr>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705"/>
        <w:gridCol w:w="1736"/>
        <w:gridCol w:w="2565"/>
        <w:gridCol w:w="2498"/>
      </w:tblGrid>
      <w:tr w:rsidR="001A52C0" w:rsidRPr="001A52C0" w14:paraId="62BB6780" w14:textId="77777777" w:rsidTr="00977199">
        <w:tc>
          <w:tcPr>
            <w:tcW w:w="1809" w:type="dxa"/>
            <w:tcMar>
              <w:top w:w="0" w:type="dxa"/>
              <w:left w:w="108" w:type="dxa"/>
              <w:bottom w:w="0" w:type="dxa"/>
              <w:right w:w="108" w:type="dxa"/>
            </w:tcMar>
          </w:tcPr>
          <w:p w14:paraId="2B15CDB9" w14:textId="57FD2CB3"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&gt; 100 mg/l </w:t>
            </w:r>
          </w:p>
        </w:tc>
        <w:tc>
          <w:tcPr>
            <w:tcW w:w="1843" w:type="dxa"/>
            <w:tcMar>
              <w:top w:w="0" w:type="dxa"/>
              <w:left w:w="108" w:type="dxa"/>
              <w:bottom w:w="0" w:type="dxa"/>
              <w:right w:w="108" w:type="dxa"/>
            </w:tcMar>
          </w:tcPr>
          <w:p w14:paraId="7E820BF8"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&lt; 1 U.T. </w:t>
            </w:r>
          </w:p>
        </w:tc>
        <w:tc>
          <w:tcPr>
            <w:tcW w:w="2693" w:type="dxa"/>
          </w:tcPr>
          <w:p w14:paraId="5E121A29" w14:textId="77777777" w:rsidR="001A52C0" w:rsidRPr="001A52C0" w:rsidRDefault="001A52C0" w:rsidP="001A52C0">
            <w:pPr>
              <w:autoSpaceDE w:val="0"/>
              <w:autoSpaceDN w:val="0"/>
              <w:spacing w:line="259" w:lineRule="auto"/>
              <w:ind w:left="146" w:right="72"/>
              <w:rPr>
                <w:rFonts w:eastAsia="Calibri" w:cs="Arial"/>
                <w:szCs w:val="24"/>
                <w:lang w:eastAsia="en-US"/>
              </w:rPr>
            </w:pPr>
            <w:r w:rsidRPr="001A52C0">
              <w:rPr>
                <w:rFonts w:eastAsia="Calibri" w:cs="Arial"/>
                <w:sz w:val="22"/>
                <w:szCs w:val="22"/>
                <w:lang w:eastAsia="en-US"/>
              </w:rPr>
              <w:t>No clasificado (escasa toxicidad)</w:t>
            </w:r>
          </w:p>
        </w:tc>
        <w:tc>
          <w:tcPr>
            <w:tcW w:w="2660" w:type="dxa"/>
            <w:tcMar>
              <w:top w:w="0" w:type="dxa"/>
              <w:left w:w="108" w:type="dxa"/>
              <w:bottom w:w="0" w:type="dxa"/>
              <w:right w:w="108" w:type="dxa"/>
            </w:tcMar>
          </w:tcPr>
          <w:p w14:paraId="7782747A" w14:textId="77777777" w:rsidR="001A52C0" w:rsidRPr="001A52C0" w:rsidRDefault="001A52C0" w:rsidP="001A52C0">
            <w:pPr>
              <w:autoSpaceDE w:val="0"/>
              <w:autoSpaceDN w:val="0"/>
              <w:spacing w:line="259" w:lineRule="auto"/>
              <w:rPr>
                <w:rFonts w:eastAsia="Calibri" w:cs="Arial"/>
                <w:sz w:val="22"/>
                <w:szCs w:val="22"/>
                <w:lang w:eastAsia="en-US"/>
              </w:rPr>
            </w:pPr>
            <w:r w:rsidRPr="001A52C0">
              <w:rPr>
                <w:rFonts w:eastAsia="Calibri" w:cs="Arial"/>
                <w:szCs w:val="24"/>
                <w:lang w:eastAsia="en-US"/>
              </w:rPr>
              <w:t>Clase 1: &lt; 1 U.T.</w:t>
            </w:r>
          </w:p>
        </w:tc>
      </w:tr>
      <w:tr w:rsidR="001A52C0" w:rsidRPr="001A52C0" w14:paraId="3EE53233" w14:textId="77777777" w:rsidTr="00977199">
        <w:tc>
          <w:tcPr>
            <w:tcW w:w="1809" w:type="dxa"/>
            <w:tcMar>
              <w:top w:w="0" w:type="dxa"/>
              <w:left w:w="108" w:type="dxa"/>
              <w:bottom w:w="0" w:type="dxa"/>
              <w:right w:w="108" w:type="dxa"/>
            </w:tcMar>
          </w:tcPr>
          <w:p w14:paraId="4A7E8B04"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100 – 10 mg/l </w:t>
            </w:r>
          </w:p>
        </w:tc>
        <w:tc>
          <w:tcPr>
            <w:tcW w:w="1843" w:type="dxa"/>
            <w:tcMar>
              <w:top w:w="0" w:type="dxa"/>
              <w:left w:w="108" w:type="dxa"/>
              <w:bottom w:w="0" w:type="dxa"/>
              <w:right w:w="108" w:type="dxa"/>
            </w:tcMar>
          </w:tcPr>
          <w:p w14:paraId="73A7F968"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1 – 10 U.T. </w:t>
            </w:r>
          </w:p>
        </w:tc>
        <w:tc>
          <w:tcPr>
            <w:tcW w:w="2693" w:type="dxa"/>
          </w:tcPr>
          <w:p w14:paraId="0E180CA3" w14:textId="77777777" w:rsidR="001A52C0" w:rsidRPr="001A52C0" w:rsidRDefault="001A52C0" w:rsidP="001A52C0">
            <w:pPr>
              <w:autoSpaceDE w:val="0"/>
              <w:autoSpaceDN w:val="0"/>
              <w:spacing w:line="259" w:lineRule="auto"/>
              <w:ind w:left="146" w:right="72"/>
              <w:rPr>
                <w:rFonts w:eastAsia="Calibri" w:cs="Arial"/>
                <w:szCs w:val="24"/>
                <w:lang w:eastAsia="en-US"/>
              </w:rPr>
            </w:pPr>
            <w:r w:rsidRPr="001A52C0">
              <w:rPr>
                <w:rFonts w:eastAsia="Calibri" w:cs="Arial"/>
                <w:sz w:val="22"/>
                <w:szCs w:val="22"/>
                <w:lang w:eastAsia="en-US"/>
              </w:rPr>
              <w:t>Nocivo</w:t>
            </w:r>
          </w:p>
        </w:tc>
        <w:tc>
          <w:tcPr>
            <w:tcW w:w="2660" w:type="dxa"/>
            <w:tcMar>
              <w:top w:w="0" w:type="dxa"/>
              <w:left w:w="108" w:type="dxa"/>
              <w:bottom w:w="0" w:type="dxa"/>
              <w:right w:w="108" w:type="dxa"/>
            </w:tcMar>
          </w:tcPr>
          <w:p w14:paraId="4BA97473" w14:textId="77777777" w:rsidR="001A52C0" w:rsidRPr="001A52C0" w:rsidRDefault="001A52C0" w:rsidP="001A52C0">
            <w:pPr>
              <w:autoSpaceDE w:val="0"/>
              <w:autoSpaceDN w:val="0"/>
              <w:spacing w:line="259" w:lineRule="auto"/>
              <w:rPr>
                <w:rFonts w:eastAsia="Calibri" w:cs="Arial"/>
                <w:sz w:val="22"/>
                <w:szCs w:val="22"/>
                <w:lang w:eastAsia="en-US"/>
              </w:rPr>
            </w:pPr>
            <w:r w:rsidRPr="001A52C0">
              <w:rPr>
                <w:rFonts w:eastAsia="Calibri" w:cs="Arial"/>
                <w:szCs w:val="24"/>
                <w:lang w:eastAsia="en-US"/>
              </w:rPr>
              <w:t>Clase 2: 1 – 10 U.T.</w:t>
            </w:r>
          </w:p>
        </w:tc>
      </w:tr>
      <w:tr w:rsidR="001A52C0" w:rsidRPr="001A52C0" w14:paraId="12474853" w14:textId="77777777" w:rsidTr="00977199">
        <w:tc>
          <w:tcPr>
            <w:tcW w:w="1809" w:type="dxa"/>
            <w:tcMar>
              <w:top w:w="0" w:type="dxa"/>
              <w:left w:w="108" w:type="dxa"/>
              <w:bottom w:w="0" w:type="dxa"/>
              <w:right w:w="108" w:type="dxa"/>
            </w:tcMar>
          </w:tcPr>
          <w:p w14:paraId="79C3A0DF"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10 – 1 mg/l </w:t>
            </w:r>
          </w:p>
        </w:tc>
        <w:tc>
          <w:tcPr>
            <w:tcW w:w="1843" w:type="dxa"/>
            <w:tcMar>
              <w:top w:w="0" w:type="dxa"/>
              <w:left w:w="108" w:type="dxa"/>
              <w:bottom w:w="0" w:type="dxa"/>
              <w:right w:w="108" w:type="dxa"/>
            </w:tcMar>
          </w:tcPr>
          <w:p w14:paraId="60FF7CC0"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11 – 100 U.T. </w:t>
            </w:r>
          </w:p>
        </w:tc>
        <w:tc>
          <w:tcPr>
            <w:tcW w:w="2693" w:type="dxa"/>
          </w:tcPr>
          <w:p w14:paraId="4461C7C3" w14:textId="77777777" w:rsidR="001A52C0" w:rsidRPr="001A52C0" w:rsidRDefault="001A52C0" w:rsidP="001A52C0">
            <w:pPr>
              <w:autoSpaceDE w:val="0"/>
              <w:autoSpaceDN w:val="0"/>
              <w:spacing w:line="259" w:lineRule="auto"/>
              <w:ind w:left="146" w:right="72"/>
              <w:rPr>
                <w:rFonts w:eastAsia="Calibri" w:cs="Arial"/>
                <w:szCs w:val="24"/>
                <w:lang w:eastAsia="en-US"/>
              </w:rPr>
            </w:pPr>
            <w:r w:rsidRPr="001A52C0">
              <w:rPr>
                <w:rFonts w:eastAsia="Calibri" w:cs="Arial"/>
                <w:sz w:val="22"/>
                <w:szCs w:val="22"/>
                <w:lang w:eastAsia="en-US"/>
              </w:rPr>
              <w:t>Tóxico</w:t>
            </w:r>
          </w:p>
        </w:tc>
        <w:tc>
          <w:tcPr>
            <w:tcW w:w="2660" w:type="dxa"/>
            <w:tcMar>
              <w:top w:w="0" w:type="dxa"/>
              <w:left w:w="108" w:type="dxa"/>
              <w:bottom w:w="0" w:type="dxa"/>
              <w:right w:w="108" w:type="dxa"/>
            </w:tcMar>
          </w:tcPr>
          <w:p w14:paraId="763960E6" w14:textId="77777777" w:rsidR="001A52C0" w:rsidRPr="001A52C0" w:rsidRDefault="001A52C0" w:rsidP="001A52C0">
            <w:pPr>
              <w:autoSpaceDE w:val="0"/>
              <w:autoSpaceDN w:val="0"/>
              <w:spacing w:line="259" w:lineRule="auto"/>
              <w:rPr>
                <w:rFonts w:eastAsia="Calibri" w:cs="Arial"/>
                <w:sz w:val="22"/>
                <w:szCs w:val="22"/>
                <w:lang w:eastAsia="en-US"/>
              </w:rPr>
            </w:pPr>
            <w:r w:rsidRPr="001A52C0">
              <w:rPr>
                <w:rFonts w:eastAsia="Calibri" w:cs="Arial"/>
                <w:szCs w:val="24"/>
                <w:lang w:eastAsia="en-US"/>
              </w:rPr>
              <w:t>Clase 3: 10 – 50 U.T.</w:t>
            </w:r>
          </w:p>
        </w:tc>
      </w:tr>
      <w:tr w:rsidR="001A52C0" w:rsidRPr="001A52C0" w14:paraId="5A0DAC3F" w14:textId="77777777" w:rsidTr="00977199">
        <w:tc>
          <w:tcPr>
            <w:tcW w:w="1809" w:type="dxa"/>
            <w:tcMar>
              <w:top w:w="0" w:type="dxa"/>
              <w:left w:w="108" w:type="dxa"/>
              <w:bottom w:w="0" w:type="dxa"/>
              <w:right w:w="108" w:type="dxa"/>
            </w:tcMar>
          </w:tcPr>
          <w:p w14:paraId="53AE59DD"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&lt; 1 mg/l </w:t>
            </w:r>
          </w:p>
        </w:tc>
        <w:tc>
          <w:tcPr>
            <w:tcW w:w="1843" w:type="dxa"/>
            <w:tcMar>
              <w:top w:w="0" w:type="dxa"/>
              <w:left w:w="108" w:type="dxa"/>
              <w:bottom w:w="0" w:type="dxa"/>
              <w:right w:w="108" w:type="dxa"/>
            </w:tcMar>
          </w:tcPr>
          <w:p w14:paraId="62BA5896"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 w:val="22"/>
                <w:szCs w:val="22"/>
                <w:lang w:eastAsia="en-US"/>
              </w:rPr>
              <w:t xml:space="preserve">&gt; 100 </w:t>
            </w:r>
          </w:p>
        </w:tc>
        <w:tc>
          <w:tcPr>
            <w:tcW w:w="2693" w:type="dxa"/>
          </w:tcPr>
          <w:p w14:paraId="21E56283" w14:textId="77777777" w:rsidR="001A52C0" w:rsidRPr="001A52C0" w:rsidRDefault="001A52C0" w:rsidP="001A52C0">
            <w:pPr>
              <w:spacing w:line="259" w:lineRule="auto"/>
              <w:ind w:left="146" w:right="72"/>
              <w:rPr>
                <w:rFonts w:eastAsia="Calibri" w:cs="Arial"/>
                <w:szCs w:val="24"/>
                <w:lang w:eastAsia="en-US"/>
              </w:rPr>
            </w:pPr>
            <w:r w:rsidRPr="001A52C0">
              <w:rPr>
                <w:rFonts w:eastAsia="Calibri" w:cs="Arial"/>
                <w:sz w:val="22"/>
                <w:szCs w:val="22"/>
                <w:lang w:eastAsia="en-US"/>
              </w:rPr>
              <w:t>Muy Tóxico</w:t>
            </w:r>
          </w:p>
        </w:tc>
        <w:tc>
          <w:tcPr>
            <w:tcW w:w="2660" w:type="dxa"/>
            <w:tcMar>
              <w:top w:w="0" w:type="dxa"/>
              <w:left w:w="108" w:type="dxa"/>
              <w:bottom w:w="0" w:type="dxa"/>
              <w:right w:w="108" w:type="dxa"/>
            </w:tcMar>
          </w:tcPr>
          <w:p w14:paraId="78010444" w14:textId="77777777" w:rsidR="001A52C0" w:rsidRPr="001A52C0" w:rsidRDefault="001A52C0" w:rsidP="001A52C0">
            <w:pPr>
              <w:spacing w:line="259" w:lineRule="auto"/>
              <w:rPr>
                <w:rFonts w:eastAsia="Calibri" w:cs="Arial"/>
                <w:sz w:val="22"/>
                <w:szCs w:val="22"/>
                <w:lang w:eastAsia="en-US"/>
              </w:rPr>
            </w:pPr>
            <w:r w:rsidRPr="001A52C0">
              <w:rPr>
                <w:rFonts w:eastAsia="Calibri" w:cs="Arial"/>
                <w:szCs w:val="24"/>
                <w:lang w:eastAsia="en-US"/>
              </w:rPr>
              <w:t>Clase 4: &gt; 50 U.T.</w:t>
            </w:r>
          </w:p>
        </w:tc>
      </w:tr>
    </w:tbl>
    <w:p w14:paraId="5995DD5A" w14:textId="77777777" w:rsidR="001A52C0" w:rsidRPr="001A52C0" w:rsidRDefault="001A52C0" w:rsidP="001A52C0">
      <w:pPr>
        <w:spacing w:line="259" w:lineRule="auto"/>
        <w:jc w:val="left"/>
        <w:rPr>
          <w:rFonts w:eastAsia="Calibri" w:cs="Arial"/>
          <w:sz w:val="22"/>
          <w:szCs w:val="22"/>
          <w:lang w:eastAsia="en-US"/>
        </w:rPr>
      </w:pPr>
      <w:r w:rsidRPr="001A52C0">
        <w:rPr>
          <w:rFonts w:eastAsia="Calibri" w:cs="Arial"/>
          <w:sz w:val="22"/>
          <w:szCs w:val="22"/>
          <w:lang w:eastAsia="en-US"/>
        </w:rPr>
        <w:t> </w:t>
      </w:r>
    </w:p>
    <w:p w14:paraId="6559B82F" w14:textId="77777777" w:rsidR="001A52C0" w:rsidRPr="001A52C0" w:rsidRDefault="001A52C0" w:rsidP="00897DD7">
      <w:pPr>
        <w:rPr>
          <w:rFonts w:eastAsia="Calibri" w:cs="Arial"/>
          <w:sz w:val="22"/>
          <w:szCs w:val="22"/>
          <w:lang w:eastAsia="en-US"/>
        </w:rPr>
      </w:pPr>
      <w:r w:rsidRPr="001A52C0">
        <w:rPr>
          <w:rFonts w:eastAsia="Calibri" w:cs="Arial"/>
          <w:sz w:val="22"/>
          <w:szCs w:val="22"/>
          <w:lang w:eastAsia="en-US"/>
        </w:rPr>
        <w:lastRenderedPageBreak/>
        <w:t>Los resultados obtenidos para las muestras de ECOFERT SANSOAIN S.L. y DESARROLLOS MEDIOAMBIENTALES LA COYA S.L. suponen la siguiente clasificación:</w:t>
      </w:r>
    </w:p>
    <w:p w14:paraId="3DFBD1E5" w14:textId="77777777" w:rsidR="001A52C0" w:rsidRPr="001A52C0" w:rsidRDefault="001A52C0" w:rsidP="001A52C0">
      <w:pPr>
        <w:spacing w:line="259" w:lineRule="auto"/>
        <w:jc w:val="left"/>
        <w:rPr>
          <w:rFonts w:eastAsia="Calibri" w:cs="Arial"/>
          <w:sz w:val="22"/>
          <w:szCs w:val="22"/>
          <w:lang w:eastAsia="en-US"/>
        </w:rPr>
      </w:pPr>
    </w:p>
    <w:tbl>
      <w:tblPr>
        <w:tblW w:w="0" w:type="auto"/>
        <w:tblCellMar>
          <w:left w:w="0" w:type="dxa"/>
          <w:right w:w="0" w:type="dxa"/>
        </w:tblCellMar>
        <w:tblLook w:val="04A0" w:firstRow="1" w:lastRow="0" w:firstColumn="1" w:lastColumn="0" w:noHBand="0" w:noVBand="1"/>
      </w:tblPr>
      <w:tblGrid>
        <w:gridCol w:w="2814"/>
        <w:gridCol w:w="2808"/>
        <w:gridCol w:w="2882"/>
      </w:tblGrid>
      <w:tr w:rsidR="001A52C0" w:rsidRPr="001A52C0" w14:paraId="46074A98" w14:textId="77777777" w:rsidTr="00977199">
        <w:tc>
          <w:tcPr>
            <w:tcW w:w="3009" w:type="dxa"/>
            <w:tcBorders>
              <w:bottom w:val="single" w:sz="4" w:space="0" w:color="auto"/>
            </w:tcBorders>
            <w:tcMar>
              <w:top w:w="0" w:type="dxa"/>
              <w:left w:w="108" w:type="dxa"/>
              <w:bottom w:w="0" w:type="dxa"/>
              <w:right w:w="108" w:type="dxa"/>
            </w:tcMar>
          </w:tcPr>
          <w:p w14:paraId="00B00A79" w14:textId="77777777" w:rsidR="001A52C0" w:rsidRPr="001A52C0" w:rsidRDefault="001A52C0" w:rsidP="001A52C0">
            <w:pPr>
              <w:spacing w:line="259" w:lineRule="auto"/>
              <w:jc w:val="left"/>
              <w:rPr>
                <w:rFonts w:eastAsia="Calibri" w:cs="Arial"/>
                <w:sz w:val="22"/>
                <w:szCs w:val="22"/>
                <w:lang w:eastAsia="en-US"/>
              </w:rPr>
            </w:pPr>
            <w:r w:rsidRPr="001A52C0">
              <w:rPr>
                <w:rFonts w:eastAsia="Calibri" w:cs="Arial"/>
                <w:sz w:val="22"/>
                <w:szCs w:val="22"/>
                <w:lang w:eastAsia="en-US"/>
              </w:rPr>
              <w:t> </w:t>
            </w:r>
          </w:p>
        </w:tc>
        <w:tc>
          <w:tcPr>
            <w:tcW w:w="3053" w:type="dxa"/>
            <w:tcBorders>
              <w:top w:val="single" w:sz="8" w:space="0" w:color="auto"/>
              <w:left w:val="nil"/>
              <w:bottom w:val="single" w:sz="8" w:space="0" w:color="auto"/>
            </w:tcBorders>
            <w:shd w:val="clear" w:color="auto" w:fill="D9D9D9"/>
            <w:tcMar>
              <w:top w:w="0" w:type="dxa"/>
              <w:left w:w="108" w:type="dxa"/>
              <w:bottom w:w="0" w:type="dxa"/>
              <w:right w:w="108" w:type="dxa"/>
            </w:tcMar>
            <w:vAlign w:val="center"/>
          </w:tcPr>
          <w:p w14:paraId="7C8E73FC" w14:textId="77777777" w:rsidR="001A52C0" w:rsidRPr="001A52C0" w:rsidRDefault="001A52C0" w:rsidP="001A52C0">
            <w:pPr>
              <w:spacing w:line="259" w:lineRule="auto"/>
              <w:jc w:val="center"/>
              <w:rPr>
                <w:rFonts w:eastAsia="Calibri" w:cs="Arial"/>
                <w:b/>
                <w:sz w:val="22"/>
                <w:szCs w:val="22"/>
                <w:lang w:eastAsia="en-US"/>
              </w:rPr>
            </w:pPr>
            <w:r w:rsidRPr="001A52C0">
              <w:rPr>
                <w:rFonts w:eastAsia="Calibri" w:cs="Arial"/>
                <w:b/>
                <w:sz w:val="22"/>
                <w:szCs w:val="22"/>
                <w:lang w:eastAsia="en-US"/>
              </w:rPr>
              <w:t>ECOFERT SANSOAIN S.L.</w:t>
            </w:r>
          </w:p>
        </w:tc>
        <w:tc>
          <w:tcPr>
            <w:tcW w:w="2943" w:type="dxa"/>
            <w:tcBorders>
              <w:top w:val="single" w:sz="8" w:space="0" w:color="auto"/>
              <w:bottom w:val="single" w:sz="8" w:space="0" w:color="auto"/>
            </w:tcBorders>
            <w:shd w:val="clear" w:color="auto" w:fill="D9D9D9"/>
            <w:tcMar>
              <w:top w:w="0" w:type="dxa"/>
              <w:left w:w="108" w:type="dxa"/>
              <w:bottom w:w="0" w:type="dxa"/>
              <w:right w:w="108" w:type="dxa"/>
            </w:tcMar>
            <w:vAlign w:val="center"/>
          </w:tcPr>
          <w:p w14:paraId="000474F3" w14:textId="77777777" w:rsidR="001A52C0" w:rsidRPr="001A52C0" w:rsidRDefault="001A52C0" w:rsidP="001A52C0">
            <w:pPr>
              <w:spacing w:line="259" w:lineRule="auto"/>
              <w:jc w:val="center"/>
              <w:rPr>
                <w:rFonts w:eastAsia="Calibri" w:cs="Arial"/>
                <w:b/>
                <w:sz w:val="22"/>
                <w:szCs w:val="22"/>
                <w:lang w:eastAsia="en-US"/>
              </w:rPr>
            </w:pPr>
            <w:r w:rsidRPr="001A52C0">
              <w:rPr>
                <w:rFonts w:eastAsia="Calibri" w:cs="Arial"/>
                <w:b/>
                <w:sz w:val="22"/>
                <w:szCs w:val="22"/>
                <w:lang w:eastAsia="en-US"/>
              </w:rPr>
              <w:t>DESARROLLOS MEDIOAMBIENTALES LA COYA S.L.</w:t>
            </w:r>
          </w:p>
        </w:tc>
      </w:tr>
      <w:tr w:rsidR="001A52C0" w:rsidRPr="001A52C0" w14:paraId="275B6F95" w14:textId="77777777" w:rsidTr="00977199">
        <w:tc>
          <w:tcPr>
            <w:tcW w:w="3009" w:type="dxa"/>
            <w:tcBorders>
              <w:top w:val="single" w:sz="4" w:space="0" w:color="auto"/>
              <w:bottom w:val="single" w:sz="8" w:space="0" w:color="auto"/>
            </w:tcBorders>
            <w:shd w:val="clear" w:color="auto" w:fill="D9D9D9"/>
            <w:tcMar>
              <w:top w:w="0" w:type="dxa"/>
              <w:left w:w="108" w:type="dxa"/>
              <w:bottom w:w="0" w:type="dxa"/>
              <w:right w:w="108" w:type="dxa"/>
            </w:tcMar>
          </w:tcPr>
          <w:p w14:paraId="20C58B87" w14:textId="77777777" w:rsidR="001A52C0" w:rsidRPr="001A52C0" w:rsidRDefault="001A52C0" w:rsidP="001A52C0">
            <w:pPr>
              <w:spacing w:line="259" w:lineRule="auto"/>
              <w:jc w:val="left"/>
              <w:rPr>
                <w:rFonts w:eastAsia="Calibri" w:cs="Arial"/>
                <w:b/>
                <w:sz w:val="22"/>
                <w:szCs w:val="22"/>
                <w:lang w:eastAsia="en-US"/>
              </w:rPr>
            </w:pPr>
            <w:r w:rsidRPr="001A52C0">
              <w:rPr>
                <w:rFonts w:eastAsia="Calibri" w:cs="Arial"/>
                <w:b/>
                <w:sz w:val="22"/>
                <w:szCs w:val="22"/>
                <w:lang w:eastAsia="en-US"/>
              </w:rPr>
              <w:t>Ecotoxicidad U.T.</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5586875E"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 xml:space="preserve">244 </w:t>
            </w:r>
            <w:r w:rsidRPr="001A52C0">
              <w:rPr>
                <w:rFonts w:eastAsia="Calibri" w:cs="Arial"/>
                <w:sz w:val="22"/>
                <w:szCs w:val="22"/>
                <w:u w:val="single"/>
                <w:lang w:eastAsia="en-US"/>
              </w:rPr>
              <w:t>+</w:t>
            </w:r>
            <w:r w:rsidRPr="001A52C0">
              <w:rPr>
                <w:rFonts w:eastAsia="Calibri" w:cs="Arial"/>
                <w:sz w:val="22"/>
                <w:szCs w:val="22"/>
                <w:lang w:eastAsia="en-US"/>
              </w:rPr>
              <w:t xml:space="preserve"> 108</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25040C5F"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 xml:space="preserve">57,7 </w:t>
            </w:r>
            <w:r w:rsidRPr="001A52C0">
              <w:rPr>
                <w:rFonts w:eastAsia="Calibri" w:cs="Arial"/>
                <w:sz w:val="22"/>
                <w:szCs w:val="22"/>
                <w:u w:val="single"/>
                <w:lang w:eastAsia="en-US"/>
              </w:rPr>
              <w:t>+</w:t>
            </w:r>
            <w:r w:rsidRPr="001A52C0">
              <w:rPr>
                <w:rFonts w:eastAsia="Calibri" w:cs="Arial"/>
                <w:sz w:val="22"/>
                <w:szCs w:val="22"/>
                <w:lang w:eastAsia="en-US"/>
              </w:rPr>
              <w:t xml:space="preserve"> 25,5</w:t>
            </w:r>
          </w:p>
        </w:tc>
      </w:tr>
      <w:tr w:rsidR="001A52C0" w:rsidRPr="001A52C0" w14:paraId="7FFFBF85" w14:textId="77777777" w:rsidTr="00977199">
        <w:tc>
          <w:tcPr>
            <w:tcW w:w="3009" w:type="dxa"/>
            <w:tcBorders>
              <w:top w:val="single" w:sz="8" w:space="0" w:color="auto"/>
            </w:tcBorders>
            <w:shd w:val="clear" w:color="auto" w:fill="D9D9D9"/>
            <w:tcMar>
              <w:top w:w="0" w:type="dxa"/>
              <w:left w:w="108" w:type="dxa"/>
              <w:bottom w:w="0" w:type="dxa"/>
              <w:right w:w="108" w:type="dxa"/>
            </w:tcMar>
            <w:vAlign w:val="center"/>
          </w:tcPr>
          <w:p w14:paraId="79D45D26" w14:textId="77777777" w:rsidR="001A52C0" w:rsidRPr="001A52C0" w:rsidRDefault="001A52C0" w:rsidP="001A52C0">
            <w:pPr>
              <w:spacing w:line="259" w:lineRule="auto"/>
              <w:jc w:val="left"/>
              <w:rPr>
                <w:rFonts w:eastAsia="Calibri" w:cs="Arial"/>
                <w:b/>
                <w:sz w:val="22"/>
                <w:szCs w:val="22"/>
                <w:lang w:eastAsia="en-US"/>
              </w:rPr>
            </w:pPr>
            <w:r w:rsidRPr="001A52C0">
              <w:rPr>
                <w:rFonts w:eastAsia="Calibri" w:cs="Arial"/>
                <w:b/>
                <w:sz w:val="22"/>
                <w:szCs w:val="22"/>
                <w:lang w:eastAsia="en-US"/>
              </w:rPr>
              <w:t>Rango ecotoxicidad U.T.</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63067995"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136 - 352</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A732FDC"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32,2 – 83,2</w:t>
            </w:r>
          </w:p>
        </w:tc>
      </w:tr>
      <w:tr w:rsidR="001A52C0" w:rsidRPr="001A52C0" w14:paraId="672CD265"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11633ECA" w14:textId="77777777" w:rsidR="001A52C0" w:rsidRPr="001A52C0" w:rsidRDefault="001A52C0" w:rsidP="001A52C0">
            <w:pPr>
              <w:spacing w:line="259" w:lineRule="auto"/>
              <w:jc w:val="left"/>
              <w:rPr>
                <w:rFonts w:eastAsia="Calibri" w:cs="Arial"/>
                <w:b/>
                <w:sz w:val="22"/>
                <w:szCs w:val="22"/>
                <w:lang w:eastAsia="en-US"/>
              </w:rPr>
            </w:pPr>
            <w:r w:rsidRPr="001A52C0">
              <w:rPr>
                <w:rFonts w:eastAsia="Calibri" w:cs="Arial"/>
                <w:b/>
                <w:sz w:val="22"/>
                <w:szCs w:val="22"/>
                <w:lang w:eastAsia="en-US"/>
              </w:rPr>
              <w:t>Clasificación</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276C8D65"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Muy tóxico</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A793682"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Tóxico</w:t>
            </w:r>
          </w:p>
        </w:tc>
      </w:tr>
      <w:tr w:rsidR="001A52C0" w:rsidRPr="001A52C0" w14:paraId="2A83C9B2"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3D905D3C" w14:textId="77777777" w:rsidR="001A52C0" w:rsidRPr="001A52C0" w:rsidRDefault="001A52C0" w:rsidP="001A52C0">
            <w:pPr>
              <w:spacing w:line="259" w:lineRule="auto"/>
              <w:jc w:val="left"/>
              <w:rPr>
                <w:rFonts w:eastAsia="Calibri" w:cs="Arial"/>
                <w:b/>
                <w:sz w:val="22"/>
                <w:szCs w:val="22"/>
                <w:lang w:eastAsia="en-US"/>
              </w:rPr>
            </w:pPr>
            <w:r w:rsidRPr="001A52C0">
              <w:rPr>
                <w:rFonts w:eastAsia="Calibri" w:cs="Arial"/>
                <w:b/>
                <w:sz w:val="22"/>
                <w:szCs w:val="22"/>
                <w:lang w:eastAsia="en-US"/>
              </w:rPr>
              <w:t>Característica de peligrosidad</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665599E4"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HP 14</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7CFDAA86"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HP 14</w:t>
            </w:r>
          </w:p>
        </w:tc>
      </w:tr>
      <w:tr w:rsidR="001A52C0" w:rsidRPr="001A52C0" w14:paraId="5363EA8A"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1CDD849D" w14:textId="77777777" w:rsidR="001A52C0" w:rsidRPr="001A52C0" w:rsidRDefault="001A52C0" w:rsidP="001A52C0">
            <w:pPr>
              <w:spacing w:line="259" w:lineRule="auto"/>
              <w:jc w:val="left"/>
              <w:rPr>
                <w:rFonts w:eastAsia="Calibri" w:cs="Arial"/>
                <w:b/>
                <w:sz w:val="22"/>
                <w:szCs w:val="22"/>
                <w:lang w:eastAsia="en-US"/>
              </w:rPr>
            </w:pPr>
            <w:r w:rsidRPr="001A52C0">
              <w:rPr>
                <w:rFonts w:eastAsia="Calibri" w:cs="Arial"/>
                <w:b/>
                <w:sz w:val="22"/>
                <w:szCs w:val="22"/>
                <w:lang w:eastAsia="en-US"/>
              </w:rPr>
              <w:t>Frase H</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7935316E"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H410 Muy tóxico para los organismos acuáticos, con efectos nocivos duraderos.</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8B64439" w14:textId="77777777" w:rsidR="001A52C0" w:rsidRPr="001A52C0" w:rsidRDefault="001A52C0" w:rsidP="001A52C0">
            <w:pPr>
              <w:spacing w:line="259" w:lineRule="auto"/>
              <w:jc w:val="center"/>
              <w:rPr>
                <w:rFonts w:eastAsia="Calibri" w:cs="Arial"/>
                <w:sz w:val="22"/>
                <w:szCs w:val="22"/>
                <w:lang w:eastAsia="en-US"/>
              </w:rPr>
            </w:pPr>
            <w:r w:rsidRPr="001A52C0">
              <w:rPr>
                <w:rFonts w:eastAsia="Calibri" w:cs="Arial"/>
                <w:sz w:val="22"/>
                <w:szCs w:val="22"/>
                <w:lang w:eastAsia="en-US"/>
              </w:rPr>
              <w:t>H411 Tóxico para los organismos acuáticos, con efectos nocivos duraderos</w:t>
            </w:r>
          </w:p>
        </w:tc>
      </w:tr>
    </w:tbl>
    <w:p w14:paraId="3B2993F0" w14:textId="77777777" w:rsidR="001A52C0" w:rsidRPr="001A52C0" w:rsidRDefault="001A52C0" w:rsidP="001A52C0">
      <w:pPr>
        <w:spacing w:line="259" w:lineRule="auto"/>
        <w:jc w:val="left"/>
        <w:rPr>
          <w:rFonts w:eastAsia="Calibri" w:cs="Arial"/>
          <w:sz w:val="22"/>
          <w:szCs w:val="22"/>
          <w:lang w:eastAsia="en-US"/>
        </w:rPr>
      </w:pPr>
      <w:r w:rsidRPr="001A52C0">
        <w:rPr>
          <w:rFonts w:eastAsia="Calibri" w:cs="Arial"/>
          <w:sz w:val="22"/>
          <w:szCs w:val="22"/>
          <w:lang w:eastAsia="en-US"/>
        </w:rPr>
        <w:t> </w:t>
      </w:r>
    </w:p>
    <w:p w14:paraId="0CAAB9D7" w14:textId="26A8C5DE" w:rsidR="00897DD7" w:rsidRDefault="001A52C0" w:rsidP="00E84664">
      <w:pPr>
        <w:rPr>
          <w:rFonts w:cs="Arial"/>
          <w:color w:val="000000"/>
          <w:szCs w:val="24"/>
        </w:rPr>
      </w:pPr>
      <w:r w:rsidRPr="001A52C0">
        <w:rPr>
          <w:rFonts w:eastAsia="Calibri" w:cs="Arial"/>
          <w:sz w:val="22"/>
          <w:szCs w:val="22"/>
          <w:lang w:eastAsia="en-US"/>
        </w:rPr>
        <w:t>Por este motivo el líquido de las balsas que se muestreo en febrero de 2023 en ECOFERT SANSOAIN S.L. se consideró ecotóxico HP14 y el que se muestreó en la misma fecha en DESARROLLOS MEDIOAMBIENTALES LA COYA se consideró ecotóxico HP14.</w:t>
      </w:r>
    </w:p>
    <w:p w14:paraId="3D011CDE" w14:textId="77777777" w:rsidR="00E84664" w:rsidRDefault="00E84664" w:rsidP="00A56CCF">
      <w:pPr>
        <w:ind w:firstLine="540"/>
        <w:rPr>
          <w:rFonts w:cs="Arial"/>
          <w:color w:val="000000"/>
          <w:szCs w:val="24"/>
        </w:rPr>
      </w:pPr>
    </w:p>
    <w:p w14:paraId="0CA8206F" w14:textId="27802ACF" w:rsidR="00A56CCF" w:rsidRPr="00A56CCF" w:rsidRDefault="00A56CCF" w:rsidP="00A56CCF">
      <w:pPr>
        <w:ind w:firstLine="540"/>
        <w:rPr>
          <w:rFonts w:cs="Arial"/>
          <w:color w:val="000000"/>
          <w:szCs w:val="24"/>
        </w:rPr>
      </w:pPr>
      <w:r w:rsidRPr="00A56CCF">
        <w:rPr>
          <w:rFonts w:cs="Arial"/>
          <w:color w:val="000000"/>
          <w:szCs w:val="24"/>
        </w:rPr>
        <w:t>Es cuanto tengo el honor de informar</w:t>
      </w:r>
      <w:r w:rsidR="00214AFC">
        <w:rPr>
          <w:rFonts w:cs="Arial"/>
          <w:color w:val="000000"/>
          <w:szCs w:val="24"/>
        </w:rPr>
        <w:t xml:space="preserve">,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1AFE7779" w14:textId="77777777" w:rsidR="00E84664" w:rsidRDefault="00E84664" w:rsidP="00E84664">
      <w:pPr>
        <w:rPr>
          <w:rFonts w:cs="Arial"/>
          <w:color w:val="000000"/>
          <w:szCs w:val="24"/>
        </w:rPr>
      </w:pPr>
    </w:p>
    <w:p w14:paraId="6D14B618" w14:textId="77777777" w:rsidR="00E84664" w:rsidRDefault="00A56CCF" w:rsidP="00E84664">
      <w:pP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DF2C0B">
        <w:rPr>
          <w:rFonts w:cs="Arial"/>
          <w:color w:val="000000"/>
          <w:szCs w:val="24"/>
        </w:rPr>
        <w:t>26</w:t>
      </w:r>
      <w:r w:rsidR="00934199" w:rsidRPr="00A56CCF">
        <w:rPr>
          <w:rFonts w:cs="Arial"/>
          <w:color w:val="000000"/>
          <w:szCs w:val="24"/>
        </w:rPr>
        <w:t xml:space="preserve"> de </w:t>
      </w:r>
      <w:r w:rsidR="00897DD7">
        <w:rPr>
          <w:rFonts w:cs="Arial"/>
          <w:color w:val="000000"/>
          <w:szCs w:val="24"/>
        </w:rPr>
        <w:t>febrero</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42369BA0" w14:textId="1E5ECFD0" w:rsidR="00D77C2F" w:rsidRPr="00E07A7D" w:rsidRDefault="00C5596D" w:rsidP="00E84664">
      <w:pPr>
        <w:rPr>
          <w:rFonts w:cs="Arial"/>
          <w:color w:val="000000"/>
          <w:szCs w:val="24"/>
        </w:rPr>
      </w:pPr>
      <w:r w:rsidRPr="00BB16C8">
        <w:rPr>
          <w:rFonts w:cs="Arial"/>
          <w:sz w:val="22"/>
          <w:szCs w:val="22"/>
        </w:rPr>
        <w:t xml:space="preserve">El Consejero </w:t>
      </w:r>
      <w:r>
        <w:rPr>
          <w:rFonts w:cs="Arial"/>
          <w:sz w:val="22"/>
          <w:szCs w:val="22"/>
        </w:rPr>
        <w:t>d</w:t>
      </w:r>
      <w:r w:rsidRPr="00BB16C8">
        <w:rPr>
          <w:rFonts w:cs="Arial"/>
          <w:sz w:val="22"/>
          <w:szCs w:val="22"/>
        </w:rPr>
        <w:t xml:space="preserve">e Desarrollo Rural </w:t>
      </w:r>
      <w:r>
        <w:rPr>
          <w:rFonts w:cs="Arial"/>
          <w:sz w:val="22"/>
          <w:szCs w:val="22"/>
        </w:rPr>
        <w:t>y</w:t>
      </w:r>
      <w:r w:rsidRPr="00BB16C8">
        <w:rPr>
          <w:rFonts w:cs="Arial"/>
          <w:sz w:val="22"/>
          <w:szCs w:val="22"/>
        </w:rPr>
        <w:t xml:space="preserve"> Medio Ambiente</w:t>
      </w:r>
      <w:r>
        <w:rPr>
          <w:rFonts w:cs="Arial"/>
          <w:color w:val="000000"/>
          <w:szCs w:val="24"/>
        </w:rPr>
        <w:t xml:space="preserve">: </w:t>
      </w:r>
      <w:r w:rsidR="0083638A" w:rsidRPr="008F46DB">
        <w:rPr>
          <w:rFonts w:cs="Arial"/>
          <w:color w:val="000000"/>
          <w:szCs w:val="24"/>
        </w:rPr>
        <w:t>José María Ai</w:t>
      </w:r>
      <w:r w:rsidR="0083638A">
        <w:rPr>
          <w:rFonts w:cs="Arial"/>
          <w:color w:val="000000"/>
          <w:szCs w:val="24"/>
        </w:rPr>
        <w:t>erdi Fernández de Barrena</w:t>
      </w:r>
    </w:p>
    <w:sectPr w:rsidR="00D77C2F" w:rsidRPr="00E07A7D" w:rsidSect="002628F5">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0898" w14:textId="77777777" w:rsidR="002628F5" w:rsidRDefault="002628F5" w:rsidP="00381BB8">
      <w:pPr>
        <w:pStyle w:val="Encabezado"/>
      </w:pPr>
      <w:r>
        <w:separator/>
      </w:r>
    </w:p>
  </w:endnote>
  <w:endnote w:type="continuationSeparator" w:id="0">
    <w:p w14:paraId="6A44709D" w14:textId="77777777" w:rsidR="002628F5" w:rsidRDefault="002628F5"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F89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DF2C0B">
      <w:rPr>
        <w:rStyle w:val="Nmerodepgina"/>
        <w:rFonts w:cs="Arial"/>
        <w:noProof/>
      </w:rPr>
      <w:t>6</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207A" w14:textId="77777777" w:rsidR="002628F5" w:rsidRDefault="002628F5" w:rsidP="00381BB8">
      <w:pPr>
        <w:pStyle w:val="Encabezado"/>
      </w:pPr>
      <w:r>
        <w:separator/>
      </w:r>
    </w:p>
  </w:footnote>
  <w:footnote w:type="continuationSeparator" w:id="0">
    <w:p w14:paraId="01C35BB5" w14:textId="77777777" w:rsidR="002628F5" w:rsidRDefault="002628F5"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32532157">
    <w:abstractNumId w:val="7"/>
  </w:num>
  <w:num w:numId="2" w16cid:durableId="386496191">
    <w:abstractNumId w:val="3"/>
  </w:num>
  <w:num w:numId="3" w16cid:durableId="503016572">
    <w:abstractNumId w:val="8"/>
  </w:num>
  <w:num w:numId="4" w16cid:durableId="2128086795">
    <w:abstractNumId w:val="14"/>
  </w:num>
  <w:num w:numId="5" w16cid:durableId="1436364193">
    <w:abstractNumId w:val="1"/>
  </w:num>
  <w:num w:numId="6" w16cid:durableId="555162161">
    <w:abstractNumId w:val="13"/>
  </w:num>
  <w:num w:numId="7" w16cid:durableId="557208818">
    <w:abstractNumId w:val="5"/>
  </w:num>
  <w:num w:numId="8" w16cid:durableId="1586769754">
    <w:abstractNumId w:val="4"/>
  </w:num>
  <w:num w:numId="9" w16cid:durableId="338432187">
    <w:abstractNumId w:val="6"/>
  </w:num>
  <w:num w:numId="10" w16cid:durableId="17735468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7893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9999237">
    <w:abstractNumId w:val="15"/>
  </w:num>
  <w:num w:numId="13" w16cid:durableId="366638175">
    <w:abstractNumId w:val="2"/>
  </w:num>
  <w:num w:numId="14" w16cid:durableId="298655193">
    <w:abstractNumId w:val="12"/>
  </w:num>
  <w:num w:numId="15" w16cid:durableId="750004769">
    <w:abstractNumId w:val="0"/>
  </w:num>
  <w:num w:numId="16" w16cid:durableId="1877690651">
    <w:abstractNumId w:val="9"/>
  </w:num>
  <w:num w:numId="17" w16cid:durableId="1262639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F8"/>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311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2C0"/>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4AFC"/>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28F5"/>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D5BCF"/>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97DD7"/>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3F8"/>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1769"/>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28B0"/>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96D"/>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2CFE"/>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2C0B"/>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664"/>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C6FA8"/>
  <w15:chartTrackingRefBased/>
  <w15:docId w15:val="{50D5D861-18E9-4862-BDC6-125E50B4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TotalTime>
  <Pages>5</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7</cp:revision>
  <cp:lastPrinted>2024-02-14T11:48:00Z</cp:lastPrinted>
  <dcterms:created xsi:type="dcterms:W3CDTF">2024-02-27T11:55:00Z</dcterms:created>
  <dcterms:modified xsi:type="dcterms:W3CDTF">2024-02-27T13:12:00Z</dcterms:modified>
</cp:coreProperties>
</file>