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4E33A" w14:textId="20D1D78F" w:rsidR="00CC4712" w:rsidRDefault="00CC4712" w:rsidP="00221C67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 w:rsidRPr="00CC4712">
        <w:rPr>
          <w:rFonts w:ascii="Calibri" w:hAnsi="Calibri" w:cs="Calibri"/>
          <w:kern w:val="0"/>
          <w:sz w:val="22"/>
          <w:szCs w:val="22"/>
        </w:rPr>
        <w:t>24MOC-76</w:t>
      </w:r>
    </w:p>
    <w:p w14:paraId="6AF4289C" w14:textId="77777777" w:rsidR="007E12DF" w:rsidRPr="00CC4712" w:rsidRDefault="007E12DF" w:rsidP="00221C67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</w:p>
    <w:p w14:paraId="51F62CF8" w14:textId="487C82FD" w:rsidR="00CC4712" w:rsidRPr="00CC4712" w:rsidRDefault="00CC4712" w:rsidP="007E12DF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 w:rsidRPr="00CC4712">
        <w:rPr>
          <w:rFonts w:ascii="Calibri" w:hAnsi="Calibri" w:cs="Calibri"/>
          <w:kern w:val="0"/>
          <w:sz w:val="22"/>
          <w:szCs w:val="22"/>
        </w:rPr>
        <w:t>Javier Arza Porras, parlamentario adscrito al G.P. EH Bildu-Nafarroa, al amparo de lo establecido en el Reglamento de la Cámara, presenta la siguiente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moción para su debate y votación en el Pleno del Parlamento de Navarra.</w:t>
      </w:r>
    </w:p>
    <w:p w14:paraId="6C27FAFC" w14:textId="7BDB06C9" w:rsidR="00CC4712" w:rsidRPr="00CC4712" w:rsidRDefault="00CC4712" w:rsidP="007E12DF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E</w:t>
      </w:r>
      <w:r w:rsidRPr="00CC4712">
        <w:rPr>
          <w:rFonts w:ascii="Calibri" w:hAnsi="Calibri" w:cs="Calibri"/>
          <w:kern w:val="0"/>
          <w:sz w:val="22"/>
          <w:szCs w:val="22"/>
        </w:rPr>
        <w:t>xposición de motivos</w:t>
      </w:r>
      <w:r w:rsidR="007E12DF">
        <w:rPr>
          <w:rFonts w:ascii="Calibri" w:hAnsi="Calibri" w:cs="Calibri"/>
          <w:kern w:val="0"/>
          <w:sz w:val="22"/>
          <w:szCs w:val="22"/>
        </w:rPr>
        <w:t xml:space="preserve"> </w:t>
      </w:r>
    </w:p>
    <w:p w14:paraId="66D62204" w14:textId="7F8929A3" w:rsidR="00CC4712" w:rsidRPr="00CC4712" w:rsidRDefault="00CC4712" w:rsidP="007E12DF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 w:rsidRPr="00CC4712">
        <w:rPr>
          <w:rFonts w:ascii="Calibri" w:hAnsi="Calibri" w:cs="Calibri"/>
          <w:kern w:val="0"/>
          <w:sz w:val="22"/>
          <w:szCs w:val="22"/>
        </w:rPr>
        <w:t>Una de las debilidades históricas de nuestro sistema de atención a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dependencia consiste en la importante presencia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prestaciones frente 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servicios. Según el último informe del Observatorio Estatal de la Dependencia,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prácticamente la mitad de los recursos aplicados en Navarra son prestaciones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económicas familiares, mientras que en el conjunto del Estado supone el 30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%.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Además, entre los servicios aplicados, un recurso tan relevante como el Servicio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Ayuda a Domicilio (SAD), únicamente representa el 4,8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%, frente al 18,6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% de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media estatal.</w:t>
      </w:r>
    </w:p>
    <w:p w14:paraId="7E19B8F0" w14:textId="39ABDA8C" w:rsidR="00CC4712" w:rsidRPr="00CC4712" w:rsidRDefault="00CC4712" w:rsidP="007E12DF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 w:rsidRPr="00CC4712">
        <w:rPr>
          <w:rFonts w:ascii="Calibri" w:hAnsi="Calibri" w:cs="Calibri"/>
          <w:kern w:val="0"/>
          <w:sz w:val="22"/>
          <w:szCs w:val="22"/>
        </w:rPr>
        <w:t>El SAD es un servicio gestionado desde las entidades locales, pero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financiado por el Gobierno de Navarra. Desde el año 2008 es un servicio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garantizado por la Cartera de Servicios Sociales para personas con valoración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dependencia.</w:t>
      </w:r>
    </w:p>
    <w:p w14:paraId="6948C238" w14:textId="573BCC28" w:rsidR="00CC4712" w:rsidRPr="00CC4712" w:rsidRDefault="00CC4712" w:rsidP="007E12DF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 w:rsidRPr="00CC4712">
        <w:rPr>
          <w:rFonts w:ascii="Calibri" w:hAnsi="Calibri" w:cs="Calibri"/>
          <w:kern w:val="0"/>
          <w:sz w:val="22"/>
          <w:szCs w:val="22"/>
        </w:rPr>
        <w:t>El SAD es reconocido unánimemente como uno de los servicios clave para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fomentar que las personas con dificultades de autonomía puedan mantenerse 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sus domicilios el mayor tiempo posible. Por ello es fundamental que sea reforzado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en Navarra.</w:t>
      </w:r>
    </w:p>
    <w:p w14:paraId="63FA5549" w14:textId="5B34378F" w:rsidR="00CC4712" w:rsidRPr="00CC4712" w:rsidRDefault="00CC4712" w:rsidP="007E12DF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 w:rsidRPr="00CC4712">
        <w:rPr>
          <w:rFonts w:ascii="Calibri" w:hAnsi="Calibri" w:cs="Calibri"/>
          <w:kern w:val="0"/>
          <w:sz w:val="22"/>
          <w:szCs w:val="22"/>
        </w:rPr>
        <w:t>No solo el Observatorio Estatal de la Dependencia, sino que informes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propios del Gobierno de Navarra mencionan diferentes debilidades en 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funcionamiento del SAD. Por ejemplo, el informe sobre los cuidados de larga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duración (2023) señala diversos “grandes problemas que presenta el SAD 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Navarra”. Entre ellos, destacamos los siguientes: se ha desvirtuado el carácter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preventivo inicial de este servicio aumentando cada vez más el grado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envejecimiento y el nivel de dependencia de la población usuaria; el SAD cuenta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con diferencias en cada una de las entidades locales, por lo que no se garantiza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equidad de acceso; no se garantiza que las personas reciban el nivel de intensidad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del servicio que figura en su plan individual de atención (PIA), y al que tienen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derecho; la gestión del personal es de una gran complejidad, lo que influye en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prestación del servicio y en los derechos laborales.</w:t>
      </w:r>
    </w:p>
    <w:p w14:paraId="79E8D20B" w14:textId="1D1698C6" w:rsidR="00CC4712" w:rsidRPr="00CC4712" w:rsidRDefault="00CC4712" w:rsidP="007E12DF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P</w:t>
      </w:r>
      <w:r w:rsidRPr="00CC4712">
        <w:rPr>
          <w:rFonts w:ascii="Calibri" w:hAnsi="Calibri" w:cs="Calibri"/>
          <w:kern w:val="0"/>
          <w:sz w:val="22"/>
          <w:szCs w:val="22"/>
        </w:rPr>
        <w:t>ropuesta de resolución:</w:t>
      </w:r>
    </w:p>
    <w:p w14:paraId="73CEE51B" w14:textId="77777777" w:rsidR="00CC4712" w:rsidRPr="00CC4712" w:rsidRDefault="00CC4712" w:rsidP="007E12DF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 w:rsidRPr="00CC4712">
        <w:rPr>
          <w:rFonts w:ascii="Calibri" w:hAnsi="Calibri" w:cs="Calibri"/>
          <w:kern w:val="0"/>
          <w:sz w:val="22"/>
          <w:szCs w:val="22"/>
        </w:rPr>
        <w:t>El Parlamento de Navarra insta al Gobierno de Navarra a:</w:t>
      </w:r>
    </w:p>
    <w:p w14:paraId="1045C494" w14:textId="0EEB0AEF" w:rsidR="00CC4712" w:rsidRPr="00CC4712" w:rsidRDefault="00CC4712" w:rsidP="007E12DF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 w:rsidRPr="00CC4712">
        <w:rPr>
          <w:rFonts w:ascii="Calibri" w:hAnsi="Calibri" w:cs="Calibri"/>
          <w:kern w:val="0"/>
          <w:sz w:val="22"/>
          <w:szCs w:val="22"/>
        </w:rPr>
        <w:t>1. Reforzar y consolidar a través de convenio la financiación de las entidades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locales para el desarrollo del SAD municipal, de manera que se pueda ampliar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la cobertura, tanto en personas atendidas como en número de horas prestadas,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en horarios y días de atención o en perfiles. El objetivo de la legislatura consistirá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en aproximarse al menos al porcentaje estatal de presencia del SAD en los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servicios prestados por el sistema de atención a la dependencia: 18,6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%.</w:t>
      </w:r>
    </w:p>
    <w:p w14:paraId="1A3ED20D" w14:textId="0FAD6BB8" w:rsidR="00CC4712" w:rsidRPr="00CC4712" w:rsidRDefault="00CC4712" w:rsidP="007E12DF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 w:rsidRPr="00CC4712">
        <w:rPr>
          <w:rFonts w:ascii="Calibri" w:hAnsi="Calibri" w:cs="Calibri"/>
          <w:kern w:val="0"/>
          <w:sz w:val="22"/>
          <w:szCs w:val="22"/>
        </w:rPr>
        <w:t xml:space="preserve">2. Actualizar durante el año 2024, en coordinación con la FNMC, la </w:t>
      </w:r>
      <w:r>
        <w:rPr>
          <w:rFonts w:ascii="Calibri" w:hAnsi="Calibri" w:cs="Calibri"/>
          <w:kern w:val="0"/>
          <w:sz w:val="22"/>
          <w:szCs w:val="22"/>
        </w:rPr>
        <w:t>o</w:t>
      </w:r>
      <w:r w:rsidRPr="00CC4712">
        <w:rPr>
          <w:rFonts w:ascii="Calibri" w:hAnsi="Calibri" w:cs="Calibri"/>
          <w:kern w:val="0"/>
          <w:sz w:val="22"/>
          <w:szCs w:val="22"/>
        </w:rPr>
        <w:t xml:space="preserve">rdenanza </w:t>
      </w:r>
      <w:r>
        <w:rPr>
          <w:rFonts w:ascii="Calibri" w:hAnsi="Calibri" w:cs="Calibri"/>
          <w:kern w:val="0"/>
          <w:sz w:val="22"/>
          <w:szCs w:val="22"/>
        </w:rPr>
        <w:t>t</w:t>
      </w:r>
      <w:r w:rsidRPr="00CC4712">
        <w:rPr>
          <w:rFonts w:ascii="Calibri" w:hAnsi="Calibri" w:cs="Calibri"/>
          <w:kern w:val="0"/>
          <w:sz w:val="22"/>
          <w:szCs w:val="22"/>
        </w:rPr>
        <w:t>ipo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reguladora de los servicios de atención a domicilio, de manera que se garantice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la equidad en el acceso al servicio entre los distintos municipios.</w:t>
      </w:r>
    </w:p>
    <w:p w14:paraId="72B28CDA" w14:textId="3D968F88" w:rsidR="00CC4712" w:rsidRPr="00CC4712" w:rsidRDefault="00CC4712" w:rsidP="007E12DF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 w:rsidRPr="00CC4712">
        <w:rPr>
          <w:rFonts w:ascii="Calibri" w:hAnsi="Calibri" w:cs="Calibri"/>
          <w:kern w:val="0"/>
          <w:sz w:val="22"/>
          <w:szCs w:val="22"/>
        </w:rPr>
        <w:t>3. Definir durante el año 2024 un calendario para extender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a lo largo de la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legislatura los equipos especializados de atención a la autonomía en cada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centro de servicios sociales. Desde estos equipos se debe ofrecer una atención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especializada complementaria de los programas locales de promoción de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autonomía personal y atención a personas en situación de dependencia.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También desde estos equipos se debe desarrollar una labor de coordinación de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los distintos servicios de cuidados de cada área de servicios sociales, entre los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que figura el SAD municipal. Este equipo se está poniendo en marcha</w:t>
      </w:r>
      <w:r w:rsidR="00594B4B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actualmente únicamente en el área de Tudela.</w:t>
      </w:r>
    </w:p>
    <w:p w14:paraId="72D61873" w14:textId="60A4B80B" w:rsidR="00CC4712" w:rsidRPr="00CC4712" w:rsidRDefault="00CC4712" w:rsidP="007E12DF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 w:rsidRPr="00CC4712">
        <w:rPr>
          <w:rFonts w:ascii="Calibri" w:hAnsi="Calibri" w:cs="Calibri"/>
          <w:kern w:val="0"/>
          <w:sz w:val="22"/>
          <w:szCs w:val="22"/>
        </w:rPr>
        <w:lastRenderedPageBreak/>
        <w:t>4. Definir durante el año 2024 un calendario para extender, a lo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largo de la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legislatura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el Proyecto PAISS de forma que se garantice una atención sociosanitaria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integral e integrada a las personas usuarias del SAD (y a toda la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población en general). Hasta ahora, el PAISS se desarrolla únicamente en las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áreas de Tudela, Tafalla y Estella.</w:t>
      </w:r>
    </w:p>
    <w:p w14:paraId="1D9C0305" w14:textId="011FB2B3" w:rsidR="00CC4712" w:rsidRPr="00CC4712" w:rsidRDefault="00CC4712" w:rsidP="007E12DF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 w:rsidRPr="00CC4712">
        <w:rPr>
          <w:rFonts w:ascii="Calibri" w:hAnsi="Calibri" w:cs="Calibri"/>
          <w:kern w:val="0"/>
          <w:sz w:val="22"/>
          <w:szCs w:val="22"/>
        </w:rPr>
        <w:t xml:space="preserve">5. </w:t>
      </w:r>
      <w:r w:rsidR="000A6CBE">
        <w:rPr>
          <w:rFonts w:ascii="Calibri" w:hAnsi="Calibri" w:cs="Calibri"/>
          <w:kern w:val="0"/>
          <w:sz w:val="22"/>
          <w:szCs w:val="22"/>
        </w:rPr>
        <w:t>Realizar una c</w:t>
      </w:r>
      <w:r w:rsidRPr="00CC4712">
        <w:rPr>
          <w:rFonts w:ascii="Calibri" w:hAnsi="Calibri" w:cs="Calibri"/>
          <w:kern w:val="0"/>
          <w:sz w:val="22"/>
          <w:szCs w:val="22"/>
        </w:rPr>
        <w:t>oordinación entre el Departamento de Educación y el de Derechos Sociales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para generar a lo largo del año 2024 un procedimiento que clarifique la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confusión y el solapamiento que en ocasiones existe entre las diferentes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titulaciones y procesos de acreditación para trabajar en este tipo de servicio.</w:t>
      </w:r>
    </w:p>
    <w:p w14:paraId="20E4CD8A" w14:textId="1A51E5F0" w:rsidR="00CC4712" w:rsidRPr="00CC4712" w:rsidRDefault="00CC4712" w:rsidP="007E12DF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 w:rsidRPr="00CC4712">
        <w:rPr>
          <w:rFonts w:ascii="Calibri" w:hAnsi="Calibri" w:cs="Calibri"/>
          <w:kern w:val="0"/>
          <w:sz w:val="22"/>
          <w:szCs w:val="22"/>
        </w:rPr>
        <w:t xml:space="preserve">6. </w:t>
      </w:r>
      <w:r w:rsidR="000A6CBE">
        <w:rPr>
          <w:rFonts w:ascii="Calibri" w:hAnsi="Calibri" w:cs="Calibri"/>
          <w:kern w:val="0"/>
          <w:sz w:val="22"/>
          <w:szCs w:val="22"/>
        </w:rPr>
        <w:t>Realizar una c</w:t>
      </w:r>
      <w:r w:rsidRPr="00CC4712">
        <w:rPr>
          <w:rFonts w:ascii="Calibri" w:hAnsi="Calibri" w:cs="Calibri"/>
          <w:kern w:val="0"/>
          <w:sz w:val="22"/>
          <w:szCs w:val="22"/>
        </w:rPr>
        <w:t>oordinación entre el Departamento de Educación y el de Derechos Sociales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para generar a lo largo del año 2024 un plan para favorecer el acceso a este tipo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de formación, especialmente en el ámbito rural: a través de medidas como la</w:t>
      </w:r>
      <w:r w:rsidR="00594B4B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formación on-line o semipresencial, por ejemplo.</w:t>
      </w:r>
    </w:p>
    <w:p w14:paraId="61B1324F" w14:textId="76A666CB" w:rsidR="00CC4712" w:rsidRPr="00CC4712" w:rsidRDefault="00CC4712" w:rsidP="007E12DF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 w:rsidRPr="00CC4712">
        <w:rPr>
          <w:rFonts w:ascii="Calibri" w:hAnsi="Calibri" w:cs="Calibri"/>
          <w:kern w:val="0"/>
          <w:sz w:val="22"/>
          <w:szCs w:val="22"/>
        </w:rPr>
        <w:t xml:space="preserve">7. </w:t>
      </w:r>
      <w:r w:rsidR="000A6CBE">
        <w:rPr>
          <w:rFonts w:ascii="Calibri" w:hAnsi="Calibri" w:cs="Calibri"/>
          <w:kern w:val="0"/>
          <w:sz w:val="22"/>
          <w:szCs w:val="22"/>
        </w:rPr>
        <w:t>Proceder a una c</w:t>
      </w:r>
      <w:r w:rsidRPr="00CC4712">
        <w:rPr>
          <w:rFonts w:ascii="Calibri" w:hAnsi="Calibri" w:cs="Calibri"/>
          <w:kern w:val="0"/>
          <w:sz w:val="22"/>
          <w:szCs w:val="22"/>
        </w:rPr>
        <w:t>oordinación entre el Departamento de Educación y el de Derechos Sociales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para generar un plan que fortalezca la formación continua de las personas que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trabajan en el SAD.</w:t>
      </w:r>
    </w:p>
    <w:p w14:paraId="73C1D517" w14:textId="0A52B481" w:rsidR="00CC4712" w:rsidRPr="00CC4712" w:rsidRDefault="00CC4712" w:rsidP="007E12DF">
      <w:pPr>
        <w:autoSpaceDE w:val="0"/>
        <w:autoSpaceDN w:val="0"/>
        <w:adjustRightInd w:val="0"/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 w:rsidRPr="00CC4712">
        <w:rPr>
          <w:rFonts w:ascii="Calibri" w:hAnsi="Calibri" w:cs="Calibri"/>
          <w:kern w:val="0"/>
          <w:sz w:val="22"/>
          <w:szCs w:val="22"/>
        </w:rPr>
        <w:t>8. Garantizar la gestión pública del SAD, como una medida que favorece la calidad</w:t>
      </w:r>
      <w:r w:rsidR="009367C5">
        <w:rPr>
          <w:rFonts w:ascii="Calibri" w:hAnsi="Calibri" w:cs="Calibri"/>
          <w:kern w:val="0"/>
          <w:sz w:val="22"/>
          <w:szCs w:val="22"/>
        </w:rPr>
        <w:t xml:space="preserve"> </w:t>
      </w:r>
      <w:r w:rsidRPr="00CC4712">
        <w:rPr>
          <w:rFonts w:ascii="Calibri" w:hAnsi="Calibri" w:cs="Calibri"/>
          <w:kern w:val="0"/>
          <w:sz w:val="22"/>
          <w:szCs w:val="22"/>
        </w:rPr>
        <w:t>del servicio y las condiciones laborales de las trabajadoras.</w:t>
      </w:r>
    </w:p>
    <w:p w14:paraId="017E45BD" w14:textId="2AFFAB74" w:rsidR="008D7F85" w:rsidRDefault="00CC4712" w:rsidP="007E12DF">
      <w:pPr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kern w:val="0"/>
          <w:sz w:val="22"/>
          <w:szCs w:val="22"/>
        </w:rPr>
      </w:pPr>
      <w:r w:rsidRPr="00CC4712">
        <w:rPr>
          <w:rFonts w:ascii="Calibri" w:hAnsi="Calibri" w:cs="Calibri"/>
          <w:kern w:val="0"/>
          <w:sz w:val="22"/>
          <w:szCs w:val="22"/>
        </w:rPr>
        <w:t>Pamplona/Iruña, 21 de mayo de 2024</w:t>
      </w:r>
    </w:p>
    <w:p w14:paraId="097671AC" w14:textId="1BF8E063" w:rsidR="009367C5" w:rsidRPr="00CC4712" w:rsidRDefault="009367C5" w:rsidP="007E12DF">
      <w:pPr>
        <w:spacing w:before="100" w:beforeAutospacing="1" w:after="200" w:line="276" w:lineRule="auto"/>
        <w:contextualSpacing/>
        <w:mirrorIndent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El Parlamentario Foral: Javier Arza Porras</w:t>
      </w:r>
    </w:p>
    <w:sectPr w:rsidR="009367C5" w:rsidRPr="00CC4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12"/>
    <w:rsid w:val="000A6CBE"/>
    <w:rsid w:val="001D4EB4"/>
    <w:rsid w:val="00221C67"/>
    <w:rsid w:val="00594B4B"/>
    <w:rsid w:val="007E12DF"/>
    <w:rsid w:val="008D7F85"/>
    <w:rsid w:val="009367C5"/>
    <w:rsid w:val="00A36075"/>
    <w:rsid w:val="00BA0A7E"/>
    <w:rsid w:val="00CC4712"/>
    <w:rsid w:val="00DB4375"/>
    <w:rsid w:val="00E2340F"/>
    <w:rsid w:val="00EC5628"/>
    <w:rsid w:val="00F4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794F"/>
  <w15:chartTrackingRefBased/>
  <w15:docId w15:val="{6441E9AD-BB3C-4B28-B143-39266FE2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4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4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4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4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4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4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4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4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4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4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4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47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7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47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47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47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47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4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4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4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4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4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47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47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47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4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47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47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765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7</cp:revision>
  <dcterms:created xsi:type="dcterms:W3CDTF">2024-05-24T04:31:00Z</dcterms:created>
  <dcterms:modified xsi:type="dcterms:W3CDTF">2024-05-27T07:58:00Z</dcterms:modified>
</cp:coreProperties>
</file>