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94522E" w14:textId="77777777" w:rsidR="00D542C4" w:rsidRDefault="005C03DB" w:rsidP="00A04717">
      <w:pPr>
        <w:spacing w:line="360" w:lineRule="auto"/>
        <w:jc w:val="both"/>
        <w:rPr>
          <w:rFonts w:ascii="Arial" w:hAnsi="Arial" w:cs="Arial"/>
        </w:rPr>
      </w:pPr>
      <w:r w:rsidRPr="003E79B0">
        <w:rPr>
          <w:rFonts w:ascii="Arial" w:hAnsi="Arial" w:cs="Arial"/>
        </w:rPr>
        <w:t>El</w:t>
      </w:r>
      <w:r w:rsidR="00864DCD" w:rsidRPr="003E79B0">
        <w:rPr>
          <w:rFonts w:ascii="Arial" w:hAnsi="Arial" w:cs="Arial"/>
        </w:rPr>
        <w:t xml:space="preserve"> Consejer</w:t>
      </w:r>
      <w:r w:rsidRPr="003E79B0">
        <w:rPr>
          <w:rFonts w:ascii="Arial" w:hAnsi="Arial" w:cs="Arial"/>
        </w:rPr>
        <w:t>o</w:t>
      </w:r>
      <w:r w:rsidR="00864DCD" w:rsidRPr="003E79B0">
        <w:rPr>
          <w:rFonts w:ascii="Arial" w:hAnsi="Arial" w:cs="Arial"/>
        </w:rPr>
        <w:t xml:space="preserve"> del Departamento de Economia y Hacienda, </w:t>
      </w:r>
      <w:proofErr w:type="gramStart"/>
      <w:r w:rsidR="00864DCD" w:rsidRPr="003E79B0">
        <w:rPr>
          <w:rFonts w:ascii="Arial" w:hAnsi="Arial" w:cs="Arial"/>
        </w:rPr>
        <w:t>en relación a</w:t>
      </w:r>
      <w:proofErr w:type="gramEnd"/>
      <w:r w:rsidR="00864DCD" w:rsidRPr="003E79B0">
        <w:rPr>
          <w:rFonts w:ascii="Arial" w:hAnsi="Arial" w:cs="Arial"/>
        </w:rPr>
        <w:t xml:space="preserve"> la Pregunta escrita formulada </w:t>
      </w:r>
      <w:r w:rsidR="001C5BBC" w:rsidRPr="003E79B0">
        <w:rPr>
          <w:rFonts w:ascii="Arial" w:hAnsi="Arial" w:cs="Arial"/>
        </w:rPr>
        <w:t xml:space="preserve">por </w:t>
      </w:r>
      <w:r w:rsidR="00797449" w:rsidRPr="003E79B0">
        <w:rPr>
          <w:rFonts w:ascii="Arial" w:hAnsi="Arial" w:cs="Arial"/>
        </w:rPr>
        <w:t>D</w:t>
      </w:r>
      <w:r w:rsidR="00A04717" w:rsidRPr="003E79B0">
        <w:rPr>
          <w:rFonts w:ascii="Arial" w:hAnsi="Arial" w:cs="Arial"/>
        </w:rPr>
        <w:t xml:space="preserve">ña. </w:t>
      </w:r>
      <w:r w:rsidR="005A0B88" w:rsidRPr="003E79B0">
        <w:rPr>
          <w:rFonts w:ascii="Arial" w:hAnsi="Arial" w:cs="Arial"/>
        </w:rPr>
        <w:t>Ainhoa Unzu Gárate</w:t>
      </w:r>
      <w:r w:rsidR="001C5BBC" w:rsidRPr="003E79B0">
        <w:rPr>
          <w:rFonts w:ascii="Arial" w:hAnsi="Arial" w:cs="Arial"/>
        </w:rPr>
        <w:t>, parlamentari</w:t>
      </w:r>
      <w:r w:rsidR="00A04717" w:rsidRPr="003E79B0">
        <w:rPr>
          <w:rFonts w:ascii="Arial" w:hAnsi="Arial" w:cs="Arial"/>
        </w:rPr>
        <w:t>a</w:t>
      </w:r>
      <w:r w:rsidR="001C5BBC" w:rsidRPr="003E79B0">
        <w:rPr>
          <w:rFonts w:ascii="Arial" w:hAnsi="Arial" w:cs="Arial"/>
        </w:rPr>
        <w:t xml:space="preserve"> foral adscrit</w:t>
      </w:r>
      <w:r w:rsidR="00A04717" w:rsidRPr="003E79B0">
        <w:rPr>
          <w:rFonts w:ascii="Arial" w:hAnsi="Arial" w:cs="Arial"/>
        </w:rPr>
        <w:t>a</w:t>
      </w:r>
      <w:r w:rsidR="001C5BBC" w:rsidRPr="003E79B0">
        <w:rPr>
          <w:rFonts w:ascii="Arial" w:hAnsi="Arial" w:cs="Arial"/>
        </w:rPr>
        <w:t xml:space="preserve"> al Grupo Parlamentario </w:t>
      </w:r>
      <w:r w:rsidR="005A0B88" w:rsidRPr="003E79B0">
        <w:rPr>
          <w:rFonts w:ascii="Arial" w:hAnsi="Arial" w:cs="Arial"/>
        </w:rPr>
        <w:t>Partido Socialista de Navarra</w:t>
      </w:r>
      <w:r w:rsidR="001C5BBC" w:rsidRPr="003E79B0">
        <w:rPr>
          <w:rFonts w:ascii="Arial" w:hAnsi="Arial" w:cs="Arial"/>
        </w:rPr>
        <w:t xml:space="preserve">, registrada con número de </w:t>
      </w:r>
      <w:r w:rsidR="00561BAD" w:rsidRPr="003E79B0">
        <w:rPr>
          <w:rFonts w:ascii="Arial" w:hAnsi="Arial" w:cs="Arial"/>
        </w:rPr>
        <w:t>salida</w:t>
      </w:r>
      <w:r w:rsidR="001C5BBC" w:rsidRPr="003E79B0">
        <w:rPr>
          <w:rFonts w:ascii="Arial" w:hAnsi="Arial" w:cs="Arial"/>
        </w:rPr>
        <w:t xml:space="preserve"> del Parlamento de Navarra </w:t>
      </w:r>
      <w:r w:rsidR="005A0B88" w:rsidRPr="003E79B0">
        <w:rPr>
          <w:rFonts w:ascii="Arial" w:hAnsi="Arial" w:cs="Arial"/>
        </w:rPr>
        <w:t>202402286</w:t>
      </w:r>
      <w:r w:rsidR="001C5BBC" w:rsidRPr="003E79B0">
        <w:rPr>
          <w:rFonts w:ascii="Arial" w:hAnsi="Arial" w:cs="Arial"/>
        </w:rPr>
        <w:t xml:space="preserve">, de </w:t>
      </w:r>
      <w:r w:rsidR="005A0B88" w:rsidRPr="003E79B0">
        <w:rPr>
          <w:rFonts w:ascii="Arial" w:hAnsi="Arial" w:cs="Arial"/>
        </w:rPr>
        <w:t>1</w:t>
      </w:r>
      <w:r w:rsidR="00AA021E" w:rsidRPr="003E79B0">
        <w:rPr>
          <w:rFonts w:ascii="Arial" w:hAnsi="Arial" w:cs="Arial"/>
        </w:rPr>
        <w:t>9</w:t>
      </w:r>
      <w:r w:rsidR="001C5BBC" w:rsidRPr="003E79B0">
        <w:rPr>
          <w:rFonts w:ascii="Arial" w:hAnsi="Arial" w:cs="Arial"/>
        </w:rPr>
        <w:t xml:space="preserve"> de </w:t>
      </w:r>
      <w:r w:rsidR="005A0B88" w:rsidRPr="003E79B0">
        <w:rPr>
          <w:rFonts w:ascii="Arial" w:hAnsi="Arial" w:cs="Arial"/>
        </w:rPr>
        <w:t>marzo</w:t>
      </w:r>
      <w:r w:rsidR="001C5BBC" w:rsidRPr="003E79B0">
        <w:rPr>
          <w:rFonts w:ascii="Arial" w:hAnsi="Arial" w:cs="Arial"/>
        </w:rPr>
        <w:t xml:space="preserve"> de 20</w:t>
      </w:r>
      <w:r w:rsidR="00797449" w:rsidRPr="003E79B0">
        <w:rPr>
          <w:rFonts w:ascii="Arial" w:hAnsi="Arial" w:cs="Arial"/>
        </w:rPr>
        <w:t>2</w:t>
      </w:r>
      <w:r w:rsidR="00AA021E" w:rsidRPr="003E79B0">
        <w:rPr>
          <w:rFonts w:ascii="Arial" w:hAnsi="Arial" w:cs="Arial"/>
        </w:rPr>
        <w:t>4</w:t>
      </w:r>
      <w:r w:rsidR="001C5BBC" w:rsidRPr="003E79B0">
        <w:rPr>
          <w:rFonts w:ascii="Arial" w:hAnsi="Arial" w:cs="Arial"/>
        </w:rPr>
        <w:t>, (1</w:t>
      </w:r>
      <w:r w:rsidRPr="003E79B0">
        <w:rPr>
          <w:rFonts w:ascii="Arial" w:hAnsi="Arial" w:cs="Arial"/>
        </w:rPr>
        <w:t>1</w:t>
      </w:r>
      <w:r w:rsidR="001C5BBC" w:rsidRPr="003E79B0">
        <w:rPr>
          <w:rFonts w:ascii="Arial" w:hAnsi="Arial" w:cs="Arial"/>
        </w:rPr>
        <w:t>-</w:t>
      </w:r>
      <w:r w:rsidR="00797449" w:rsidRPr="003E79B0">
        <w:rPr>
          <w:rFonts w:ascii="Arial" w:hAnsi="Arial" w:cs="Arial"/>
        </w:rPr>
        <w:t>2</w:t>
      </w:r>
      <w:r w:rsidR="00AA021E" w:rsidRPr="003E79B0">
        <w:rPr>
          <w:rFonts w:ascii="Arial" w:hAnsi="Arial" w:cs="Arial"/>
        </w:rPr>
        <w:t>4</w:t>
      </w:r>
      <w:r w:rsidR="001C5BBC" w:rsidRPr="003E79B0">
        <w:rPr>
          <w:rFonts w:ascii="Arial" w:hAnsi="Arial" w:cs="Arial"/>
        </w:rPr>
        <w:t>/PE</w:t>
      </w:r>
      <w:r w:rsidR="00864DCD" w:rsidRPr="003E79B0">
        <w:rPr>
          <w:rFonts w:ascii="Arial" w:hAnsi="Arial" w:cs="Arial"/>
        </w:rPr>
        <w:t>S</w:t>
      </w:r>
      <w:r w:rsidR="001C5BBC" w:rsidRPr="003E79B0">
        <w:rPr>
          <w:rFonts w:ascii="Arial" w:hAnsi="Arial" w:cs="Arial"/>
        </w:rPr>
        <w:t>-</w:t>
      </w:r>
      <w:r w:rsidR="005A0B88" w:rsidRPr="003E79B0">
        <w:rPr>
          <w:rFonts w:ascii="Arial" w:hAnsi="Arial" w:cs="Arial"/>
        </w:rPr>
        <w:t>154</w:t>
      </w:r>
      <w:r w:rsidR="0042675C" w:rsidRPr="003E79B0">
        <w:rPr>
          <w:rFonts w:ascii="Arial" w:hAnsi="Arial" w:cs="Arial"/>
        </w:rPr>
        <w:t>)</w:t>
      </w:r>
      <w:r w:rsidR="0073692F" w:rsidRPr="003E79B0">
        <w:rPr>
          <w:rFonts w:ascii="Arial" w:hAnsi="Arial" w:cs="Arial"/>
        </w:rPr>
        <w:t>,</w:t>
      </w:r>
      <w:r w:rsidR="005F4F36" w:rsidRPr="003E79B0">
        <w:rPr>
          <w:rFonts w:ascii="Arial" w:hAnsi="Arial" w:cs="Arial"/>
        </w:rPr>
        <w:t xml:space="preserve"> </w:t>
      </w:r>
      <w:r w:rsidR="00AA021E" w:rsidRPr="003E79B0">
        <w:rPr>
          <w:rFonts w:ascii="Arial" w:hAnsi="Arial" w:cs="Arial"/>
        </w:rPr>
        <w:t xml:space="preserve">solicitando </w:t>
      </w:r>
      <w:r w:rsidR="005A0B88" w:rsidRPr="003E79B0">
        <w:rPr>
          <w:rFonts w:ascii="Arial" w:hAnsi="Arial" w:cs="Arial"/>
        </w:rPr>
        <w:t>información</w:t>
      </w:r>
      <w:r w:rsidR="00AA021E" w:rsidRPr="003E79B0">
        <w:rPr>
          <w:rFonts w:ascii="Arial" w:hAnsi="Arial" w:cs="Arial"/>
        </w:rPr>
        <w:t xml:space="preserve"> </w:t>
      </w:r>
      <w:r w:rsidR="00304774" w:rsidRPr="003E79B0">
        <w:rPr>
          <w:rFonts w:ascii="Arial" w:hAnsi="Arial" w:cs="Arial"/>
        </w:rPr>
        <w:t>relativa</w:t>
      </w:r>
      <w:r w:rsidR="00DA07FB" w:rsidRPr="003E79B0">
        <w:rPr>
          <w:rFonts w:ascii="Arial" w:hAnsi="Arial" w:cs="Arial"/>
        </w:rPr>
        <w:t xml:space="preserve"> </w:t>
      </w:r>
      <w:r w:rsidR="00A04717" w:rsidRPr="003E79B0">
        <w:rPr>
          <w:rFonts w:ascii="Arial" w:hAnsi="Arial" w:cs="Arial"/>
        </w:rPr>
        <w:t xml:space="preserve">a </w:t>
      </w:r>
      <w:r w:rsidR="005A0B88" w:rsidRPr="003E79B0">
        <w:rPr>
          <w:rFonts w:ascii="Arial" w:hAnsi="Arial" w:cs="Arial"/>
        </w:rPr>
        <w:t>diversas cuestiones</w:t>
      </w:r>
      <w:r w:rsidR="004B2BFE" w:rsidRPr="003E79B0">
        <w:rPr>
          <w:rFonts w:ascii="Arial" w:hAnsi="Arial" w:cs="Arial"/>
        </w:rPr>
        <w:t xml:space="preserve"> </w:t>
      </w:r>
      <w:r w:rsidR="005A0B88" w:rsidRPr="003E79B0">
        <w:rPr>
          <w:rFonts w:ascii="Arial" w:hAnsi="Arial" w:cs="Arial"/>
        </w:rPr>
        <w:t>sobre la tributación del sector primario en Navarra</w:t>
      </w:r>
      <w:r w:rsidR="00864DCD" w:rsidRPr="003E79B0">
        <w:rPr>
          <w:rFonts w:ascii="Arial" w:hAnsi="Arial" w:cs="Arial"/>
        </w:rPr>
        <w:t>,</w:t>
      </w:r>
      <w:r w:rsidR="00E04955" w:rsidRPr="003E79B0">
        <w:rPr>
          <w:rFonts w:ascii="Arial" w:hAnsi="Arial" w:cs="Arial"/>
        </w:rPr>
        <w:t xml:space="preserve"> </w:t>
      </w:r>
      <w:r w:rsidR="001C5BBC" w:rsidRPr="003E79B0">
        <w:rPr>
          <w:rFonts w:ascii="Arial" w:hAnsi="Arial" w:cs="Arial"/>
        </w:rPr>
        <w:t xml:space="preserve">tiene el honor de </w:t>
      </w:r>
      <w:r w:rsidR="00A04717" w:rsidRPr="003E79B0">
        <w:rPr>
          <w:rFonts w:ascii="Arial" w:hAnsi="Arial" w:cs="Arial"/>
        </w:rPr>
        <w:t>informarle</w:t>
      </w:r>
      <w:r w:rsidR="00251B06" w:rsidRPr="003E79B0">
        <w:rPr>
          <w:rFonts w:ascii="Arial" w:hAnsi="Arial" w:cs="Arial"/>
        </w:rPr>
        <w:t xml:space="preserve"> lo siguiente:</w:t>
      </w:r>
    </w:p>
    <w:p w14:paraId="3D56F0A5" w14:textId="346714C3" w:rsidR="005A0B88" w:rsidRPr="003E79B0" w:rsidRDefault="004B2BFE" w:rsidP="005A0B88">
      <w:pPr>
        <w:spacing w:before="240" w:after="240" w:line="360" w:lineRule="auto"/>
        <w:jc w:val="both"/>
        <w:rPr>
          <w:rFonts w:ascii="Arial" w:hAnsi="Arial" w:cs="Arial"/>
          <w:b/>
          <w:lang w:eastAsia="en-US"/>
        </w:rPr>
      </w:pPr>
      <w:r w:rsidRPr="003E79B0">
        <w:rPr>
          <w:rFonts w:ascii="Arial" w:hAnsi="Arial" w:cs="Arial"/>
          <w:b/>
          <w:lang w:eastAsia="en-US"/>
        </w:rPr>
        <w:t>1.-</w:t>
      </w:r>
      <w:r w:rsidR="005A0B88" w:rsidRPr="003E79B0">
        <w:rPr>
          <w:rFonts w:ascii="Arial" w:hAnsi="Arial" w:cs="Arial"/>
          <w:b/>
          <w:lang w:eastAsia="en-US"/>
        </w:rPr>
        <w:t>A</w:t>
      </w:r>
      <w:r w:rsidR="005A0B88" w:rsidRPr="003E79B0">
        <w:rPr>
          <w:rFonts w:ascii="Arial" w:hAnsi="Arial" w:cs="Arial"/>
          <w:b/>
          <w:lang w:val="es-ES_tradnl" w:eastAsia="en-US"/>
        </w:rPr>
        <w:t>gricultores y ganaderos que tributan en IRPF como autónomos por actividad del sector primario. Actividad principal y actividad complementaria.</w:t>
      </w:r>
    </w:p>
    <w:tbl>
      <w:tblPr>
        <w:tblW w:w="580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3"/>
        <w:gridCol w:w="1134"/>
      </w:tblGrid>
      <w:tr w:rsidR="005A0B88" w:rsidRPr="003E79B0" w14:paraId="1CBE8B36" w14:textId="77777777" w:rsidTr="00D30065">
        <w:trPr>
          <w:trHeight w:val="288"/>
        </w:trPr>
        <w:tc>
          <w:tcPr>
            <w:tcW w:w="4673" w:type="dxa"/>
            <w:shd w:val="clear" w:color="auto" w:fill="auto"/>
            <w:noWrap/>
            <w:vAlign w:val="bottom"/>
            <w:hideMark/>
          </w:tcPr>
          <w:p w14:paraId="4B5AB47F" w14:textId="77777777" w:rsidR="005A0B88" w:rsidRPr="003E79B0" w:rsidRDefault="005A0B88" w:rsidP="005A0B88">
            <w:pPr>
              <w:rPr>
                <w:rFonts w:ascii="Arial" w:hAnsi="Arial" w:cs="Arial"/>
                <w:color w:val="000000"/>
                <w:sz w:val="22"/>
                <w:szCs w:val="22"/>
              </w:rPr>
            </w:pPr>
            <w:r w:rsidRPr="003E79B0">
              <w:rPr>
                <w:rFonts w:ascii="Arial" w:hAnsi="Arial" w:cs="Arial"/>
                <w:color w:val="000000"/>
                <w:sz w:val="22"/>
                <w:szCs w:val="22"/>
              </w:rPr>
              <w:t>Nº total de declarantes</w:t>
            </w:r>
          </w:p>
        </w:tc>
        <w:tc>
          <w:tcPr>
            <w:tcW w:w="1134" w:type="dxa"/>
            <w:shd w:val="clear" w:color="auto" w:fill="auto"/>
            <w:noWrap/>
            <w:vAlign w:val="bottom"/>
            <w:hideMark/>
          </w:tcPr>
          <w:p w14:paraId="71CB3BB5" w14:textId="77777777" w:rsidR="005A0B88" w:rsidRPr="003E79B0" w:rsidRDefault="005A0B88" w:rsidP="005A0B88">
            <w:pPr>
              <w:jc w:val="right"/>
              <w:rPr>
                <w:rFonts w:ascii="Arial" w:hAnsi="Arial" w:cs="Arial"/>
                <w:color w:val="000000"/>
                <w:sz w:val="22"/>
                <w:szCs w:val="22"/>
              </w:rPr>
            </w:pPr>
            <w:r w:rsidRPr="003E79B0">
              <w:rPr>
                <w:rFonts w:ascii="Arial" w:hAnsi="Arial" w:cs="Arial"/>
                <w:color w:val="000000"/>
                <w:sz w:val="22"/>
                <w:szCs w:val="22"/>
              </w:rPr>
              <w:t>18.227</w:t>
            </w:r>
          </w:p>
        </w:tc>
      </w:tr>
      <w:tr w:rsidR="005A0B88" w:rsidRPr="003E79B0" w14:paraId="5EE32E23" w14:textId="77777777" w:rsidTr="00D30065">
        <w:trPr>
          <w:trHeight w:val="288"/>
        </w:trPr>
        <w:tc>
          <w:tcPr>
            <w:tcW w:w="4673" w:type="dxa"/>
            <w:shd w:val="clear" w:color="auto" w:fill="auto"/>
            <w:noWrap/>
            <w:vAlign w:val="bottom"/>
            <w:hideMark/>
          </w:tcPr>
          <w:p w14:paraId="54EF6537" w14:textId="77777777" w:rsidR="005A0B88" w:rsidRPr="003E79B0" w:rsidRDefault="005A0B88" w:rsidP="005A0B88">
            <w:pPr>
              <w:rPr>
                <w:rFonts w:ascii="Arial" w:hAnsi="Arial" w:cs="Arial"/>
                <w:color w:val="000000"/>
                <w:sz w:val="22"/>
                <w:szCs w:val="22"/>
              </w:rPr>
            </w:pPr>
            <w:r w:rsidRPr="003E79B0">
              <w:rPr>
                <w:rFonts w:ascii="Arial" w:hAnsi="Arial" w:cs="Arial"/>
                <w:color w:val="000000"/>
                <w:sz w:val="22"/>
                <w:szCs w:val="22"/>
              </w:rPr>
              <w:t>Nº declarantes sin rendimientos de trabajo</w:t>
            </w:r>
          </w:p>
        </w:tc>
        <w:tc>
          <w:tcPr>
            <w:tcW w:w="1134" w:type="dxa"/>
            <w:shd w:val="clear" w:color="auto" w:fill="auto"/>
            <w:noWrap/>
            <w:vAlign w:val="bottom"/>
            <w:hideMark/>
          </w:tcPr>
          <w:p w14:paraId="7F0ADD92" w14:textId="77777777" w:rsidR="005A0B88" w:rsidRPr="003E79B0" w:rsidRDefault="005A0B88" w:rsidP="005A0B88">
            <w:pPr>
              <w:jc w:val="right"/>
              <w:rPr>
                <w:rFonts w:ascii="Arial" w:hAnsi="Arial" w:cs="Arial"/>
                <w:color w:val="000000"/>
                <w:sz w:val="22"/>
                <w:szCs w:val="22"/>
              </w:rPr>
            </w:pPr>
            <w:r w:rsidRPr="003E79B0">
              <w:rPr>
                <w:rFonts w:ascii="Arial" w:hAnsi="Arial" w:cs="Arial"/>
                <w:color w:val="000000"/>
                <w:sz w:val="22"/>
                <w:szCs w:val="22"/>
              </w:rPr>
              <w:t>4.438</w:t>
            </w:r>
          </w:p>
        </w:tc>
      </w:tr>
      <w:tr w:rsidR="005A0B88" w:rsidRPr="003E79B0" w14:paraId="7C7E333E" w14:textId="77777777" w:rsidTr="00D30065">
        <w:trPr>
          <w:trHeight w:val="288"/>
        </w:trPr>
        <w:tc>
          <w:tcPr>
            <w:tcW w:w="4673" w:type="dxa"/>
            <w:shd w:val="clear" w:color="auto" w:fill="auto"/>
            <w:noWrap/>
            <w:vAlign w:val="bottom"/>
          </w:tcPr>
          <w:p w14:paraId="4C6DD78B" w14:textId="77777777" w:rsidR="005A0B88" w:rsidRPr="003E79B0" w:rsidRDefault="005A0B88" w:rsidP="005A0B88">
            <w:pPr>
              <w:rPr>
                <w:rFonts w:ascii="Arial" w:hAnsi="Arial" w:cs="Arial"/>
                <w:color w:val="000000"/>
                <w:sz w:val="22"/>
                <w:szCs w:val="22"/>
              </w:rPr>
            </w:pPr>
            <w:r w:rsidRPr="003E79B0">
              <w:rPr>
                <w:rFonts w:ascii="Arial" w:hAnsi="Arial" w:cs="Arial"/>
                <w:color w:val="000000"/>
                <w:sz w:val="22"/>
                <w:szCs w:val="22"/>
              </w:rPr>
              <w:t>Nº declarantes sin rendimientos de trabajo, ni actividad profesional, ni otra actividad empresarial</w:t>
            </w:r>
          </w:p>
        </w:tc>
        <w:tc>
          <w:tcPr>
            <w:tcW w:w="1134" w:type="dxa"/>
            <w:shd w:val="clear" w:color="auto" w:fill="auto"/>
            <w:noWrap/>
            <w:vAlign w:val="bottom"/>
          </w:tcPr>
          <w:p w14:paraId="2CF2DFBD" w14:textId="77777777" w:rsidR="005A0B88" w:rsidRPr="003E79B0" w:rsidRDefault="005A0B88" w:rsidP="005A0B88">
            <w:pPr>
              <w:jc w:val="right"/>
              <w:rPr>
                <w:rFonts w:ascii="Arial" w:hAnsi="Arial" w:cs="Arial"/>
                <w:color w:val="000000"/>
                <w:sz w:val="22"/>
                <w:szCs w:val="22"/>
              </w:rPr>
            </w:pPr>
            <w:r w:rsidRPr="003E79B0">
              <w:rPr>
                <w:rFonts w:ascii="Arial" w:hAnsi="Arial" w:cs="Arial"/>
                <w:color w:val="000000"/>
                <w:sz w:val="22"/>
                <w:szCs w:val="22"/>
              </w:rPr>
              <w:t>3.700</w:t>
            </w:r>
          </w:p>
        </w:tc>
      </w:tr>
    </w:tbl>
    <w:p w14:paraId="1080CCB5" w14:textId="77777777" w:rsidR="005A0B88" w:rsidRPr="003E79B0" w:rsidRDefault="004B2BFE" w:rsidP="005A0B88">
      <w:pPr>
        <w:autoSpaceDE w:val="0"/>
        <w:autoSpaceDN w:val="0"/>
        <w:adjustRightInd w:val="0"/>
        <w:spacing w:before="240" w:after="240" w:line="360" w:lineRule="auto"/>
        <w:jc w:val="both"/>
        <w:rPr>
          <w:rFonts w:ascii="Arial" w:eastAsiaTheme="minorHAnsi" w:hAnsi="Arial" w:cs="Arial"/>
          <w:b/>
          <w:lang w:eastAsia="en-US"/>
        </w:rPr>
      </w:pPr>
      <w:bookmarkStart w:id="0" w:name="_Hlk167805357"/>
      <w:r w:rsidRPr="003E79B0">
        <w:rPr>
          <w:rFonts w:ascii="Arial" w:hAnsi="Arial" w:cs="Arial"/>
          <w:b/>
          <w:lang w:eastAsia="en-US"/>
        </w:rPr>
        <w:t>2.-</w:t>
      </w:r>
      <w:r w:rsidR="005A0B88" w:rsidRPr="003E79B0">
        <w:rPr>
          <w:rFonts w:ascii="Arial" w:hAnsi="Arial" w:cs="Arial"/>
          <w:b/>
          <w:lang w:eastAsia="en-US"/>
        </w:rPr>
        <w:t>M</w:t>
      </w:r>
      <w:r w:rsidR="005A0B88" w:rsidRPr="003E79B0">
        <w:rPr>
          <w:rFonts w:ascii="Arial" w:hAnsi="Arial" w:cs="Arial"/>
          <w:b/>
          <w:lang w:val="es-ES_tradnl" w:eastAsia="en-US"/>
        </w:rPr>
        <w:t>odalidades de determinación de la base imponible, bases y rendimientos netos declarados en IRPF 2022</w:t>
      </w:r>
    </w:p>
    <w:tbl>
      <w:tblPr>
        <w:tblW w:w="7697" w:type="dxa"/>
        <w:tblInd w:w="75" w:type="dxa"/>
        <w:tblCellMar>
          <w:left w:w="70" w:type="dxa"/>
          <w:right w:w="70" w:type="dxa"/>
        </w:tblCellMar>
        <w:tblLook w:val="04A0" w:firstRow="1" w:lastRow="0" w:firstColumn="1" w:lastColumn="0" w:noHBand="0" w:noVBand="1"/>
      </w:tblPr>
      <w:tblGrid>
        <w:gridCol w:w="2938"/>
        <w:gridCol w:w="2609"/>
        <w:gridCol w:w="2150"/>
      </w:tblGrid>
      <w:tr w:rsidR="005A0B88" w:rsidRPr="003E79B0" w14:paraId="3608FFD4" w14:textId="77777777" w:rsidTr="00AD4320">
        <w:trPr>
          <w:trHeight w:val="628"/>
        </w:trPr>
        <w:tc>
          <w:tcPr>
            <w:tcW w:w="29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3A06E8" w14:textId="77777777" w:rsidR="005A0B88" w:rsidRPr="003E79B0" w:rsidRDefault="005A0B88" w:rsidP="005A0B88">
            <w:pPr>
              <w:rPr>
                <w:rFonts w:ascii="Arial" w:hAnsi="Arial" w:cs="Arial"/>
                <w:color w:val="000000"/>
                <w:sz w:val="22"/>
                <w:szCs w:val="22"/>
              </w:rPr>
            </w:pPr>
            <w:proofErr w:type="spellStart"/>
            <w:r w:rsidRPr="003E79B0">
              <w:rPr>
                <w:rFonts w:ascii="Arial" w:hAnsi="Arial" w:cs="Arial"/>
                <w:color w:val="000000"/>
                <w:sz w:val="22"/>
                <w:szCs w:val="22"/>
              </w:rPr>
              <w:t>Nº</w:t>
            </w:r>
            <w:proofErr w:type="spellEnd"/>
            <w:r w:rsidRPr="003E79B0">
              <w:rPr>
                <w:rFonts w:ascii="Arial" w:hAnsi="Arial" w:cs="Arial"/>
                <w:color w:val="000000"/>
                <w:sz w:val="22"/>
                <w:szCs w:val="22"/>
              </w:rPr>
              <w:t xml:space="preserve"> declarantes por modalidad de tributación</w:t>
            </w:r>
          </w:p>
        </w:tc>
        <w:tc>
          <w:tcPr>
            <w:tcW w:w="2609" w:type="dxa"/>
            <w:tcBorders>
              <w:top w:val="single" w:sz="4" w:space="0" w:color="auto"/>
              <w:left w:val="nil"/>
              <w:bottom w:val="single" w:sz="4" w:space="0" w:color="auto"/>
              <w:right w:val="single" w:sz="4" w:space="0" w:color="auto"/>
            </w:tcBorders>
            <w:shd w:val="clear" w:color="auto" w:fill="auto"/>
            <w:vAlign w:val="bottom"/>
            <w:hideMark/>
          </w:tcPr>
          <w:p w14:paraId="2527D33E" w14:textId="77777777" w:rsidR="005A0B88" w:rsidRPr="003E79B0" w:rsidRDefault="005A0B88" w:rsidP="005A0B88">
            <w:pPr>
              <w:rPr>
                <w:rFonts w:ascii="Arial" w:hAnsi="Arial" w:cs="Arial"/>
                <w:color w:val="000000"/>
                <w:sz w:val="22"/>
                <w:szCs w:val="22"/>
              </w:rPr>
            </w:pPr>
            <w:r w:rsidRPr="003E79B0">
              <w:rPr>
                <w:rFonts w:ascii="Arial" w:hAnsi="Arial" w:cs="Arial"/>
                <w:color w:val="000000"/>
                <w:sz w:val="22"/>
                <w:szCs w:val="22"/>
              </w:rPr>
              <w:t>Rendimiento neto total (euros)</w:t>
            </w:r>
          </w:p>
        </w:tc>
        <w:tc>
          <w:tcPr>
            <w:tcW w:w="2150" w:type="dxa"/>
            <w:tcBorders>
              <w:top w:val="single" w:sz="4" w:space="0" w:color="auto"/>
              <w:left w:val="nil"/>
              <w:bottom w:val="single" w:sz="4" w:space="0" w:color="auto"/>
              <w:right w:val="single" w:sz="4" w:space="0" w:color="auto"/>
            </w:tcBorders>
            <w:shd w:val="clear" w:color="auto" w:fill="auto"/>
            <w:vAlign w:val="bottom"/>
            <w:hideMark/>
          </w:tcPr>
          <w:p w14:paraId="03DFA6A7" w14:textId="77777777" w:rsidR="005A0B88" w:rsidRPr="003E79B0" w:rsidRDefault="005A0B88" w:rsidP="005A0B88">
            <w:pPr>
              <w:rPr>
                <w:rFonts w:ascii="Arial" w:hAnsi="Arial" w:cs="Arial"/>
                <w:color w:val="000000"/>
                <w:sz w:val="22"/>
                <w:szCs w:val="22"/>
              </w:rPr>
            </w:pPr>
            <w:r w:rsidRPr="003E79B0">
              <w:rPr>
                <w:rFonts w:ascii="Arial" w:hAnsi="Arial" w:cs="Arial"/>
                <w:color w:val="000000"/>
                <w:sz w:val="22"/>
                <w:szCs w:val="22"/>
              </w:rPr>
              <w:t>Rendimiento neto medio (euros)</w:t>
            </w:r>
          </w:p>
        </w:tc>
      </w:tr>
      <w:tr w:rsidR="005A0B88" w:rsidRPr="003E79B0" w14:paraId="0F5D75F3" w14:textId="77777777" w:rsidTr="00AD4320">
        <w:trPr>
          <w:trHeight w:val="249"/>
        </w:trPr>
        <w:tc>
          <w:tcPr>
            <w:tcW w:w="2938" w:type="dxa"/>
            <w:tcBorders>
              <w:top w:val="nil"/>
              <w:left w:val="single" w:sz="4" w:space="0" w:color="auto"/>
              <w:bottom w:val="single" w:sz="4" w:space="0" w:color="auto"/>
              <w:right w:val="single" w:sz="4" w:space="0" w:color="auto"/>
            </w:tcBorders>
            <w:shd w:val="clear" w:color="auto" w:fill="auto"/>
            <w:noWrap/>
            <w:vAlign w:val="bottom"/>
            <w:hideMark/>
          </w:tcPr>
          <w:p w14:paraId="124B3379" w14:textId="77777777" w:rsidR="005A0B88" w:rsidRPr="003E79B0" w:rsidRDefault="005A0B88" w:rsidP="005A0B88">
            <w:pPr>
              <w:rPr>
                <w:rFonts w:ascii="Arial" w:hAnsi="Arial" w:cs="Arial"/>
                <w:color w:val="000000"/>
                <w:sz w:val="22"/>
                <w:szCs w:val="22"/>
              </w:rPr>
            </w:pPr>
            <w:r w:rsidRPr="003E79B0">
              <w:rPr>
                <w:rFonts w:ascii="Arial" w:hAnsi="Arial" w:cs="Arial"/>
                <w:color w:val="000000"/>
                <w:sz w:val="22"/>
                <w:szCs w:val="22"/>
              </w:rPr>
              <w:t>EDN (328)</w:t>
            </w:r>
          </w:p>
        </w:tc>
        <w:tc>
          <w:tcPr>
            <w:tcW w:w="2609" w:type="dxa"/>
            <w:tcBorders>
              <w:top w:val="nil"/>
              <w:left w:val="nil"/>
              <w:bottom w:val="single" w:sz="4" w:space="0" w:color="auto"/>
              <w:right w:val="single" w:sz="4" w:space="0" w:color="auto"/>
            </w:tcBorders>
            <w:shd w:val="clear" w:color="auto" w:fill="auto"/>
            <w:noWrap/>
            <w:vAlign w:val="bottom"/>
            <w:hideMark/>
          </w:tcPr>
          <w:p w14:paraId="6A02590F" w14:textId="77777777" w:rsidR="005A0B88" w:rsidRPr="003E79B0" w:rsidRDefault="005A0B88" w:rsidP="005A0B88">
            <w:pPr>
              <w:jc w:val="right"/>
              <w:rPr>
                <w:rFonts w:ascii="Arial" w:hAnsi="Arial" w:cs="Arial"/>
                <w:color w:val="000000"/>
                <w:sz w:val="22"/>
                <w:szCs w:val="22"/>
              </w:rPr>
            </w:pPr>
            <w:r w:rsidRPr="003E79B0">
              <w:rPr>
                <w:rFonts w:ascii="Arial" w:hAnsi="Arial" w:cs="Arial"/>
                <w:color w:val="000000"/>
                <w:sz w:val="22"/>
                <w:szCs w:val="22"/>
              </w:rPr>
              <w:t>6.896.208,39</w:t>
            </w:r>
          </w:p>
        </w:tc>
        <w:tc>
          <w:tcPr>
            <w:tcW w:w="2150" w:type="dxa"/>
            <w:tcBorders>
              <w:top w:val="nil"/>
              <w:left w:val="nil"/>
              <w:bottom w:val="single" w:sz="4" w:space="0" w:color="auto"/>
              <w:right w:val="single" w:sz="4" w:space="0" w:color="auto"/>
            </w:tcBorders>
            <w:shd w:val="clear" w:color="auto" w:fill="auto"/>
            <w:noWrap/>
            <w:vAlign w:val="bottom"/>
            <w:hideMark/>
          </w:tcPr>
          <w:p w14:paraId="771F85D0" w14:textId="77777777" w:rsidR="005A0B88" w:rsidRPr="003E79B0" w:rsidRDefault="005A0B88" w:rsidP="005A0B88">
            <w:pPr>
              <w:jc w:val="right"/>
              <w:rPr>
                <w:rFonts w:ascii="Arial" w:hAnsi="Arial" w:cs="Arial"/>
                <w:color w:val="000000"/>
                <w:sz w:val="22"/>
                <w:szCs w:val="22"/>
              </w:rPr>
            </w:pPr>
            <w:r w:rsidRPr="003E79B0">
              <w:rPr>
                <w:rFonts w:ascii="Arial" w:hAnsi="Arial" w:cs="Arial"/>
                <w:color w:val="000000"/>
                <w:sz w:val="22"/>
                <w:szCs w:val="22"/>
              </w:rPr>
              <w:t>21.025,03</w:t>
            </w:r>
          </w:p>
        </w:tc>
      </w:tr>
      <w:tr w:rsidR="005A0B88" w:rsidRPr="003E79B0" w14:paraId="482D7822" w14:textId="77777777" w:rsidTr="00AD4320">
        <w:trPr>
          <w:trHeight w:val="249"/>
        </w:trPr>
        <w:tc>
          <w:tcPr>
            <w:tcW w:w="2938" w:type="dxa"/>
            <w:tcBorders>
              <w:top w:val="nil"/>
              <w:left w:val="single" w:sz="4" w:space="0" w:color="auto"/>
              <w:bottom w:val="single" w:sz="4" w:space="0" w:color="auto"/>
              <w:right w:val="single" w:sz="4" w:space="0" w:color="auto"/>
            </w:tcBorders>
            <w:shd w:val="clear" w:color="auto" w:fill="auto"/>
            <w:noWrap/>
            <w:vAlign w:val="bottom"/>
            <w:hideMark/>
          </w:tcPr>
          <w:p w14:paraId="0F82A8A6" w14:textId="77777777" w:rsidR="005A0B88" w:rsidRPr="003E79B0" w:rsidRDefault="005A0B88" w:rsidP="005A0B88">
            <w:pPr>
              <w:rPr>
                <w:rFonts w:ascii="Arial" w:hAnsi="Arial" w:cs="Arial"/>
                <w:color w:val="000000"/>
                <w:sz w:val="22"/>
                <w:szCs w:val="22"/>
              </w:rPr>
            </w:pPr>
            <w:r w:rsidRPr="003E79B0">
              <w:rPr>
                <w:rFonts w:ascii="Arial" w:hAnsi="Arial" w:cs="Arial"/>
                <w:color w:val="000000"/>
                <w:sz w:val="22"/>
                <w:szCs w:val="22"/>
              </w:rPr>
              <w:t>EDS (2.642)</w:t>
            </w:r>
          </w:p>
        </w:tc>
        <w:tc>
          <w:tcPr>
            <w:tcW w:w="2609" w:type="dxa"/>
            <w:tcBorders>
              <w:top w:val="nil"/>
              <w:left w:val="nil"/>
              <w:bottom w:val="single" w:sz="4" w:space="0" w:color="auto"/>
              <w:right w:val="single" w:sz="4" w:space="0" w:color="auto"/>
            </w:tcBorders>
            <w:shd w:val="clear" w:color="auto" w:fill="auto"/>
            <w:noWrap/>
            <w:vAlign w:val="bottom"/>
            <w:hideMark/>
          </w:tcPr>
          <w:p w14:paraId="228C92B7" w14:textId="77777777" w:rsidR="005A0B88" w:rsidRPr="003E79B0" w:rsidRDefault="005A0B88" w:rsidP="005A0B88">
            <w:pPr>
              <w:jc w:val="right"/>
              <w:rPr>
                <w:rFonts w:ascii="Arial" w:hAnsi="Arial" w:cs="Arial"/>
                <w:color w:val="000000"/>
                <w:sz w:val="22"/>
                <w:szCs w:val="22"/>
              </w:rPr>
            </w:pPr>
            <w:r w:rsidRPr="003E79B0">
              <w:rPr>
                <w:rFonts w:ascii="Arial" w:hAnsi="Arial" w:cs="Arial"/>
                <w:color w:val="000000"/>
                <w:sz w:val="22"/>
                <w:szCs w:val="22"/>
              </w:rPr>
              <w:t>41.558.939,48</w:t>
            </w:r>
          </w:p>
        </w:tc>
        <w:tc>
          <w:tcPr>
            <w:tcW w:w="2150" w:type="dxa"/>
            <w:tcBorders>
              <w:top w:val="nil"/>
              <w:left w:val="nil"/>
              <w:bottom w:val="single" w:sz="4" w:space="0" w:color="auto"/>
              <w:right w:val="single" w:sz="4" w:space="0" w:color="auto"/>
            </w:tcBorders>
            <w:shd w:val="clear" w:color="auto" w:fill="auto"/>
            <w:noWrap/>
            <w:vAlign w:val="bottom"/>
            <w:hideMark/>
          </w:tcPr>
          <w:p w14:paraId="05E548FB" w14:textId="77777777" w:rsidR="005A0B88" w:rsidRPr="003E79B0" w:rsidRDefault="005A0B88" w:rsidP="005A0B88">
            <w:pPr>
              <w:jc w:val="right"/>
              <w:rPr>
                <w:rFonts w:ascii="Arial" w:hAnsi="Arial" w:cs="Arial"/>
                <w:color w:val="000000"/>
                <w:sz w:val="22"/>
                <w:szCs w:val="22"/>
              </w:rPr>
            </w:pPr>
            <w:r w:rsidRPr="003E79B0">
              <w:rPr>
                <w:rFonts w:ascii="Arial" w:hAnsi="Arial" w:cs="Arial"/>
                <w:color w:val="000000"/>
                <w:sz w:val="22"/>
                <w:szCs w:val="22"/>
              </w:rPr>
              <w:t>15.730,11</w:t>
            </w:r>
          </w:p>
        </w:tc>
      </w:tr>
      <w:tr w:rsidR="005A0B88" w:rsidRPr="003E79B0" w14:paraId="6C39EC16" w14:textId="77777777" w:rsidTr="00AD4320">
        <w:trPr>
          <w:trHeight w:val="249"/>
        </w:trPr>
        <w:tc>
          <w:tcPr>
            <w:tcW w:w="2938" w:type="dxa"/>
            <w:tcBorders>
              <w:top w:val="nil"/>
              <w:left w:val="single" w:sz="4" w:space="0" w:color="auto"/>
              <w:bottom w:val="single" w:sz="4" w:space="0" w:color="auto"/>
              <w:right w:val="single" w:sz="4" w:space="0" w:color="auto"/>
            </w:tcBorders>
            <w:shd w:val="clear" w:color="auto" w:fill="auto"/>
            <w:noWrap/>
            <w:vAlign w:val="bottom"/>
            <w:hideMark/>
          </w:tcPr>
          <w:p w14:paraId="13669DFA" w14:textId="77777777" w:rsidR="005A0B88" w:rsidRPr="003E79B0" w:rsidRDefault="005A0B88" w:rsidP="005A0B88">
            <w:pPr>
              <w:rPr>
                <w:rFonts w:ascii="Arial" w:hAnsi="Arial" w:cs="Arial"/>
                <w:color w:val="000000"/>
                <w:sz w:val="22"/>
                <w:szCs w:val="22"/>
              </w:rPr>
            </w:pPr>
            <w:r w:rsidRPr="003E79B0">
              <w:rPr>
                <w:rFonts w:ascii="Arial" w:hAnsi="Arial" w:cs="Arial"/>
                <w:color w:val="000000"/>
                <w:sz w:val="22"/>
                <w:szCs w:val="22"/>
              </w:rPr>
              <w:t>EDE (15.257)</w:t>
            </w:r>
          </w:p>
        </w:tc>
        <w:tc>
          <w:tcPr>
            <w:tcW w:w="2609" w:type="dxa"/>
            <w:tcBorders>
              <w:top w:val="nil"/>
              <w:left w:val="nil"/>
              <w:bottom w:val="single" w:sz="4" w:space="0" w:color="auto"/>
              <w:right w:val="single" w:sz="4" w:space="0" w:color="auto"/>
            </w:tcBorders>
            <w:shd w:val="clear" w:color="auto" w:fill="auto"/>
            <w:noWrap/>
            <w:vAlign w:val="bottom"/>
            <w:hideMark/>
          </w:tcPr>
          <w:p w14:paraId="62C72954" w14:textId="77777777" w:rsidR="005A0B88" w:rsidRPr="003E79B0" w:rsidRDefault="005A0B88" w:rsidP="005A0B88">
            <w:pPr>
              <w:jc w:val="right"/>
              <w:rPr>
                <w:rFonts w:ascii="Arial" w:hAnsi="Arial" w:cs="Arial"/>
                <w:color w:val="000000"/>
                <w:sz w:val="22"/>
                <w:szCs w:val="22"/>
              </w:rPr>
            </w:pPr>
            <w:r w:rsidRPr="003E79B0">
              <w:rPr>
                <w:rFonts w:ascii="Arial" w:hAnsi="Arial" w:cs="Arial"/>
                <w:color w:val="000000"/>
                <w:sz w:val="22"/>
                <w:szCs w:val="22"/>
              </w:rPr>
              <w:t>117.187.527,44</w:t>
            </w:r>
          </w:p>
        </w:tc>
        <w:tc>
          <w:tcPr>
            <w:tcW w:w="2150" w:type="dxa"/>
            <w:tcBorders>
              <w:top w:val="nil"/>
              <w:left w:val="nil"/>
              <w:bottom w:val="single" w:sz="4" w:space="0" w:color="auto"/>
              <w:right w:val="single" w:sz="4" w:space="0" w:color="auto"/>
            </w:tcBorders>
            <w:shd w:val="clear" w:color="auto" w:fill="auto"/>
            <w:noWrap/>
            <w:vAlign w:val="bottom"/>
            <w:hideMark/>
          </w:tcPr>
          <w:p w14:paraId="0D896D7C" w14:textId="77777777" w:rsidR="005A0B88" w:rsidRPr="003E79B0" w:rsidRDefault="005A0B88" w:rsidP="005A0B88">
            <w:pPr>
              <w:jc w:val="right"/>
              <w:rPr>
                <w:rFonts w:ascii="Arial" w:hAnsi="Arial" w:cs="Arial"/>
                <w:color w:val="000000"/>
                <w:sz w:val="22"/>
                <w:szCs w:val="22"/>
              </w:rPr>
            </w:pPr>
            <w:r w:rsidRPr="003E79B0">
              <w:rPr>
                <w:rFonts w:ascii="Arial" w:hAnsi="Arial" w:cs="Arial"/>
                <w:color w:val="000000"/>
                <w:sz w:val="22"/>
                <w:szCs w:val="22"/>
              </w:rPr>
              <w:t>7.680,90</w:t>
            </w:r>
          </w:p>
        </w:tc>
      </w:tr>
      <w:tr w:rsidR="005A0B88" w:rsidRPr="003E79B0" w14:paraId="5DEF6004" w14:textId="77777777" w:rsidTr="00AD4320">
        <w:trPr>
          <w:trHeight w:val="249"/>
        </w:trPr>
        <w:tc>
          <w:tcPr>
            <w:tcW w:w="2938" w:type="dxa"/>
            <w:tcBorders>
              <w:top w:val="nil"/>
              <w:left w:val="single" w:sz="4" w:space="0" w:color="auto"/>
              <w:bottom w:val="single" w:sz="4" w:space="0" w:color="auto"/>
              <w:right w:val="single" w:sz="4" w:space="0" w:color="auto"/>
            </w:tcBorders>
            <w:shd w:val="clear" w:color="auto" w:fill="auto"/>
            <w:noWrap/>
            <w:vAlign w:val="bottom"/>
            <w:hideMark/>
          </w:tcPr>
          <w:p w14:paraId="0522F11F" w14:textId="77777777" w:rsidR="005A0B88" w:rsidRPr="003E79B0" w:rsidRDefault="005A0B88" w:rsidP="005A0B88">
            <w:pPr>
              <w:rPr>
                <w:rFonts w:ascii="Arial" w:hAnsi="Arial" w:cs="Arial"/>
                <w:color w:val="000000"/>
                <w:sz w:val="22"/>
                <w:szCs w:val="22"/>
              </w:rPr>
            </w:pPr>
            <w:r w:rsidRPr="003E79B0">
              <w:rPr>
                <w:rFonts w:ascii="Arial" w:hAnsi="Arial" w:cs="Arial"/>
                <w:color w:val="000000"/>
                <w:sz w:val="22"/>
                <w:szCs w:val="22"/>
              </w:rPr>
              <w:t>Total (18.227)</w:t>
            </w:r>
          </w:p>
        </w:tc>
        <w:tc>
          <w:tcPr>
            <w:tcW w:w="2609" w:type="dxa"/>
            <w:tcBorders>
              <w:top w:val="nil"/>
              <w:left w:val="nil"/>
              <w:bottom w:val="single" w:sz="4" w:space="0" w:color="auto"/>
              <w:right w:val="single" w:sz="4" w:space="0" w:color="auto"/>
            </w:tcBorders>
            <w:shd w:val="clear" w:color="auto" w:fill="auto"/>
            <w:noWrap/>
            <w:vAlign w:val="bottom"/>
            <w:hideMark/>
          </w:tcPr>
          <w:p w14:paraId="2888DFBF" w14:textId="77777777" w:rsidR="005A0B88" w:rsidRPr="003E79B0" w:rsidRDefault="005A0B88" w:rsidP="005A0B88">
            <w:pPr>
              <w:jc w:val="right"/>
              <w:rPr>
                <w:rFonts w:ascii="Arial" w:hAnsi="Arial" w:cs="Arial"/>
                <w:color w:val="000000"/>
                <w:sz w:val="22"/>
                <w:szCs w:val="22"/>
              </w:rPr>
            </w:pPr>
            <w:r w:rsidRPr="003E79B0">
              <w:rPr>
                <w:rFonts w:ascii="Arial" w:hAnsi="Arial" w:cs="Arial"/>
                <w:color w:val="000000"/>
                <w:sz w:val="22"/>
                <w:szCs w:val="22"/>
              </w:rPr>
              <w:t>165.642.675,31</w:t>
            </w:r>
          </w:p>
        </w:tc>
        <w:tc>
          <w:tcPr>
            <w:tcW w:w="2150" w:type="dxa"/>
            <w:tcBorders>
              <w:top w:val="nil"/>
              <w:left w:val="nil"/>
              <w:bottom w:val="single" w:sz="4" w:space="0" w:color="auto"/>
              <w:right w:val="single" w:sz="4" w:space="0" w:color="auto"/>
            </w:tcBorders>
            <w:shd w:val="clear" w:color="auto" w:fill="auto"/>
            <w:noWrap/>
            <w:vAlign w:val="bottom"/>
            <w:hideMark/>
          </w:tcPr>
          <w:p w14:paraId="25FC5FAE" w14:textId="77777777" w:rsidR="005A0B88" w:rsidRPr="003E79B0" w:rsidRDefault="005A0B88" w:rsidP="005A0B88">
            <w:pPr>
              <w:jc w:val="right"/>
              <w:rPr>
                <w:rFonts w:ascii="Arial" w:hAnsi="Arial" w:cs="Arial"/>
                <w:color w:val="000000"/>
                <w:sz w:val="22"/>
                <w:szCs w:val="22"/>
              </w:rPr>
            </w:pPr>
            <w:r w:rsidRPr="003E79B0">
              <w:rPr>
                <w:rFonts w:ascii="Arial" w:hAnsi="Arial" w:cs="Arial"/>
                <w:color w:val="000000"/>
                <w:sz w:val="22"/>
                <w:szCs w:val="22"/>
              </w:rPr>
              <w:t>9.087,76</w:t>
            </w:r>
          </w:p>
        </w:tc>
      </w:tr>
    </w:tbl>
    <w:p w14:paraId="43435012" w14:textId="77777777" w:rsidR="005A0B88" w:rsidRPr="003E79B0" w:rsidRDefault="004B2BFE" w:rsidP="005A0B88">
      <w:pPr>
        <w:autoSpaceDE w:val="0"/>
        <w:autoSpaceDN w:val="0"/>
        <w:adjustRightInd w:val="0"/>
        <w:spacing w:before="240" w:after="240" w:line="360" w:lineRule="auto"/>
        <w:jc w:val="both"/>
        <w:rPr>
          <w:rFonts w:ascii="Arial" w:eastAsiaTheme="minorHAnsi" w:hAnsi="Arial" w:cs="Arial"/>
          <w:b/>
          <w:lang w:eastAsia="en-US"/>
        </w:rPr>
      </w:pPr>
      <w:r w:rsidRPr="003E79B0">
        <w:rPr>
          <w:rFonts w:ascii="Arial" w:hAnsi="Arial" w:cs="Arial"/>
          <w:b/>
          <w:lang w:eastAsia="en-US"/>
        </w:rPr>
        <w:t>3.-</w:t>
      </w:r>
      <w:r w:rsidR="005A0B88" w:rsidRPr="003E79B0">
        <w:rPr>
          <w:rFonts w:ascii="Arial" w:hAnsi="Arial" w:cs="Arial"/>
          <w:b/>
          <w:lang w:eastAsia="en-US"/>
        </w:rPr>
        <w:t xml:space="preserve">Contribuyentes que </w:t>
      </w:r>
      <w:r w:rsidR="005A0B88" w:rsidRPr="003E79B0">
        <w:rPr>
          <w:rFonts w:ascii="Arial" w:eastAsiaTheme="minorHAnsi" w:hAnsi="Arial" w:cs="Arial"/>
          <w:b/>
          <w:lang w:eastAsia="en-US"/>
        </w:rPr>
        <w:t>ejercen actividades agrícolas o ganaderas que han solicitado devolución anual de IVA de 2023:</w:t>
      </w:r>
    </w:p>
    <w:tbl>
      <w:tblPr>
        <w:tblStyle w:val="Tablaconcuadrcula1"/>
        <w:tblW w:w="0" w:type="auto"/>
        <w:tblInd w:w="720" w:type="dxa"/>
        <w:tblLook w:val="04A0" w:firstRow="1" w:lastRow="0" w:firstColumn="1" w:lastColumn="0" w:noHBand="0" w:noVBand="1"/>
      </w:tblPr>
      <w:tblGrid>
        <w:gridCol w:w="2294"/>
        <w:gridCol w:w="1555"/>
        <w:gridCol w:w="2019"/>
        <w:gridCol w:w="1906"/>
      </w:tblGrid>
      <w:tr w:rsidR="005A0B88" w:rsidRPr="003E79B0" w14:paraId="12AAC856" w14:textId="77777777" w:rsidTr="00D30065">
        <w:tc>
          <w:tcPr>
            <w:tcW w:w="2365" w:type="dxa"/>
          </w:tcPr>
          <w:p w14:paraId="08639B7C" w14:textId="77777777" w:rsidR="005A0B88" w:rsidRPr="003E79B0" w:rsidRDefault="005A0B88" w:rsidP="005A0B88">
            <w:pPr>
              <w:rPr>
                <w:rFonts w:ascii="Arial" w:hAnsi="Arial" w:cs="Arial"/>
                <w:color w:val="000000"/>
                <w:sz w:val="22"/>
                <w:szCs w:val="22"/>
              </w:rPr>
            </w:pPr>
            <w:r w:rsidRPr="003E79B0">
              <w:rPr>
                <w:rFonts w:ascii="Arial" w:hAnsi="Arial" w:cs="Arial"/>
                <w:color w:val="000000"/>
                <w:sz w:val="22"/>
                <w:szCs w:val="22"/>
              </w:rPr>
              <w:t>*Tipo contribuyente</w:t>
            </w:r>
          </w:p>
        </w:tc>
        <w:tc>
          <w:tcPr>
            <w:tcW w:w="1607" w:type="dxa"/>
          </w:tcPr>
          <w:p w14:paraId="70508876" w14:textId="77777777" w:rsidR="005A0B88" w:rsidRPr="003E79B0" w:rsidRDefault="005A0B88" w:rsidP="005A0B88">
            <w:pPr>
              <w:rPr>
                <w:rFonts w:ascii="Arial" w:hAnsi="Arial" w:cs="Arial"/>
                <w:color w:val="000000"/>
                <w:sz w:val="22"/>
                <w:szCs w:val="22"/>
              </w:rPr>
            </w:pPr>
            <w:r w:rsidRPr="003E79B0">
              <w:rPr>
                <w:rFonts w:ascii="Arial" w:hAnsi="Arial" w:cs="Arial"/>
                <w:color w:val="000000"/>
                <w:sz w:val="22"/>
                <w:szCs w:val="22"/>
              </w:rPr>
              <w:t>Número</w:t>
            </w:r>
          </w:p>
        </w:tc>
        <w:tc>
          <w:tcPr>
            <w:tcW w:w="2056" w:type="dxa"/>
          </w:tcPr>
          <w:p w14:paraId="5C8FFB58" w14:textId="77777777" w:rsidR="005A0B88" w:rsidRPr="003E79B0" w:rsidRDefault="005A0B88" w:rsidP="005A0B88">
            <w:pPr>
              <w:rPr>
                <w:rFonts w:ascii="Arial" w:hAnsi="Arial" w:cs="Arial"/>
                <w:color w:val="000000"/>
                <w:sz w:val="22"/>
                <w:szCs w:val="22"/>
              </w:rPr>
            </w:pPr>
            <w:r w:rsidRPr="003E79B0">
              <w:rPr>
                <w:rFonts w:ascii="Arial" w:hAnsi="Arial" w:cs="Arial"/>
                <w:color w:val="000000"/>
                <w:sz w:val="22"/>
                <w:szCs w:val="22"/>
              </w:rPr>
              <w:t>Importe (euros)</w:t>
            </w:r>
          </w:p>
        </w:tc>
        <w:tc>
          <w:tcPr>
            <w:tcW w:w="1972" w:type="dxa"/>
          </w:tcPr>
          <w:p w14:paraId="1AAA4F24" w14:textId="77777777" w:rsidR="005A0B88" w:rsidRPr="003E79B0" w:rsidRDefault="005A0B88" w:rsidP="005A0B88">
            <w:pPr>
              <w:rPr>
                <w:rFonts w:ascii="Arial" w:hAnsi="Arial" w:cs="Arial"/>
                <w:color w:val="000000"/>
                <w:sz w:val="22"/>
                <w:szCs w:val="22"/>
              </w:rPr>
            </w:pPr>
            <w:r w:rsidRPr="003E79B0">
              <w:rPr>
                <w:rFonts w:ascii="Arial" w:hAnsi="Arial" w:cs="Arial"/>
                <w:color w:val="000000"/>
                <w:sz w:val="22"/>
                <w:szCs w:val="22"/>
              </w:rPr>
              <w:t>Importe medio (euros)</w:t>
            </w:r>
          </w:p>
        </w:tc>
      </w:tr>
      <w:tr w:rsidR="005A0B88" w:rsidRPr="003E79B0" w14:paraId="524D727D" w14:textId="77777777" w:rsidTr="00D30065">
        <w:tc>
          <w:tcPr>
            <w:tcW w:w="2365" w:type="dxa"/>
          </w:tcPr>
          <w:p w14:paraId="3CD43DD2" w14:textId="77777777" w:rsidR="005A0B88" w:rsidRPr="003E79B0" w:rsidRDefault="005A0B88" w:rsidP="005A0B88">
            <w:pPr>
              <w:rPr>
                <w:rFonts w:ascii="Arial" w:hAnsi="Arial" w:cs="Arial"/>
                <w:color w:val="000000"/>
                <w:sz w:val="22"/>
                <w:szCs w:val="22"/>
              </w:rPr>
            </w:pPr>
            <w:r w:rsidRPr="003E79B0">
              <w:rPr>
                <w:rFonts w:ascii="Arial" w:hAnsi="Arial" w:cs="Arial"/>
                <w:color w:val="000000"/>
                <w:sz w:val="22"/>
                <w:szCs w:val="22"/>
              </w:rPr>
              <w:t>Personas físicas</w:t>
            </w:r>
          </w:p>
        </w:tc>
        <w:tc>
          <w:tcPr>
            <w:tcW w:w="1607" w:type="dxa"/>
          </w:tcPr>
          <w:p w14:paraId="35546C12" w14:textId="77777777" w:rsidR="005A0B88" w:rsidRPr="003E79B0" w:rsidRDefault="005A0B88" w:rsidP="005A0B88">
            <w:pPr>
              <w:rPr>
                <w:rFonts w:ascii="Arial" w:hAnsi="Arial" w:cs="Arial"/>
                <w:color w:val="000000"/>
                <w:sz w:val="22"/>
                <w:szCs w:val="22"/>
              </w:rPr>
            </w:pPr>
            <w:r w:rsidRPr="003E79B0">
              <w:rPr>
                <w:rFonts w:ascii="Arial" w:hAnsi="Arial" w:cs="Arial"/>
                <w:color w:val="000000"/>
                <w:sz w:val="22"/>
                <w:szCs w:val="22"/>
              </w:rPr>
              <w:t>766</w:t>
            </w:r>
          </w:p>
        </w:tc>
        <w:tc>
          <w:tcPr>
            <w:tcW w:w="2056" w:type="dxa"/>
          </w:tcPr>
          <w:p w14:paraId="02C2ACA9" w14:textId="77777777" w:rsidR="005A0B88" w:rsidRPr="003E79B0" w:rsidRDefault="005A0B88" w:rsidP="005A0B88">
            <w:pPr>
              <w:rPr>
                <w:rFonts w:ascii="Arial" w:hAnsi="Arial" w:cs="Arial"/>
                <w:color w:val="000000"/>
                <w:sz w:val="22"/>
                <w:szCs w:val="22"/>
              </w:rPr>
            </w:pPr>
            <w:r w:rsidRPr="003E79B0">
              <w:rPr>
                <w:rFonts w:ascii="Arial" w:hAnsi="Arial" w:cs="Arial"/>
                <w:color w:val="000000"/>
                <w:sz w:val="22"/>
                <w:szCs w:val="22"/>
              </w:rPr>
              <w:t>13.988.440,57</w:t>
            </w:r>
          </w:p>
        </w:tc>
        <w:tc>
          <w:tcPr>
            <w:tcW w:w="1972" w:type="dxa"/>
          </w:tcPr>
          <w:p w14:paraId="016672C4" w14:textId="77777777" w:rsidR="005A0B88" w:rsidRPr="003E79B0" w:rsidRDefault="005A0B88" w:rsidP="005A0B88">
            <w:pPr>
              <w:rPr>
                <w:rFonts w:ascii="Arial" w:hAnsi="Arial" w:cs="Arial"/>
                <w:color w:val="000000"/>
                <w:sz w:val="22"/>
                <w:szCs w:val="22"/>
              </w:rPr>
            </w:pPr>
            <w:r w:rsidRPr="003E79B0">
              <w:rPr>
                <w:rFonts w:ascii="Arial" w:hAnsi="Arial" w:cs="Arial"/>
                <w:color w:val="000000"/>
                <w:sz w:val="22"/>
                <w:szCs w:val="22"/>
              </w:rPr>
              <w:t>18.261,67</w:t>
            </w:r>
          </w:p>
        </w:tc>
      </w:tr>
      <w:tr w:rsidR="005A0B88" w:rsidRPr="003E79B0" w14:paraId="7FFDF6CC" w14:textId="77777777" w:rsidTr="00D30065">
        <w:tc>
          <w:tcPr>
            <w:tcW w:w="2365" w:type="dxa"/>
          </w:tcPr>
          <w:p w14:paraId="002E1979" w14:textId="77777777" w:rsidR="005A0B88" w:rsidRPr="003E79B0" w:rsidRDefault="005A0B88" w:rsidP="005A0B88">
            <w:pPr>
              <w:rPr>
                <w:rFonts w:ascii="Arial" w:hAnsi="Arial" w:cs="Arial"/>
                <w:color w:val="000000"/>
                <w:sz w:val="22"/>
                <w:szCs w:val="22"/>
              </w:rPr>
            </w:pPr>
            <w:r w:rsidRPr="003E79B0">
              <w:rPr>
                <w:rFonts w:ascii="Arial" w:hAnsi="Arial" w:cs="Arial"/>
                <w:color w:val="000000"/>
                <w:sz w:val="22"/>
                <w:szCs w:val="22"/>
              </w:rPr>
              <w:t>Personas jurídicas</w:t>
            </w:r>
          </w:p>
        </w:tc>
        <w:tc>
          <w:tcPr>
            <w:tcW w:w="1607" w:type="dxa"/>
          </w:tcPr>
          <w:p w14:paraId="0393E531" w14:textId="77777777" w:rsidR="005A0B88" w:rsidRPr="003E79B0" w:rsidRDefault="005A0B88" w:rsidP="005A0B88">
            <w:pPr>
              <w:rPr>
                <w:rFonts w:ascii="Arial" w:hAnsi="Arial" w:cs="Arial"/>
                <w:color w:val="000000"/>
                <w:sz w:val="22"/>
                <w:szCs w:val="22"/>
              </w:rPr>
            </w:pPr>
            <w:r w:rsidRPr="003E79B0">
              <w:rPr>
                <w:rFonts w:ascii="Arial" w:hAnsi="Arial" w:cs="Arial"/>
                <w:color w:val="000000"/>
                <w:sz w:val="22"/>
                <w:szCs w:val="22"/>
              </w:rPr>
              <w:t>565</w:t>
            </w:r>
          </w:p>
        </w:tc>
        <w:tc>
          <w:tcPr>
            <w:tcW w:w="2056" w:type="dxa"/>
          </w:tcPr>
          <w:p w14:paraId="5BCC3F0D" w14:textId="77777777" w:rsidR="005A0B88" w:rsidRPr="003E79B0" w:rsidRDefault="005A0B88" w:rsidP="005A0B88">
            <w:pPr>
              <w:rPr>
                <w:rFonts w:ascii="Arial" w:hAnsi="Arial" w:cs="Arial"/>
                <w:color w:val="000000"/>
                <w:sz w:val="22"/>
                <w:szCs w:val="22"/>
              </w:rPr>
            </w:pPr>
            <w:r w:rsidRPr="003E79B0">
              <w:rPr>
                <w:rFonts w:ascii="Arial" w:hAnsi="Arial" w:cs="Arial"/>
                <w:color w:val="000000"/>
                <w:sz w:val="22"/>
                <w:szCs w:val="22"/>
              </w:rPr>
              <w:t>20.462.955,24</w:t>
            </w:r>
          </w:p>
        </w:tc>
        <w:tc>
          <w:tcPr>
            <w:tcW w:w="1972" w:type="dxa"/>
          </w:tcPr>
          <w:p w14:paraId="459BAB0D" w14:textId="77777777" w:rsidR="005A0B88" w:rsidRPr="003E79B0" w:rsidRDefault="005A0B88" w:rsidP="005A0B88">
            <w:pPr>
              <w:rPr>
                <w:rFonts w:ascii="Arial" w:hAnsi="Arial" w:cs="Arial"/>
                <w:color w:val="000000"/>
                <w:sz w:val="22"/>
                <w:szCs w:val="22"/>
              </w:rPr>
            </w:pPr>
            <w:r w:rsidRPr="003E79B0">
              <w:rPr>
                <w:rFonts w:ascii="Arial" w:hAnsi="Arial" w:cs="Arial"/>
                <w:color w:val="000000"/>
                <w:sz w:val="22"/>
                <w:szCs w:val="22"/>
              </w:rPr>
              <w:t>36.217,62</w:t>
            </w:r>
          </w:p>
        </w:tc>
      </w:tr>
      <w:tr w:rsidR="005A0B88" w:rsidRPr="003E79B0" w14:paraId="6C3DBD06" w14:textId="77777777" w:rsidTr="00D30065">
        <w:tc>
          <w:tcPr>
            <w:tcW w:w="2365" w:type="dxa"/>
          </w:tcPr>
          <w:p w14:paraId="4CF1F196" w14:textId="77777777" w:rsidR="005A0B88" w:rsidRPr="003E79B0" w:rsidRDefault="005A0B88" w:rsidP="005A0B88">
            <w:pPr>
              <w:rPr>
                <w:rFonts w:ascii="Arial" w:hAnsi="Arial" w:cs="Arial"/>
                <w:color w:val="000000"/>
                <w:sz w:val="22"/>
                <w:szCs w:val="22"/>
              </w:rPr>
            </w:pPr>
            <w:r w:rsidRPr="003E79B0">
              <w:rPr>
                <w:rFonts w:ascii="Arial" w:hAnsi="Arial" w:cs="Arial"/>
                <w:color w:val="000000"/>
                <w:sz w:val="22"/>
                <w:szCs w:val="22"/>
              </w:rPr>
              <w:t>Total</w:t>
            </w:r>
          </w:p>
        </w:tc>
        <w:tc>
          <w:tcPr>
            <w:tcW w:w="1607" w:type="dxa"/>
          </w:tcPr>
          <w:p w14:paraId="78CDDC88" w14:textId="77777777" w:rsidR="005A0B88" w:rsidRPr="003E79B0" w:rsidRDefault="005A0B88" w:rsidP="005A0B88">
            <w:pPr>
              <w:rPr>
                <w:rFonts w:ascii="Arial" w:hAnsi="Arial" w:cs="Arial"/>
                <w:color w:val="000000"/>
                <w:sz w:val="22"/>
                <w:szCs w:val="22"/>
              </w:rPr>
            </w:pPr>
            <w:r w:rsidRPr="003E79B0">
              <w:rPr>
                <w:rFonts w:ascii="Arial" w:hAnsi="Arial" w:cs="Arial"/>
                <w:color w:val="000000"/>
                <w:sz w:val="22"/>
                <w:szCs w:val="22"/>
              </w:rPr>
              <w:t>1.331</w:t>
            </w:r>
          </w:p>
        </w:tc>
        <w:tc>
          <w:tcPr>
            <w:tcW w:w="2056" w:type="dxa"/>
          </w:tcPr>
          <w:p w14:paraId="0C9253D5" w14:textId="77777777" w:rsidR="005A0B88" w:rsidRPr="003E79B0" w:rsidRDefault="005A0B88" w:rsidP="005A0B88">
            <w:pPr>
              <w:rPr>
                <w:rFonts w:ascii="Arial" w:hAnsi="Arial" w:cs="Arial"/>
                <w:color w:val="000000"/>
                <w:sz w:val="22"/>
                <w:szCs w:val="22"/>
              </w:rPr>
            </w:pPr>
            <w:r w:rsidRPr="003E79B0">
              <w:rPr>
                <w:rFonts w:ascii="Arial" w:hAnsi="Arial" w:cs="Arial"/>
                <w:color w:val="000000"/>
                <w:sz w:val="22"/>
                <w:szCs w:val="22"/>
              </w:rPr>
              <w:t>34.451.395,81</w:t>
            </w:r>
          </w:p>
        </w:tc>
        <w:tc>
          <w:tcPr>
            <w:tcW w:w="1972" w:type="dxa"/>
          </w:tcPr>
          <w:p w14:paraId="64A6C0C2" w14:textId="77777777" w:rsidR="005A0B88" w:rsidRPr="003E79B0" w:rsidRDefault="005A0B88" w:rsidP="005A0B88">
            <w:pPr>
              <w:rPr>
                <w:rFonts w:ascii="Arial" w:hAnsi="Arial" w:cs="Arial"/>
                <w:color w:val="000000"/>
                <w:sz w:val="22"/>
                <w:szCs w:val="22"/>
              </w:rPr>
            </w:pPr>
            <w:r w:rsidRPr="003E79B0">
              <w:rPr>
                <w:rFonts w:ascii="Arial" w:hAnsi="Arial" w:cs="Arial"/>
                <w:color w:val="000000"/>
                <w:sz w:val="22"/>
                <w:szCs w:val="22"/>
              </w:rPr>
              <w:t>25.883,84</w:t>
            </w:r>
          </w:p>
        </w:tc>
      </w:tr>
    </w:tbl>
    <w:p w14:paraId="6221AAA4" w14:textId="77777777" w:rsidR="00D542C4" w:rsidRDefault="00D542C4" w:rsidP="005A0B88">
      <w:pPr>
        <w:autoSpaceDE w:val="0"/>
        <w:autoSpaceDN w:val="0"/>
        <w:adjustRightInd w:val="0"/>
        <w:spacing w:before="240" w:after="240" w:line="360" w:lineRule="auto"/>
        <w:ind w:left="720" w:hanging="12"/>
        <w:jc w:val="both"/>
        <w:rPr>
          <w:rFonts w:ascii="Arial" w:hAnsi="Arial" w:cs="Arial"/>
          <w:lang w:eastAsia="en-US"/>
        </w:rPr>
      </w:pPr>
    </w:p>
    <w:p w14:paraId="54409E45" w14:textId="77777777" w:rsidR="003E79B0" w:rsidRDefault="003E79B0" w:rsidP="005A0B88">
      <w:pPr>
        <w:autoSpaceDE w:val="0"/>
        <w:autoSpaceDN w:val="0"/>
        <w:adjustRightInd w:val="0"/>
        <w:spacing w:before="240" w:after="240" w:line="360" w:lineRule="auto"/>
        <w:ind w:left="720" w:hanging="12"/>
        <w:jc w:val="both"/>
        <w:rPr>
          <w:rFonts w:ascii="Arial" w:hAnsi="Arial" w:cs="Arial"/>
          <w:lang w:eastAsia="en-US"/>
        </w:rPr>
      </w:pPr>
    </w:p>
    <w:p w14:paraId="4E049901" w14:textId="77777777" w:rsidR="005A0B88" w:rsidRPr="008C7FB0" w:rsidRDefault="005A0B88" w:rsidP="003E79B0">
      <w:pPr>
        <w:autoSpaceDE w:val="0"/>
        <w:autoSpaceDN w:val="0"/>
        <w:adjustRightInd w:val="0"/>
        <w:spacing w:before="240" w:after="240" w:line="360" w:lineRule="auto"/>
        <w:ind w:left="720" w:hanging="12"/>
        <w:jc w:val="both"/>
        <w:rPr>
          <w:rFonts w:ascii="Arial" w:hAnsi="Arial" w:cs="Arial"/>
          <w:sz w:val="22"/>
          <w:szCs w:val="22"/>
          <w:lang w:eastAsia="en-US"/>
        </w:rPr>
      </w:pPr>
      <w:r w:rsidRPr="008C7FB0">
        <w:rPr>
          <w:rFonts w:ascii="Arial" w:hAnsi="Arial" w:cs="Arial"/>
          <w:sz w:val="22"/>
          <w:szCs w:val="22"/>
          <w:lang w:eastAsia="en-US"/>
        </w:rPr>
        <w:t>*No están incluidos los contribuyentes que tributan por IVA mensualmente y tienen derecho a devolución mensual del IVA a s</w:t>
      </w:r>
      <w:r w:rsidR="003E79B0" w:rsidRPr="008C7FB0">
        <w:rPr>
          <w:rFonts w:ascii="Arial" w:hAnsi="Arial" w:cs="Arial"/>
          <w:sz w:val="22"/>
          <w:szCs w:val="22"/>
          <w:lang w:eastAsia="en-US"/>
        </w:rPr>
        <w:t xml:space="preserve">u favor (son contribuyentes que </w:t>
      </w:r>
      <w:r w:rsidRPr="008C7FB0">
        <w:rPr>
          <w:rFonts w:ascii="Arial" w:hAnsi="Arial" w:cs="Arial"/>
          <w:sz w:val="22"/>
          <w:szCs w:val="22"/>
          <w:lang w:eastAsia="en-US"/>
        </w:rPr>
        <w:lastRenderedPageBreak/>
        <w:t>tienen un volumen de operaciones superior a 6 M€ o que se han dado de alta en el régimen especial de devolución mensual de IVA y presentan el SII).</w:t>
      </w:r>
    </w:p>
    <w:bookmarkEnd w:id="0"/>
    <w:p w14:paraId="216E9056" w14:textId="77777777" w:rsidR="005A0B88" w:rsidRPr="003E79B0" w:rsidRDefault="005A0B88" w:rsidP="005A0B88">
      <w:pPr>
        <w:autoSpaceDE w:val="0"/>
        <w:autoSpaceDN w:val="0"/>
        <w:adjustRightInd w:val="0"/>
        <w:spacing w:before="240" w:after="240" w:line="360" w:lineRule="auto"/>
        <w:jc w:val="both"/>
        <w:rPr>
          <w:rFonts w:ascii="Arial" w:eastAsiaTheme="minorHAnsi" w:hAnsi="Arial" w:cs="Arial"/>
          <w:lang w:eastAsia="en-US"/>
        </w:rPr>
      </w:pPr>
      <w:r w:rsidRPr="003E79B0">
        <w:rPr>
          <w:rFonts w:ascii="Arial" w:eastAsiaTheme="minorHAnsi" w:hAnsi="Arial" w:cs="Arial"/>
          <w:lang w:eastAsia="en-US"/>
        </w:rPr>
        <w:t>En relación con estos datos hay que tener en cuenta las siguientes consideraciones:</w:t>
      </w:r>
    </w:p>
    <w:p w14:paraId="29A3E5F8" w14:textId="77777777" w:rsidR="005A0B88" w:rsidRPr="003E79B0" w:rsidRDefault="005A0B88" w:rsidP="005A0B88">
      <w:pPr>
        <w:autoSpaceDE w:val="0"/>
        <w:autoSpaceDN w:val="0"/>
        <w:adjustRightInd w:val="0"/>
        <w:spacing w:before="240" w:after="240" w:line="360" w:lineRule="auto"/>
        <w:jc w:val="both"/>
        <w:rPr>
          <w:rFonts w:ascii="Arial" w:eastAsiaTheme="minorHAnsi" w:hAnsi="Arial" w:cs="Arial"/>
          <w:lang w:eastAsia="en-US"/>
        </w:rPr>
      </w:pPr>
      <w:r w:rsidRPr="003E79B0">
        <w:rPr>
          <w:rFonts w:ascii="Arial" w:eastAsiaTheme="minorHAnsi" w:hAnsi="Arial" w:cs="Arial"/>
          <w:lang w:eastAsia="en-US"/>
        </w:rPr>
        <w:t>La identificación del número de contribuyentes que ejercen actividades agrícolas o ganaderas tiene complejidad por varias razones.</w:t>
      </w:r>
    </w:p>
    <w:p w14:paraId="0FBA33D0" w14:textId="77777777" w:rsidR="005A0B88" w:rsidRPr="003E79B0" w:rsidRDefault="005A0B88" w:rsidP="005A0B88">
      <w:pPr>
        <w:autoSpaceDE w:val="0"/>
        <w:autoSpaceDN w:val="0"/>
        <w:adjustRightInd w:val="0"/>
        <w:spacing w:before="240" w:after="240" w:line="360" w:lineRule="auto"/>
        <w:jc w:val="both"/>
        <w:rPr>
          <w:rFonts w:ascii="Arial" w:eastAsiaTheme="minorHAnsi" w:hAnsi="Arial" w:cs="Arial"/>
          <w:lang w:eastAsia="en-US"/>
        </w:rPr>
      </w:pPr>
      <w:r w:rsidRPr="003E79B0">
        <w:rPr>
          <w:rFonts w:ascii="Arial" w:eastAsiaTheme="minorHAnsi" w:hAnsi="Arial" w:cs="Arial"/>
          <w:lang w:eastAsia="en-US"/>
        </w:rPr>
        <w:t>En primer lugar, porque se trata de un sector con características variadas y en el que existen contribuyentes que son personas físicas, pero también otros que ejercen la actividad a través de diferentes formas jurídicas como sociedades anónimas, sociedades de responsabilidad limitada, cooperativas, sociedades agrarias de transformación, sociedades civiles agrarias, sociedades irregulares, fundaciones, ayuntamientos, etc.</w:t>
      </w:r>
    </w:p>
    <w:p w14:paraId="4557D093" w14:textId="77777777" w:rsidR="00D542C4" w:rsidRDefault="005A0B88" w:rsidP="005A0B88">
      <w:pPr>
        <w:autoSpaceDE w:val="0"/>
        <w:autoSpaceDN w:val="0"/>
        <w:adjustRightInd w:val="0"/>
        <w:spacing w:before="240" w:after="240" w:line="360" w:lineRule="auto"/>
        <w:jc w:val="both"/>
        <w:rPr>
          <w:rFonts w:ascii="Arial" w:eastAsiaTheme="minorHAnsi" w:hAnsi="Arial" w:cs="Arial"/>
          <w:lang w:eastAsia="en-US"/>
        </w:rPr>
      </w:pPr>
      <w:r w:rsidRPr="003E79B0">
        <w:rPr>
          <w:rFonts w:ascii="Arial" w:eastAsiaTheme="minorHAnsi" w:hAnsi="Arial" w:cs="Arial"/>
          <w:lang w:eastAsia="en-US"/>
        </w:rPr>
        <w:t xml:space="preserve">En segundo lugar, porque la actividad agraria y ganadera puede ejercerse de diversas maneras y en diferentes posiciones de la cadena alimentaria siendo difícil determinar si se quiere abarcar a todos los contribuyentes del sector primario y si dentro del mismo se contempla toda la industria agroalimentaria o sólo parte de ella. Hay que tener en cuenta, además, que dentro de ese sector primario existen contribuyentes de tamaño muy variado, desde numerosas personas físicas que ejercen una pequeña actividad agrícola o ganadera que no es su principal fuente de ingresos, pasando por otras personas físicas que son agricultores a título principal, numerosas pymes y pequeñas cooperativas del sector y llegando hasta </w:t>
      </w:r>
      <w:proofErr w:type="gramStart"/>
      <w:r w:rsidRPr="003E79B0">
        <w:rPr>
          <w:rFonts w:ascii="Arial" w:eastAsiaTheme="minorHAnsi" w:hAnsi="Arial" w:cs="Arial"/>
          <w:lang w:eastAsia="en-US"/>
        </w:rPr>
        <w:t>grandes empresas y grandes cooperativas</w:t>
      </w:r>
      <w:proofErr w:type="gramEnd"/>
      <w:r w:rsidRPr="003E79B0">
        <w:rPr>
          <w:rFonts w:ascii="Arial" w:eastAsiaTheme="minorHAnsi" w:hAnsi="Arial" w:cs="Arial"/>
          <w:lang w:eastAsia="en-US"/>
        </w:rPr>
        <w:t xml:space="preserve"> agrarias.</w:t>
      </w:r>
    </w:p>
    <w:p w14:paraId="0065B2DA" w14:textId="77777777" w:rsidR="005A0B88" w:rsidRPr="003E79B0" w:rsidRDefault="005A0B88" w:rsidP="005A0B88">
      <w:pPr>
        <w:autoSpaceDE w:val="0"/>
        <w:autoSpaceDN w:val="0"/>
        <w:adjustRightInd w:val="0"/>
        <w:spacing w:before="240" w:after="240" w:line="360" w:lineRule="auto"/>
        <w:jc w:val="both"/>
        <w:rPr>
          <w:rFonts w:ascii="Arial" w:eastAsiaTheme="minorHAnsi" w:hAnsi="Arial" w:cs="Arial"/>
          <w:lang w:eastAsia="en-US"/>
        </w:rPr>
      </w:pPr>
      <w:r w:rsidRPr="003E79B0">
        <w:rPr>
          <w:rFonts w:ascii="Arial" w:eastAsiaTheme="minorHAnsi" w:hAnsi="Arial" w:cs="Arial"/>
          <w:lang w:eastAsia="en-US"/>
        </w:rPr>
        <w:t>Además, la determinación del número de contribuyentes que ejercen dicha actividad tiene la dificultad de que no existe un censo legal fiscal en el que los agricultores y ganaderos deban darse de alta. Así, en general, los agricultores y ganaderos no tienen que darse de alta en el IAE (Impuesto sobre Actividades Económicas), salvo en determinados casos.</w:t>
      </w:r>
    </w:p>
    <w:p w14:paraId="588B0F57" w14:textId="77777777" w:rsidR="005A0B88" w:rsidRPr="003E79B0" w:rsidRDefault="005A0B88" w:rsidP="005A0B88">
      <w:pPr>
        <w:autoSpaceDE w:val="0"/>
        <w:autoSpaceDN w:val="0"/>
        <w:adjustRightInd w:val="0"/>
        <w:spacing w:before="240" w:after="240" w:line="360" w:lineRule="auto"/>
        <w:jc w:val="both"/>
        <w:rPr>
          <w:rFonts w:ascii="Arial" w:eastAsiaTheme="minorHAnsi" w:hAnsi="Arial" w:cs="Arial"/>
          <w:lang w:eastAsia="en-US"/>
        </w:rPr>
      </w:pPr>
      <w:r w:rsidRPr="003E79B0">
        <w:rPr>
          <w:rFonts w:ascii="Arial" w:eastAsiaTheme="minorHAnsi" w:hAnsi="Arial" w:cs="Arial"/>
          <w:lang w:eastAsia="en-US"/>
        </w:rPr>
        <w:t xml:space="preserve">Finalmente, hay que tener en cuenta que hay contribuyentes del sector que tributan en IVA por el régimen especial de agricultura y ganadería (éstos no deben presentar declaraciones periódicas de IVA y tampoco generan saldos de </w:t>
      </w:r>
      <w:r w:rsidRPr="003E79B0">
        <w:rPr>
          <w:rFonts w:ascii="Arial" w:eastAsiaTheme="minorHAnsi" w:hAnsi="Arial" w:cs="Arial"/>
          <w:lang w:eastAsia="en-US"/>
        </w:rPr>
        <w:lastRenderedPageBreak/>
        <w:t>IVA a devolver a su favor) y otros que declaran en el régimen general de IVA, lo cual pueden hacerlo o trimestralmente (en cuyo caso tienen derecho a devolución anual del IVA a su favor que pudieran generar), o mensualmente (en cuyo caso pueden tener derecho a devoluciones mensuales del IVA a su favor).</w:t>
      </w:r>
    </w:p>
    <w:p w14:paraId="69D854A5" w14:textId="77777777" w:rsidR="005A0B88" w:rsidRPr="003E79B0" w:rsidRDefault="005A0B88" w:rsidP="005A0B88">
      <w:pPr>
        <w:autoSpaceDE w:val="0"/>
        <w:autoSpaceDN w:val="0"/>
        <w:adjustRightInd w:val="0"/>
        <w:spacing w:before="240" w:after="240" w:line="360" w:lineRule="auto"/>
        <w:jc w:val="both"/>
        <w:rPr>
          <w:rFonts w:ascii="Arial" w:eastAsiaTheme="minorHAnsi" w:hAnsi="Arial" w:cs="Arial"/>
          <w:lang w:eastAsia="en-US"/>
        </w:rPr>
      </w:pPr>
      <w:r w:rsidRPr="003E79B0">
        <w:rPr>
          <w:rFonts w:ascii="Arial" w:eastAsiaTheme="minorHAnsi" w:hAnsi="Arial" w:cs="Arial"/>
          <w:lang w:eastAsia="en-US"/>
        </w:rPr>
        <w:t>Por todo ello, la Hacienda Foral de Navarra, a efectos de identificar aquellos contribuyentes navarros que ejercen una actividad agrícola o ganadera y agilizar las devoluciones de IVA de 2023, ha aplicado unas reglas flexibles y amplias para su determinación, considerando a todos los que cumplan alguno de los siguientes requisitos:</w:t>
      </w:r>
    </w:p>
    <w:p w14:paraId="2B343694" w14:textId="77777777" w:rsidR="005A0B88" w:rsidRPr="003E79B0" w:rsidRDefault="005A0B88" w:rsidP="005A0B88">
      <w:pPr>
        <w:autoSpaceDE w:val="0"/>
        <w:autoSpaceDN w:val="0"/>
        <w:adjustRightInd w:val="0"/>
        <w:spacing w:before="240" w:after="240" w:line="360" w:lineRule="auto"/>
        <w:ind w:firstLine="709"/>
        <w:jc w:val="both"/>
        <w:rPr>
          <w:rFonts w:ascii="Arial" w:eastAsiaTheme="minorHAnsi" w:hAnsi="Arial" w:cs="Arial"/>
          <w:lang w:eastAsia="en-US"/>
        </w:rPr>
      </w:pPr>
      <w:r w:rsidRPr="003E79B0">
        <w:rPr>
          <w:rFonts w:ascii="Arial" w:eastAsiaTheme="minorHAnsi" w:hAnsi="Arial" w:cs="Arial"/>
          <w:lang w:eastAsia="en-US"/>
        </w:rPr>
        <w:t>- Estar dado de alta en algún epígrafe del sector o haber declarado ejercer una actividad agrícola o ganadera en el modelo informativo F65.</w:t>
      </w:r>
    </w:p>
    <w:p w14:paraId="0D1E902E" w14:textId="77777777" w:rsidR="005A0B88" w:rsidRPr="003E79B0" w:rsidRDefault="005A0B88" w:rsidP="005A0B88">
      <w:pPr>
        <w:autoSpaceDE w:val="0"/>
        <w:autoSpaceDN w:val="0"/>
        <w:adjustRightInd w:val="0"/>
        <w:spacing w:before="240" w:after="240" w:line="360" w:lineRule="auto"/>
        <w:ind w:firstLine="709"/>
        <w:jc w:val="both"/>
        <w:rPr>
          <w:rFonts w:ascii="Arial" w:eastAsiaTheme="minorHAnsi" w:hAnsi="Arial" w:cs="Arial"/>
          <w:lang w:eastAsia="en-US"/>
        </w:rPr>
      </w:pPr>
      <w:r w:rsidRPr="003E79B0">
        <w:rPr>
          <w:rFonts w:ascii="Arial" w:eastAsiaTheme="minorHAnsi" w:hAnsi="Arial" w:cs="Arial"/>
          <w:lang w:eastAsia="en-US"/>
        </w:rPr>
        <w:t>- Haber solicitado devolución de Gasóleo Agrícola del Impuesto Especial sobre Hidrocarburos</w:t>
      </w:r>
    </w:p>
    <w:p w14:paraId="688DE1F7" w14:textId="77777777" w:rsidR="005A0B88" w:rsidRPr="003E79B0" w:rsidRDefault="005A0B88" w:rsidP="005A0B88">
      <w:pPr>
        <w:autoSpaceDE w:val="0"/>
        <w:autoSpaceDN w:val="0"/>
        <w:adjustRightInd w:val="0"/>
        <w:spacing w:before="240" w:after="240" w:line="360" w:lineRule="auto"/>
        <w:ind w:firstLine="709"/>
        <w:jc w:val="both"/>
        <w:rPr>
          <w:rFonts w:ascii="Arial" w:eastAsiaTheme="minorHAnsi" w:hAnsi="Arial" w:cs="Arial"/>
          <w:lang w:eastAsia="en-US"/>
        </w:rPr>
      </w:pPr>
      <w:r w:rsidRPr="003E79B0">
        <w:rPr>
          <w:rFonts w:ascii="Arial" w:eastAsiaTheme="minorHAnsi" w:hAnsi="Arial" w:cs="Arial"/>
          <w:lang w:eastAsia="en-US"/>
        </w:rPr>
        <w:t xml:space="preserve">- Tener la calificación de Explotación Agraria Prioritaria. </w:t>
      </w:r>
    </w:p>
    <w:p w14:paraId="1FFAFA1C" w14:textId="77777777" w:rsidR="00D542C4" w:rsidRDefault="005A0B88" w:rsidP="005A0B88">
      <w:pPr>
        <w:autoSpaceDE w:val="0"/>
        <w:autoSpaceDN w:val="0"/>
        <w:adjustRightInd w:val="0"/>
        <w:spacing w:before="240" w:after="240" w:line="360" w:lineRule="auto"/>
        <w:ind w:firstLine="709"/>
        <w:jc w:val="both"/>
        <w:rPr>
          <w:rFonts w:ascii="Arial" w:eastAsiaTheme="minorHAnsi" w:hAnsi="Arial" w:cs="Arial"/>
          <w:lang w:eastAsia="en-US"/>
        </w:rPr>
      </w:pPr>
      <w:r w:rsidRPr="003E79B0">
        <w:rPr>
          <w:rFonts w:ascii="Arial" w:eastAsiaTheme="minorHAnsi" w:hAnsi="Arial" w:cs="Arial"/>
          <w:lang w:eastAsia="en-US"/>
        </w:rPr>
        <w:t>- Ser una persona física que en el IRPF de 2022 haya obtenido rentas de actividad agrícola o ganadera.</w:t>
      </w:r>
    </w:p>
    <w:p w14:paraId="278B681D" w14:textId="77777777" w:rsidR="005A0B88" w:rsidRPr="003E79B0" w:rsidRDefault="004B2BFE" w:rsidP="005A0B88">
      <w:pPr>
        <w:autoSpaceDE w:val="0"/>
        <w:autoSpaceDN w:val="0"/>
        <w:adjustRightInd w:val="0"/>
        <w:spacing w:before="240" w:after="240" w:line="360" w:lineRule="auto"/>
        <w:jc w:val="both"/>
        <w:rPr>
          <w:rFonts w:ascii="Arial" w:hAnsi="Arial" w:cs="Arial"/>
          <w:b/>
          <w:lang w:val="es-ES_tradnl" w:eastAsia="en-US"/>
        </w:rPr>
      </w:pPr>
      <w:r w:rsidRPr="003E79B0">
        <w:rPr>
          <w:rFonts w:ascii="Arial" w:hAnsi="Arial" w:cs="Arial"/>
          <w:b/>
          <w:lang w:eastAsia="en-US"/>
        </w:rPr>
        <w:t>4.-</w:t>
      </w:r>
      <w:r w:rsidR="005A0B88" w:rsidRPr="003E79B0">
        <w:rPr>
          <w:rFonts w:ascii="Arial" w:hAnsi="Arial" w:cs="Arial"/>
          <w:b/>
          <w:lang w:eastAsia="en-US"/>
        </w:rPr>
        <w:t>D</w:t>
      </w:r>
      <w:r w:rsidR="005A0B88" w:rsidRPr="003E79B0">
        <w:rPr>
          <w:rFonts w:ascii="Arial" w:hAnsi="Arial" w:cs="Arial"/>
          <w:b/>
          <w:lang w:val="es-ES_tradnl" w:eastAsia="en-US"/>
        </w:rPr>
        <w:t>evoluciones de gasóleo agrícola 2023</w:t>
      </w:r>
    </w:p>
    <w:tbl>
      <w:tblPr>
        <w:tblW w:w="43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60"/>
        <w:gridCol w:w="1425"/>
      </w:tblGrid>
      <w:tr w:rsidR="005A0B88" w:rsidRPr="003E79B0" w14:paraId="2B11E8A8" w14:textId="77777777" w:rsidTr="00D30065">
        <w:trPr>
          <w:trHeight w:val="288"/>
        </w:trPr>
        <w:tc>
          <w:tcPr>
            <w:tcW w:w="3060" w:type="dxa"/>
            <w:shd w:val="clear" w:color="auto" w:fill="auto"/>
            <w:noWrap/>
            <w:vAlign w:val="bottom"/>
            <w:hideMark/>
          </w:tcPr>
          <w:p w14:paraId="2A25F8BA" w14:textId="77777777" w:rsidR="005A0B88" w:rsidRPr="003E79B0" w:rsidRDefault="005A0B88" w:rsidP="005A0B88">
            <w:pPr>
              <w:rPr>
                <w:rFonts w:ascii="Arial" w:hAnsi="Arial" w:cs="Arial"/>
                <w:color w:val="000000"/>
                <w:sz w:val="22"/>
                <w:szCs w:val="22"/>
              </w:rPr>
            </w:pPr>
            <w:r w:rsidRPr="003E79B0">
              <w:rPr>
                <w:rFonts w:ascii="Arial" w:hAnsi="Arial" w:cs="Arial"/>
                <w:color w:val="000000"/>
                <w:sz w:val="22"/>
                <w:szCs w:val="22"/>
              </w:rPr>
              <w:t>Nº devoluciones gasóleo agrícola</w:t>
            </w:r>
          </w:p>
        </w:tc>
        <w:tc>
          <w:tcPr>
            <w:tcW w:w="1240" w:type="dxa"/>
            <w:shd w:val="clear" w:color="auto" w:fill="auto"/>
            <w:noWrap/>
            <w:vAlign w:val="bottom"/>
            <w:hideMark/>
          </w:tcPr>
          <w:p w14:paraId="0DC3C965" w14:textId="77777777" w:rsidR="005A0B88" w:rsidRPr="003E79B0" w:rsidRDefault="005A0B88" w:rsidP="005A0B88">
            <w:pPr>
              <w:jc w:val="right"/>
              <w:rPr>
                <w:rFonts w:ascii="Arial" w:hAnsi="Arial" w:cs="Arial"/>
                <w:color w:val="000000"/>
                <w:sz w:val="22"/>
                <w:szCs w:val="22"/>
              </w:rPr>
            </w:pPr>
            <w:r w:rsidRPr="003E79B0">
              <w:rPr>
                <w:rFonts w:ascii="Arial" w:hAnsi="Arial" w:cs="Arial"/>
                <w:color w:val="000000"/>
                <w:sz w:val="22"/>
                <w:szCs w:val="22"/>
              </w:rPr>
              <w:t>2.557</w:t>
            </w:r>
          </w:p>
        </w:tc>
      </w:tr>
      <w:tr w:rsidR="005A0B88" w:rsidRPr="003E79B0" w14:paraId="1AD97FF1" w14:textId="77777777" w:rsidTr="00D30065">
        <w:trPr>
          <w:trHeight w:val="288"/>
        </w:trPr>
        <w:tc>
          <w:tcPr>
            <w:tcW w:w="3060" w:type="dxa"/>
            <w:shd w:val="clear" w:color="auto" w:fill="auto"/>
            <w:noWrap/>
            <w:vAlign w:val="bottom"/>
            <w:hideMark/>
          </w:tcPr>
          <w:p w14:paraId="69173B03" w14:textId="77777777" w:rsidR="005A0B88" w:rsidRPr="003E79B0" w:rsidRDefault="005A0B88" w:rsidP="005A0B88">
            <w:pPr>
              <w:rPr>
                <w:rFonts w:ascii="Arial" w:hAnsi="Arial" w:cs="Arial"/>
                <w:color w:val="000000"/>
                <w:sz w:val="22"/>
                <w:szCs w:val="22"/>
              </w:rPr>
            </w:pPr>
            <w:r w:rsidRPr="003E79B0">
              <w:rPr>
                <w:rFonts w:ascii="Arial" w:hAnsi="Arial" w:cs="Arial"/>
                <w:color w:val="000000"/>
                <w:sz w:val="22"/>
                <w:szCs w:val="22"/>
              </w:rPr>
              <w:t>Importe devoluciones (euros)</w:t>
            </w:r>
          </w:p>
        </w:tc>
        <w:tc>
          <w:tcPr>
            <w:tcW w:w="1240" w:type="dxa"/>
            <w:shd w:val="clear" w:color="auto" w:fill="auto"/>
            <w:noWrap/>
            <w:vAlign w:val="bottom"/>
            <w:hideMark/>
          </w:tcPr>
          <w:p w14:paraId="3B3FD4F5" w14:textId="77777777" w:rsidR="005A0B88" w:rsidRPr="003E79B0" w:rsidRDefault="005A0B88" w:rsidP="005A0B88">
            <w:pPr>
              <w:jc w:val="right"/>
              <w:rPr>
                <w:rFonts w:ascii="Arial" w:hAnsi="Arial" w:cs="Arial"/>
                <w:color w:val="000000"/>
                <w:sz w:val="22"/>
                <w:szCs w:val="22"/>
              </w:rPr>
            </w:pPr>
            <w:r w:rsidRPr="003E79B0">
              <w:rPr>
                <w:rFonts w:ascii="Arial" w:hAnsi="Arial" w:cs="Arial"/>
                <w:color w:val="000000"/>
                <w:sz w:val="22"/>
                <w:szCs w:val="22"/>
              </w:rPr>
              <w:t>1.909.234,43</w:t>
            </w:r>
          </w:p>
        </w:tc>
      </w:tr>
    </w:tbl>
    <w:p w14:paraId="250DF839" w14:textId="77777777" w:rsidR="005A0B88" w:rsidRPr="008C7FB0" w:rsidRDefault="005A0B88" w:rsidP="005A0B88">
      <w:pPr>
        <w:spacing w:before="240" w:after="240" w:line="360" w:lineRule="auto"/>
        <w:jc w:val="both"/>
        <w:rPr>
          <w:rFonts w:ascii="Arial" w:hAnsi="Arial" w:cs="Arial"/>
          <w:sz w:val="22"/>
          <w:szCs w:val="22"/>
          <w:lang w:val="es-ES_tradnl" w:eastAsia="en-US"/>
        </w:rPr>
      </w:pPr>
      <w:r w:rsidRPr="008C7FB0">
        <w:rPr>
          <w:rFonts w:ascii="Arial" w:hAnsi="Arial" w:cs="Arial"/>
          <w:sz w:val="22"/>
          <w:szCs w:val="22"/>
          <w:lang w:val="es-ES_tradnl" w:eastAsia="en-US"/>
        </w:rPr>
        <w:t>Estos datos incluyen personas físicas y personas jurídicas.</w:t>
      </w:r>
    </w:p>
    <w:p w14:paraId="23F87AF9" w14:textId="77777777" w:rsidR="005A0B88" w:rsidRPr="003E79B0" w:rsidRDefault="004B2BFE" w:rsidP="005A0B88">
      <w:pPr>
        <w:spacing w:before="240" w:after="240" w:line="360" w:lineRule="auto"/>
        <w:jc w:val="both"/>
        <w:rPr>
          <w:rFonts w:ascii="Arial" w:hAnsi="Arial" w:cs="Arial"/>
          <w:b/>
          <w:lang w:val="es-ES_tradnl" w:eastAsia="en-US"/>
        </w:rPr>
      </w:pPr>
      <w:r w:rsidRPr="003E79B0">
        <w:rPr>
          <w:rFonts w:ascii="Arial" w:hAnsi="Arial" w:cs="Arial"/>
          <w:b/>
          <w:lang w:val="es-ES_tradnl" w:eastAsia="en-US"/>
        </w:rPr>
        <w:t>5.-</w:t>
      </w:r>
      <w:r w:rsidR="005A0B88" w:rsidRPr="003E79B0">
        <w:rPr>
          <w:rFonts w:ascii="Arial" w:hAnsi="Arial" w:cs="Arial"/>
          <w:b/>
          <w:lang w:val="es-ES_tradnl" w:eastAsia="en-US"/>
        </w:rPr>
        <w:t>Subvenciones percibidas por agricultores y ganaderos navarros en 2022. Subvenciones no exentas y subvenciones exentas.</w:t>
      </w:r>
    </w:p>
    <w:p w14:paraId="0E927B40" w14:textId="77777777" w:rsidR="005A0B88" w:rsidRPr="003E79B0" w:rsidRDefault="005A0B88" w:rsidP="005A0B88">
      <w:pPr>
        <w:spacing w:before="240" w:after="240" w:line="360" w:lineRule="auto"/>
        <w:jc w:val="both"/>
        <w:rPr>
          <w:rFonts w:ascii="Arial" w:hAnsi="Arial" w:cs="Arial"/>
          <w:lang w:val="es-ES_tradnl" w:eastAsia="en-US"/>
        </w:rPr>
      </w:pPr>
      <w:r w:rsidRPr="003E79B0">
        <w:rPr>
          <w:rFonts w:ascii="Arial" w:hAnsi="Arial" w:cs="Arial"/>
          <w:lang w:val="es-ES_tradnl" w:eastAsia="en-US"/>
        </w:rPr>
        <w:t xml:space="preserve">Los datos se obtienen de las declaraciones de IRPF de 2022, por lo que no incluyen las subvenciones percibidas por personas jurídicas. En las autoliquidaciones no se distingue entre subvenciones de la PAC (FEAGA), subvenciones FEADER u otras subvenciones percibidas por agricultores y ganaderos, por lo que se informa del importe de subvenciones exentas y del importe de subvenciones no exentas, con independencia de su procedencia. </w:t>
      </w:r>
    </w:p>
    <w:tbl>
      <w:tblPr>
        <w:tblW w:w="8726" w:type="dxa"/>
        <w:tblInd w:w="75" w:type="dxa"/>
        <w:tblCellMar>
          <w:left w:w="70" w:type="dxa"/>
          <w:right w:w="70" w:type="dxa"/>
        </w:tblCellMar>
        <w:tblLook w:val="04A0" w:firstRow="1" w:lastRow="0" w:firstColumn="1" w:lastColumn="0" w:noHBand="0" w:noVBand="1"/>
      </w:tblPr>
      <w:tblGrid>
        <w:gridCol w:w="1338"/>
        <w:gridCol w:w="1321"/>
        <w:gridCol w:w="1372"/>
        <w:gridCol w:w="1446"/>
        <w:gridCol w:w="1389"/>
        <w:gridCol w:w="1860"/>
      </w:tblGrid>
      <w:tr w:rsidR="005A0B88" w:rsidRPr="00F7154E" w14:paraId="40512EAD" w14:textId="77777777" w:rsidTr="00F7154E">
        <w:trPr>
          <w:trHeight w:val="529"/>
        </w:trPr>
        <w:tc>
          <w:tcPr>
            <w:tcW w:w="1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8F0318" w14:textId="77777777" w:rsidR="005A0B88" w:rsidRPr="00F7154E" w:rsidRDefault="005A0B88" w:rsidP="005A0B88">
            <w:pPr>
              <w:rPr>
                <w:rFonts w:ascii="Arial" w:hAnsi="Arial" w:cs="Arial"/>
                <w:color w:val="000000"/>
                <w:sz w:val="18"/>
                <w:szCs w:val="18"/>
              </w:rPr>
            </w:pPr>
            <w:bookmarkStart w:id="1" w:name="_Hlk167797584"/>
            <w:r w:rsidRPr="00F7154E">
              <w:rPr>
                <w:rFonts w:ascii="Arial" w:hAnsi="Arial" w:cs="Arial"/>
                <w:color w:val="000000"/>
                <w:sz w:val="18"/>
                <w:szCs w:val="18"/>
              </w:rPr>
              <w:lastRenderedPageBreak/>
              <w:t> Modalidad de tributación</w:t>
            </w:r>
          </w:p>
        </w:tc>
        <w:tc>
          <w:tcPr>
            <w:tcW w:w="26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1D767614" w14:textId="77777777" w:rsidR="005A0B88" w:rsidRPr="00F7154E" w:rsidRDefault="005A0B88" w:rsidP="005A0B88">
            <w:pPr>
              <w:jc w:val="center"/>
              <w:rPr>
                <w:rFonts w:ascii="Arial" w:hAnsi="Arial" w:cs="Arial"/>
                <w:color w:val="000000"/>
                <w:sz w:val="18"/>
                <w:szCs w:val="18"/>
              </w:rPr>
            </w:pPr>
            <w:r w:rsidRPr="00F7154E">
              <w:rPr>
                <w:rFonts w:ascii="Arial" w:hAnsi="Arial" w:cs="Arial"/>
                <w:color w:val="000000"/>
                <w:sz w:val="18"/>
                <w:szCs w:val="18"/>
              </w:rPr>
              <w:t>Subvenciones No exentas</w:t>
            </w:r>
          </w:p>
        </w:tc>
        <w:tc>
          <w:tcPr>
            <w:tcW w:w="2835" w:type="dxa"/>
            <w:gridSpan w:val="2"/>
            <w:tcBorders>
              <w:top w:val="single" w:sz="4" w:space="0" w:color="auto"/>
              <w:left w:val="nil"/>
              <w:bottom w:val="single" w:sz="4" w:space="0" w:color="auto"/>
              <w:right w:val="single" w:sz="4" w:space="0" w:color="auto"/>
            </w:tcBorders>
            <w:shd w:val="clear" w:color="auto" w:fill="auto"/>
            <w:noWrap/>
            <w:vAlign w:val="bottom"/>
            <w:hideMark/>
          </w:tcPr>
          <w:p w14:paraId="649CA63E" w14:textId="77777777" w:rsidR="005A0B88" w:rsidRPr="00F7154E" w:rsidRDefault="005A0B88" w:rsidP="005A0B88">
            <w:pPr>
              <w:jc w:val="center"/>
              <w:rPr>
                <w:rFonts w:ascii="Arial" w:hAnsi="Arial" w:cs="Arial"/>
                <w:color w:val="000000"/>
                <w:sz w:val="18"/>
                <w:szCs w:val="18"/>
              </w:rPr>
            </w:pPr>
            <w:r w:rsidRPr="00F7154E">
              <w:rPr>
                <w:rFonts w:ascii="Arial" w:hAnsi="Arial" w:cs="Arial"/>
                <w:color w:val="000000"/>
                <w:sz w:val="18"/>
                <w:szCs w:val="18"/>
              </w:rPr>
              <w:t>Subvenciones Exentas</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14:paraId="68A29594" w14:textId="77777777" w:rsidR="005A0B88" w:rsidRPr="00F7154E" w:rsidRDefault="005A0B88" w:rsidP="005A0B88">
            <w:pPr>
              <w:rPr>
                <w:rFonts w:ascii="Arial" w:hAnsi="Arial" w:cs="Arial"/>
                <w:color w:val="000000"/>
                <w:sz w:val="18"/>
                <w:szCs w:val="18"/>
              </w:rPr>
            </w:pPr>
            <w:proofErr w:type="gramStart"/>
            <w:r w:rsidRPr="00F7154E">
              <w:rPr>
                <w:rFonts w:ascii="Arial" w:hAnsi="Arial" w:cs="Arial"/>
                <w:color w:val="000000"/>
                <w:sz w:val="18"/>
                <w:szCs w:val="18"/>
              </w:rPr>
              <w:t>Total</w:t>
            </w:r>
            <w:proofErr w:type="gramEnd"/>
            <w:r w:rsidRPr="00F7154E">
              <w:rPr>
                <w:rFonts w:ascii="Arial" w:hAnsi="Arial" w:cs="Arial"/>
                <w:color w:val="000000"/>
                <w:sz w:val="18"/>
                <w:szCs w:val="18"/>
              </w:rPr>
              <w:t xml:space="preserve"> Subvenciones</w:t>
            </w:r>
          </w:p>
        </w:tc>
      </w:tr>
      <w:tr w:rsidR="005A0B88" w:rsidRPr="00F7154E" w14:paraId="0FE25E19" w14:textId="77777777" w:rsidTr="00F7154E">
        <w:trPr>
          <w:trHeight w:val="284"/>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14:paraId="05786982" w14:textId="77777777" w:rsidR="005A0B88" w:rsidRPr="00F7154E" w:rsidRDefault="005A0B88" w:rsidP="005A0B88">
            <w:pPr>
              <w:rPr>
                <w:rFonts w:ascii="Arial" w:hAnsi="Arial" w:cs="Arial"/>
                <w:color w:val="000000"/>
                <w:sz w:val="18"/>
                <w:szCs w:val="18"/>
              </w:rPr>
            </w:pPr>
          </w:p>
        </w:tc>
        <w:tc>
          <w:tcPr>
            <w:tcW w:w="1321" w:type="dxa"/>
            <w:tcBorders>
              <w:top w:val="nil"/>
              <w:left w:val="nil"/>
              <w:bottom w:val="single" w:sz="4" w:space="0" w:color="auto"/>
              <w:right w:val="single" w:sz="4" w:space="0" w:color="auto"/>
            </w:tcBorders>
            <w:shd w:val="clear" w:color="auto" w:fill="auto"/>
            <w:noWrap/>
            <w:vAlign w:val="bottom"/>
            <w:hideMark/>
          </w:tcPr>
          <w:p w14:paraId="77745EB7" w14:textId="77777777" w:rsidR="005A0B88" w:rsidRPr="00F7154E" w:rsidRDefault="005A0B88" w:rsidP="005A0B88">
            <w:pPr>
              <w:rPr>
                <w:rFonts w:ascii="Arial" w:hAnsi="Arial" w:cs="Arial"/>
                <w:color w:val="000000"/>
                <w:sz w:val="18"/>
                <w:szCs w:val="18"/>
              </w:rPr>
            </w:pPr>
            <w:r w:rsidRPr="00F7154E">
              <w:rPr>
                <w:rFonts w:ascii="Arial" w:hAnsi="Arial" w:cs="Arial"/>
                <w:color w:val="000000"/>
                <w:sz w:val="18"/>
                <w:szCs w:val="18"/>
              </w:rPr>
              <w:t>Importe (euros)</w:t>
            </w:r>
          </w:p>
        </w:tc>
        <w:tc>
          <w:tcPr>
            <w:tcW w:w="1372" w:type="dxa"/>
            <w:tcBorders>
              <w:top w:val="nil"/>
              <w:left w:val="nil"/>
              <w:bottom w:val="single" w:sz="4" w:space="0" w:color="auto"/>
              <w:right w:val="single" w:sz="4" w:space="0" w:color="auto"/>
            </w:tcBorders>
            <w:shd w:val="clear" w:color="auto" w:fill="auto"/>
            <w:noWrap/>
            <w:vAlign w:val="bottom"/>
            <w:hideMark/>
          </w:tcPr>
          <w:p w14:paraId="46627F0D" w14:textId="77777777" w:rsidR="005A0B88" w:rsidRPr="00F7154E" w:rsidRDefault="005A0B88" w:rsidP="005A0B88">
            <w:pPr>
              <w:rPr>
                <w:rFonts w:ascii="Arial" w:hAnsi="Arial" w:cs="Arial"/>
                <w:color w:val="000000"/>
                <w:sz w:val="18"/>
                <w:szCs w:val="18"/>
              </w:rPr>
            </w:pPr>
            <w:r w:rsidRPr="00F7154E">
              <w:rPr>
                <w:rFonts w:ascii="Arial" w:hAnsi="Arial" w:cs="Arial"/>
                <w:color w:val="000000"/>
                <w:sz w:val="18"/>
                <w:szCs w:val="18"/>
              </w:rPr>
              <w:t>Nº perceptores</w:t>
            </w:r>
          </w:p>
        </w:tc>
        <w:tc>
          <w:tcPr>
            <w:tcW w:w="1446" w:type="dxa"/>
            <w:tcBorders>
              <w:top w:val="nil"/>
              <w:left w:val="nil"/>
              <w:bottom w:val="single" w:sz="4" w:space="0" w:color="auto"/>
              <w:right w:val="single" w:sz="4" w:space="0" w:color="auto"/>
            </w:tcBorders>
            <w:shd w:val="clear" w:color="auto" w:fill="auto"/>
            <w:noWrap/>
            <w:vAlign w:val="bottom"/>
            <w:hideMark/>
          </w:tcPr>
          <w:p w14:paraId="4BB0F734" w14:textId="77777777" w:rsidR="005A0B88" w:rsidRPr="00F7154E" w:rsidRDefault="005A0B88" w:rsidP="005A0B88">
            <w:pPr>
              <w:rPr>
                <w:rFonts w:ascii="Arial" w:hAnsi="Arial" w:cs="Arial"/>
                <w:color w:val="000000"/>
                <w:sz w:val="18"/>
                <w:szCs w:val="18"/>
              </w:rPr>
            </w:pPr>
            <w:r w:rsidRPr="00F7154E">
              <w:rPr>
                <w:rFonts w:ascii="Arial" w:hAnsi="Arial" w:cs="Arial"/>
                <w:color w:val="000000"/>
                <w:sz w:val="18"/>
                <w:szCs w:val="18"/>
              </w:rPr>
              <w:t xml:space="preserve">Importe (euros) </w:t>
            </w:r>
          </w:p>
        </w:tc>
        <w:tc>
          <w:tcPr>
            <w:tcW w:w="1389" w:type="dxa"/>
            <w:tcBorders>
              <w:top w:val="nil"/>
              <w:left w:val="nil"/>
              <w:bottom w:val="single" w:sz="4" w:space="0" w:color="auto"/>
              <w:right w:val="single" w:sz="4" w:space="0" w:color="auto"/>
            </w:tcBorders>
            <w:shd w:val="clear" w:color="auto" w:fill="auto"/>
            <w:noWrap/>
            <w:vAlign w:val="bottom"/>
            <w:hideMark/>
          </w:tcPr>
          <w:p w14:paraId="5F086BCB" w14:textId="77777777" w:rsidR="005A0B88" w:rsidRPr="00F7154E" w:rsidRDefault="005A0B88" w:rsidP="005A0B88">
            <w:pPr>
              <w:rPr>
                <w:rFonts w:ascii="Arial" w:hAnsi="Arial" w:cs="Arial"/>
                <w:color w:val="000000"/>
                <w:sz w:val="18"/>
                <w:szCs w:val="18"/>
              </w:rPr>
            </w:pPr>
            <w:r w:rsidRPr="00F7154E">
              <w:rPr>
                <w:rFonts w:ascii="Arial" w:hAnsi="Arial" w:cs="Arial"/>
                <w:color w:val="000000"/>
                <w:sz w:val="18"/>
                <w:szCs w:val="18"/>
              </w:rPr>
              <w:t>Nº perceptores</w:t>
            </w:r>
          </w:p>
        </w:tc>
        <w:tc>
          <w:tcPr>
            <w:tcW w:w="1860" w:type="dxa"/>
            <w:tcBorders>
              <w:top w:val="nil"/>
              <w:left w:val="nil"/>
              <w:bottom w:val="single" w:sz="4" w:space="0" w:color="auto"/>
              <w:right w:val="single" w:sz="4" w:space="0" w:color="auto"/>
            </w:tcBorders>
            <w:shd w:val="clear" w:color="auto" w:fill="auto"/>
            <w:noWrap/>
            <w:vAlign w:val="bottom"/>
            <w:hideMark/>
          </w:tcPr>
          <w:p w14:paraId="611C25C8" w14:textId="77777777" w:rsidR="005A0B88" w:rsidRPr="00F7154E" w:rsidRDefault="005A0B88" w:rsidP="005A0B88">
            <w:pPr>
              <w:rPr>
                <w:rFonts w:ascii="Arial" w:hAnsi="Arial" w:cs="Arial"/>
                <w:color w:val="000000"/>
                <w:sz w:val="18"/>
                <w:szCs w:val="18"/>
              </w:rPr>
            </w:pPr>
            <w:r w:rsidRPr="00F7154E">
              <w:rPr>
                <w:rFonts w:ascii="Arial" w:hAnsi="Arial" w:cs="Arial"/>
                <w:color w:val="000000"/>
                <w:sz w:val="18"/>
                <w:szCs w:val="18"/>
              </w:rPr>
              <w:t>Importe (euros)</w:t>
            </w:r>
          </w:p>
        </w:tc>
      </w:tr>
      <w:tr w:rsidR="005A0B88" w:rsidRPr="00F7154E" w14:paraId="2790B387" w14:textId="77777777" w:rsidTr="00F7154E">
        <w:trPr>
          <w:trHeight w:val="284"/>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14:paraId="7A40A2E5" w14:textId="77777777" w:rsidR="005A0B88" w:rsidRPr="00F7154E" w:rsidRDefault="005A0B88" w:rsidP="005A0B88">
            <w:pPr>
              <w:rPr>
                <w:rFonts w:ascii="Arial" w:hAnsi="Arial" w:cs="Arial"/>
                <w:color w:val="000000"/>
                <w:sz w:val="18"/>
                <w:szCs w:val="18"/>
              </w:rPr>
            </w:pPr>
            <w:r w:rsidRPr="00F7154E">
              <w:rPr>
                <w:rFonts w:ascii="Arial" w:hAnsi="Arial" w:cs="Arial"/>
                <w:color w:val="000000"/>
                <w:sz w:val="18"/>
                <w:szCs w:val="18"/>
              </w:rPr>
              <w:t>EDN</w:t>
            </w:r>
          </w:p>
        </w:tc>
        <w:tc>
          <w:tcPr>
            <w:tcW w:w="1321" w:type="dxa"/>
            <w:tcBorders>
              <w:top w:val="nil"/>
              <w:left w:val="nil"/>
              <w:bottom w:val="single" w:sz="4" w:space="0" w:color="auto"/>
              <w:right w:val="single" w:sz="4" w:space="0" w:color="auto"/>
            </w:tcBorders>
            <w:shd w:val="clear" w:color="auto" w:fill="auto"/>
            <w:noWrap/>
            <w:vAlign w:val="bottom"/>
            <w:hideMark/>
          </w:tcPr>
          <w:p w14:paraId="1CB625C7" w14:textId="77777777" w:rsidR="005A0B88" w:rsidRPr="00F7154E" w:rsidRDefault="005A0B88" w:rsidP="005A0B88">
            <w:pPr>
              <w:jc w:val="right"/>
              <w:rPr>
                <w:rFonts w:ascii="Arial" w:hAnsi="Arial" w:cs="Arial"/>
                <w:color w:val="000000"/>
                <w:sz w:val="18"/>
                <w:szCs w:val="18"/>
              </w:rPr>
            </w:pPr>
            <w:r w:rsidRPr="00F7154E">
              <w:rPr>
                <w:rFonts w:ascii="Arial" w:hAnsi="Arial" w:cs="Arial"/>
                <w:color w:val="000000"/>
                <w:sz w:val="18"/>
                <w:szCs w:val="18"/>
              </w:rPr>
              <w:t>4.138.795,55</w:t>
            </w:r>
          </w:p>
        </w:tc>
        <w:tc>
          <w:tcPr>
            <w:tcW w:w="1372" w:type="dxa"/>
            <w:tcBorders>
              <w:top w:val="nil"/>
              <w:left w:val="nil"/>
              <w:bottom w:val="single" w:sz="4" w:space="0" w:color="auto"/>
              <w:right w:val="single" w:sz="4" w:space="0" w:color="auto"/>
            </w:tcBorders>
            <w:shd w:val="clear" w:color="auto" w:fill="auto"/>
            <w:noWrap/>
            <w:vAlign w:val="bottom"/>
            <w:hideMark/>
          </w:tcPr>
          <w:p w14:paraId="12D3FD11" w14:textId="77777777" w:rsidR="005A0B88" w:rsidRPr="00F7154E" w:rsidRDefault="005A0B88" w:rsidP="005A0B88">
            <w:pPr>
              <w:jc w:val="right"/>
              <w:rPr>
                <w:rFonts w:ascii="Arial" w:hAnsi="Arial" w:cs="Arial"/>
                <w:color w:val="000000"/>
                <w:sz w:val="18"/>
                <w:szCs w:val="18"/>
              </w:rPr>
            </w:pPr>
            <w:r w:rsidRPr="00F7154E">
              <w:rPr>
                <w:rFonts w:ascii="Arial" w:hAnsi="Arial" w:cs="Arial"/>
                <w:color w:val="000000"/>
                <w:sz w:val="18"/>
                <w:szCs w:val="18"/>
              </w:rPr>
              <w:t>228</w:t>
            </w:r>
          </w:p>
        </w:tc>
        <w:tc>
          <w:tcPr>
            <w:tcW w:w="1446" w:type="dxa"/>
            <w:tcBorders>
              <w:top w:val="nil"/>
              <w:left w:val="nil"/>
              <w:bottom w:val="single" w:sz="4" w:space="0" w:color="auto"/>
              <w:right w:val="single" w:sz="4" w:space="0" w:color="auto"/>
            </w:tcBorders>
            <w:shd w:val="clear" w:color="auto" w:fill="auto"/>
            <w:noWrap/>
            <w:vAlign w:val="bottom"/>
            <w:hideMark/>
          </w:tcPr>
          <w:p w14:paraId="69A02A5F" w14:textId="77777777" w:rsidR="005A0B88" w:rsidRPr="00F7154E" w:rsidRDefault="005A0B88" w:rsidP="005A0B88">
            <w:pPr>
              <w:jc w:val="right"/>
              <w:rPr>
                <w:rFonts w:ascii="Arial" w:hAnsi="Arial" w:cs="Arial"/>
                <w:color w:val="000000"/>
                <w:sz w:val="18"/>
                <w:szCs w:val="18"/>
              </w:rPr>
            </w:pPr>
            <w:r w:rsidRPr="00F7154E">
              <w:rPr>
                <w:rFonts w:ascii="Arial" w:hAnsi="Arial" w:cs="Arial"/>
                <w:color w:val="000000"/>
                <w:sz w:val="18"/>
                <w:szCs w:val="18"/>
              </w:rPr>
              <w:t>950.965,46</w:t>
            </w:r>
          </w:p>
        </w:tc>
        <w:tc>
          <w:tcPr>
            <w:tcW w:w="1389" w:type="dxa"/>
            <w:tcBorders>
              <w:top w:val="nil"/>
              <w:left w:val="nil"/>
              <w:bottom w:val="single" w:sz="4" w:space="0" w:color="auto"/>
              <w:right w:val="single" w:sz="4" w:space="0" w:color="auto"/>
            </w:tcBorders>
            <w:shd w:val="clear" w:color="auto" w:fill="auto"/>
            <w:noWrap/>
            <w:vAlign w:val="bottom"/>
            <w:hideMark/>
          </w:tcPr>
          <w:p w14:paraId="40867D5E" w14:textId="77777777" w:rsidR="005A0B88" w:rsidRPr="00F7154E" w:rsidRDefault="005A0B88" w:rsidP="005A0B88">
            <w:pPr>
              <w:jc w:val="right"/>
              <w:rPr>
                <w:rFonts w:ascii="Arial" w:hAnsi="Arial" w:cs="Arial"/>
                <w:color w:val="000000"/>
                <w:sz w:val="18"/>
                <w:szCs w:val="18"/>
              </w:rPr>
            </w:pPr>
            <w:r w:rsidRPr="00F7154E">
              <w:rPr>
                <w:rFonts w:ascii="Arial" w:hAnsi="Arial" w:cs="Arial"/>
                <w:color w:val="000000"/>
                <w:sz w:val="18"/>
                <w:szCs w:val="18"/>
              </w:rPr>
              <w:t>87</w:t>
            </w:r>
          </w:p>
        </w:tc>
        <w:tc>
          <w:tcPr>
            <w:tcW w:w="1860" w:type="dxa"/>
            <w:tcBorders>
              <w:top w:val="nil"/>
              <w:left w:val="nil"/>
              <w:bottom w:val="single" w:sz="4" w:space="0" w:color="auto"/>
              <w:right w:val="single" w:sz="4" w:space="0" w:color="auto"/>
            </w:tcBorders>
            <w:shd w:val="clear" w:color="auto" w:fill="auto"/>
            <w:noWrap/>
            <w:vAlign w:val="bottom"/>
            <w:hideMark/>
          </w:tcPr>
          <w:p w14:paraId="0284467C" w14:textId="77777777" w:rsidR="005A0B88" w:rsidRPr="00F7154E" w:rsidRDefault="005A0B88" w:rsidP="005A0B88">
            <w:pPr>
              <w:jc w:val="right"/>
              <w:rPr>
                <w:rFonts w:ascii="Arial" w:hAnsi="Arial" w:cs="Arial"/>
                <w:color w:val="000000"/>
                <w:sz w:val="18"/>
                <w:szCs w:val="18"/>
              </w:rPr>
            </w:pPr>
            <w:r w:rsidRPr="00F7154E">
              <w:rPr>
                <w:rFonts w:ascii="Arial" w:hAnsi="Arial" w:cs="Arial"/>
                <w:color w:val="000000"/>
                <w:sz w:val="18"/>
                <w:szCs w:val="18"/>
              </w:rPr>
              <w:t>5.089.761,01</w:t>
            </w:r>
          </w:p>
        </w:tc>
      </w:tr>
      <w:tr w:rsidR="005A0B88" w:rsidRPr="00F7154E" w14:paraId="125497B3" w14:textId="77777777" w:rsidTr="00F7154E">
        <w:trPr>
          <w:trHeight w:val="284"/>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14:paraId="75440986" w14:textId="77777777" w:rsidR="005A0B88" w:rsidRPr="00F7154E" w:rsidRDefault="005A0B88" w:rsidP="005A0B88">
            <w:pPr>
              <w:rPr>
                <w:rFonts w:ascii="Arial" w:hAnsi="Arial" w:cs="Arial"/>
                <w:color w:val="000000"/>
                <w:sz w:val="18"/>
                <w:szCs w:val="18"/>
              </w:rPr>
            </w:pPr>
            <w:r w:rsidRPr="00F7154E">
              <w:rPr>
                <w:rFonts w:ascii="Arial" w:hAnsi="Arial" w:cs="Arial"/>
                <w:color w:val="000000"/>
                <w:sz w:val="18"/>
                <w:szCs w:val="18"/>
              </w:rPr>
              <w:t>EDS</w:t>
            </w:r>
          </w:p>
        </w:tc>
        <w:tc>
          <w:tcPr>
            <w:tcW w:w="1321" w:type="dxa"/>
            <w:tcBorders>
              <w:top w:val="nil"/>
              <w:left w:val="nil"/>
              <w:bottom w:val="single" w:sz="4" w:space="0" w:color="auto"/>
              <w:right w:val="single" w:sz="4" w:space="0" w:color="auto"/>
            </w:tcBorders>
            <w:shd w:val="clear" w:color="auto" w:fill="auto"/>
            <w:noWrap/>
            <w:vAlign w:val="bottom"/>
            <w:hideMark/>
          </w:tcPr>
          <w:p w14:paraId="4E2E5576" w14:textId="77777777" w:rsidR="005A0B88" w:rsidRPr="00F7154E" w:rsidRDefault="005A0B88" w:rsidP="005A0B88">
            <w:pPr>
              <w:jc w:val="right"/>
              <w:rPr>
                <w:rFonts w:ascii="Arial" w:hAnsi="Arial" w:cs="Arial"/>
                <w:color w:val="000000"/>
                <w:sz w:val="18"/>
                <w:szCs w:val="18"/>
              </w:rPr>
            </w:pPr>
            <w:r w:rsidRPr="00F7154E">
              <w:rPr>
                <w:rFonts w:ascii="Arial" w:hAnsi="Arial" w:cs="Arial"/>
                <w:color w:val="000000"/>
                <w:sz w:val="18"/>
                <w:szCs w:val="18"/>
              </w:rPr>
              <w:t>30.551.148,06</w:t>
            </w:r>
          </w:p>
        </w:tc>
        <w:tc>
          <w:tcPr>
            <w:tcW w:w="1372" w:type="dxa"/>
            <w:tcBorders>
              <w:top w:val="nil"/>
              <w:left w:val="nil"/>
              <w:bottom w:val="single" w:sz="4" w:space="0" w:color="auto"/>
              <w:right w:val="single" w:sz="4" w:space="0" w:color="auto"/>
            </w:tcBorders>
            <w:shd w:val="clear" w:color="auto" w:fill="auto"/>
            <w:noWrap/>
            <w:vAlign w:val="bottom"/>
            <w:hideMark/>
          </w:tcPr>
          <w:p w14:paraId="62916C67" w14:textId="77777777" w:rsidR="005A0B88" w:rsidRPr="00F7154E" w:rsidRDefault="005A0B88" w:rsidP="005A0B88">
            <w:pPr>
              <w:jc w:val="right"/>
              <w:rPr>
                <w:rFonts w:ascii="Arial" w:hAnsi="Arial" w:cs="Arial"/>
                <w:color w:val="000000"/>
                <w:sz w:val="18"/>
                <w:szCs w:val="18"/>
              </w:rPr>
            </w:pPr>
            <w:r w:rsidRPr="00F7154E">
              <w:rPr>
                <w:rFonts w:ascii="Arial" w:hAnsi="Arial" w:cs="Arial"/>
                <w:color w:val="000000"/>
                <w:sz w:val="18"/>
                <w:szCs w:val="18"/>
              </w:rPr>
              <w:t>2.057</w:t>
            </w:r>
          </w:p>
        </w:tc>
        <w:tc>
          <w:tcPr>
            <w:tcW w:w="1446" w:type="dxa"/>
            <w:tcBorders>
              <w:top w:val="nil"/>
              <w:left w:val="nil"/>
              <w:bottom w:val="single" w:sz="4" w:space="0" w:color="auto"/>
              <w:right w:val="single" w:sz="4" w:space="0" w:color="auto"/>
            </w:tcBorders>
            <w:shd w:val="clear" w:color="auto" w:fill="auto"/>
            <w:noWrap/>
            <w:vAlign w:val="bottom"/>
            <w:hideMark/>
          </w:tcPr>
          <w:p w14:paraId="7FF891C4" w14:textId="77777777" w:rsidR="005A0B88" w:rsidRPr="00F7154E" w:rsidRDefault="005A0B88" w:rsidP="005A0B88">
            <w:pPr>
              <w:jc w:val="right"/>
              <w:rPr>
                <w:rFonts w:ascii="Arial" w:hAnsi="Arial" w:cs="Arial"/>
                <w:color w:val="000000"/>
                <w:sz w:val="18"/>
                <w:szCs w:val="18"/>
              </w:rPr>
            </w:pPr>
            <w:r w:rsidRPr="00F7154E">
              <w:rPr>
                <w:rFonts w:ascii="Arial" w:hAnsi="Arial" w:cs="Arial"/>
                <w:color w:val="000000"/>
                <w:sz w:val="18"/>
                <w:szCs w:val="18"/>
              </w:rPr>
              <w:t>12.352.194,37</w:t>
            </w:r>
          </w:p>
        </w:tc>
        <w:tc>
          <w:tcPr>
            <w:tcW w:w="1389" w:type="dxa"/>
            <w:tcBorders>
              <w:top w:val="nil"/>
              <w:left w:val="nil"/>
              <w:bottom w:val="single" w:sz="4" w:space="0" w:color="auto"/>
              <w:right w:val="single" w:sz="4" w:space="0" w:color="auto"/>
            </w:tcBorders>
            <w:shd w:val="clear" w:color="auto" w:fill="auto"/>
            <w:noWrap/>
            <w:vAlign w:val="bottom"/>
            <w:hideMark/>
          </w:tcPr>
          <w:p w14:paraId="7DFD110C" w14:textId="77777777" w:rsidR="005A0B88" w:rsidRPr="00F7154E" w:rsidRDefault="005A0B88" w:rsidP="005A0B88">
            <w:pPr>
              <w:jc w:val="right"/>
              <w:rPr>
                <w:rFonts w:ascii="Arial" w:hAnsi="Arial" w:cs="Arial"/>
                <w:color w:val="000000"/>
                <w:sz w:val="18"/>
                <w:szCs w:val="18"/>
              </w:rPr>
            </w:pPr>
            <w:r w:rsidRPr="00F7154E">
              <w:rPr>
                <w:rFonts w:ascii="Arial" w:hAnsi="Arial" w:cs="Arial"/>
                <w:color w:val="000000"/>
                <w:sz w:val="18"/>
                <w:szCs w:val="18"/>
              </w:rPr>
              <w:t>1.056</w:t>
            </w:r>
          </w:p>
        </w:tc>
        <w:tc>
          <w:tcPr>
            <w:tcW w:w="1860" w:type="dxa"/>
            <w:tcBorders>
              <w:top w:val="nil"/>
              <w:left w:val="nil"/>
              <w:bottom w:val="single" w:sz="4" w:space="0" w:color="auto"/>
              <w:right w:val="single" w:sz="4" w:space="0" w:color="auto"/>
            </w:tcBorders>
            <w:shd w:val="clear" w:color="auto" w:fill="auto"/>
            <w:noWrap/>
            <w:vAlign w:val="bottom"/>
            <w:hideMark/>
          </w:tcPr>
          <w:p w14:paraId="7083FB82" w14:textId="77777777" w:rsidR="005A0B88" w:rsidRPr="00F7154E" w:rsidRDefault="005A0B88" w:rsidP="005A0B88">
            <w:pPr>
              <w:jc w:val="right"/>
              <w:rPr>
                <w:rFonts w:ascii="Arial" w:hAnsi="Arial" w:cs="Arial"/>
                <w:color w:val="000000"/>
                <w:sz w:val="18"/>
                <w:szCs w:val="18"/>
              </w:rPr>
            </w:pPr>
            <w:r w:rsidRPr="00F7154E">
              <w:rPr>
                <w:rFonts w:ascii="Arial" w:hAnsi="Arial" w:cs="Arial"/>
                <w:color w:val="000000"/>
                <w:sz w:val="18"/>
                <w:szCs w:val="18"/>
              </w:rPr>
              <w:t>42.903.342,43</w:t>
            </w:r>
          </w:p>
        </w:tc>
      </w:tr>
      <w:tr w:rsidR="005A0B88" w:rsidRPr="00F7154E" w14:paraId="7E3FFBCE" w14:textId="77777777" w:rsidTr="00F7154E">
        <w:trPr>
          <w:trHeight w:val="284"/>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14:paraId="524C700A" w14:textId="77777777" w:rsidR="005A0B88" w:rsidRPr="00F7154E" w:rsidRDefault="005A0B88" w:rsidP="005A0B88">
            <w:pPr>
              <w:rPr>
                <w:rFonts w:ascii="Arial" w:hAnsi="Arial" w:cs="Arial"/>
                <w:color w:val="000000"/>
                <w:sz w:val="18"/>
                <w:szCs w:val="18"/>
              </w:rPr>
            </w:pPr>
            <w:r w:rsidRPr="00F7154E">
              <w:rPr>
                <w:rFonts w:ascii="Arial" w:hAnsi="Arial" w:cs="Arial"/>
                <w:color w:val="000000"/>
                <w:sz w:val="18"/>
                <w:szCs w:val="18"/>
              </w:rPr>
              <w:t>EDE</w:t>
            </w:r>
          </w:p>
        </w:tc>
        <w:tc>
          <w:tcPr>
            <w:tcW w:w="1321" w:type="dxa"/>
            <w:tcBorders>
              <w:top w:val="nil"/>
              <w:left w:val="nil"/>
              <w:bottom w:val="single" w:sz="4" w:space="0" w:color="auto"/>
              <w:right w:val="single" w:sz="4" w:space="0" w:color="auto"/>
            </w:tcBorders>
            <w:shd w:val="clear" w:color="auto" w:fill="auto"/>
            <w:noWrap/>
            <w:vAlign w:val="bottom"/>
            <w:hideMark/>
          </w:tcPr>
          <w:p w14:paraId="59730A72" w14:textId="77777777" w:rsidR="005A0B88" w:rsidRPr="00F7154E" w:rsidRDefault="005A0B88" w:rsidP="005A0B88">
            <w:pPr>
              <w:jc w:val="right"/>
              <w:rPr>
                <w:rFonts w:ascii="Arial" w:hAnsi="Arial" w:cs="Arial"/>
                <w:color w:val="000000"/>
                <w:sz w:val="18"/>
                <w:szCs w:val="18"/>
              </w:rPr>
            </w:pPr>
            <w:r w:rsidRPr="00F7154E">
              <w:rPr>
                <w:rFonts w:ascii="Arial" w:hAnsi="Arial" w:cs="Arial"/>
                <w:color w:val="000000"/>
                <w:sz w:val="18"/>
                <w:szCs w:val="18"/>
              </w:rPr>
              <w:t>49.081.188,29</w:t>
            </w:r>
          </w:p>
        </w:tc>
        <w:tc>
          <w:tcPr>
            <w:tcW w:w="1372" w:type="dxa"/>
            <w:tcBorders>
              <w:top w:val="nil"/>
              <w:left w:val="nil"/>
              <w:bottom w:val="single" w:sz="4" w:space="0" w:color="auto"/>
              <w:right w:val="single" w:sz="4" w:space="0" w:color="auto"/>
            </w:tcBorders>
            <w:shd w:val="clear" w:color="auto" w:fill="auto"/>
            <w:noWrap/>
            <w:vAlign w:val="bottom"/>
            <w:hideMark/>
          </w:tcPr>
          <w:p w14:paraId="2D6496F3" w14:textId="77777777" w:rsidR="005A0B88" w:rsidRPr="00F7154E" w:rsidRDefault="005A0B88" w:rsidP="005A0B88">
            <w:pPr>
              <w:jc w:val="right"/>
              <w:rPr>
                <w:rFonts w:ascii="Arial" w:hAnsi="Arial" w:cs="Arial"/>
                <w:color w:val="000000"/>
                <w:sz w:val="18"/>
                <w:szCs w:val="18"/>
              </w:rPr>
            </w:pPr>
            <w:r w:rsidRPr="00F7154E">
              <w:rPr>
                <w:rFonts w:ascii="Arial" w:hAnsi="Arial" w:cs="Arial"/>
                <w:color w:val="000000"/>
                <w:sz w:val="18"/>
                <w:szCs w:val="18"/>
              </w:rPr>
              <w:t>9.377</w:t>
            </w:r>
          </w:p>
        </w:tc>
        <w:tc>
          <w:tcPr>
            <w:tcW w:w="1446" w:type="dxa"/>
            <w:tcBorders>
              <w:top w:val="nil"/>
              <w:left w:val="nil"/>
              <w:bottom w:val="single" w:sz="4" w:space="0" w:color="auto"/>
              <w:right w:val="single" w:sz="4" w:space="0" w:color="auto"/>
            </w:tcBorders>
            <w:shd w:val="clear" w:color="auto" w:fill="auto"/>
            <w:noWrap/>
            <w:vAlign w:val="bottom"/>
            <w:hideMark/>
          </w:tcPr>
          <w:p w14:paraId="06FFB276" w14:textId="77777777" w:rsidR="005A0B88" w:rsidRPr="00F7154E" w:rsidRDefault="005A0B88" w:rsidP="005A0B88">
            <w:pPr>
              <w:jc w:val="right"/>
              <w:rPr>
                <w:rFonts w:ascii="Arial" w:hAnsi="Arial" w:cs="Arial"/>
                <w:color w:val="000000"/>
                <w:sz w:val="18"/>
                <w:szCs w:val="18"/>
              </w:rPr>
            </w:pPr>
            <w:r w:rsidRPr="00F7154E">
              <w:rPr>
                <w:rFonts w:ascii="Arial" w:hAnsi="Arial" w:cs="Arial"/>
                <w:color w:val="000000"/>
                <w:sz w:val="18"/>
                <w:szCs w:val="18"/>
              </w:rPr>
              <w:t>16.440.889,14</w:t>
            </w:r>
          </w:p>
        </w:tc>
        <w:tc>
          <w:tcPr>
            <w:tcW w:w="1389" w:type="dxa"/>
            <w:tcBorders>
              <w:top w:val="nil"/>
              <w:left w:val="nil"/>
              <w:bottom w:val="single" w:sz="4" w:space="0" w:color="auto"/>
              <w:right w:val="single" w:sz="4" w:space="0" w:color="auto"/>
            </w:tcBorders>
            <w:shd w:val="clear" w:color="auto" w:fill="auto"/>
            <w:noWrap/>
            <w:vAlign w:val="bottom"/>
            <w:hideMark/>
          </w:tcPr>
          <w:p w14:paraId="1A6E059A" w14:textId="77777777" w:rsidR="005A0B88" w:rsidRPr="00F7154E" w:rsidRDefault="005A0B88" w:rsidP="005A0B88">
            <w:pPr>
              <w:jc w:val="right"/>
              <w:rPr>
                <w:rFonts w:ascii="Arial" w:hAnsi="Arial" w:cs="Arial"/>
                <w:color w:val="000000"/>
                <w:sz w:val="18"/>
                <w:szCs w:val="18"/>
              </w:rPr>
            </w:pPr>
            <w:r w:rsidRPr="00F7154E">
              <w:rPr>
                <w:rFonts w:ascii="Arial" w:hAnsi="Arial" w:cs="Arial"/>
                <w:color w:val="000000"/>
                <w:sz w:val="18"/>
                <w:szCs w:val="18"/>
              </w:rPr>
              <w:t>3.186</w:t>
            </w:r>
          </w:p>
        </w:tc>
        <w:tc>
          <w:tcPr>
            <w:tcW w:w="1860" w:type="dxa"/>
            <w:tcBorders>
              <w:top w:val="nil"/>
              <w:left w:val="nil"/>
              <w:bottom w:val="single" w:sz="4" w:space="0" w:color="auto"/>
              <w:right w:val="single" w:sz="4" w:space="0" w:color="auto"/>
            </w:tcBorders>
            <w:shd w:val="clear" w:color="auto" w:fill="auto"/>
            <w:noWrap/>
            <w:vAlign w:val="bottom"/>
            <w:hideMark/>
          </w:tcPr>
          <w:p w14:paraId="09D9A949" w14:textId="77777777" w:rsidR="005A0B88" w:rsidRPr="00F7154E" w:rsidRDefault="005A0B88" w:rsidP="005A0B88">
            <w:pPr>
              <w:jc w:val="right"/>
              <w:rPr>
                <w:rFonts w:ascii="Arial" w:hAnsi="Arial" w:cs="Arial"/>
                <w:color w:val="000000"/>
                <w:sz w:val="18"/>
                <w:szCs w:val="18"/>
              </w:rPr>
            </w:pPr>
            <w:r w:rsidRPr="00F7154E">
              <w:rPr>
                <w:rFonts w:ascii="Arial" w:hAnsi="Arial" w:cs="Arial"/>
                <w:color w:val="000000"/>
                <w:sz w:val="18"/>
                <w:szCs w:val="18"/>
              </w:rPr>
              <w:t>65.522.077,43</w:t>
            </w:r>
          </w:p>
        </w:tc>
      </w:tr>
      <w:tr w:rsidR="005A0B88" w:rsidRPr="00F7154E" w14:paraId="27AAE9D3" w14:textId="77777777" w:rsidTr="00F7154E">
        <w:trPr>
          <w:trHeight w:val="284"/>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14:paraId="77AC0711" w14:textId="77777777" w:rsidR="005A0B88" w:rsidRPr="00F7154E" w:rsidRDefault="005A0B88" w:rsidP="005A0B88">
            <w:pPr>
              <w:rPr>
                <w:rFonts w:ascii="Arial" w:hAnsi="Arial" w:cs="Arial"/>
                <w:color w:val="000000"/>
                <w:sz w:val="18"/>
                <w:szCs w:val="18"/>
              </w:rPr>
            </w:pPr>
            <w:r w:rsidRPr="00F7154E">
              <w:rPr>
                <w:rFonts w:ascii="Arial" w:hAnsi="Arial" w:cs="Arial"/>
                <w:color w:val="000000"/>
                <w:sz w:val="18"/>
                <w:szCs w:val="18"/>
              </w:rPr>
              <w:t xml:space="preserve">Total </w:t>
            </w:r>
          </w:p>
        </w:tc>
        <w:tc>
          <w:tcPr>
            <w:tcW w:w="1321" w:type="dxa"/>
            <w:tcBorders>
              <w:top w:val="nil"/>
              <w:left w:val="nil"/>
              <w:bottom w:val="single" w:sz="4" w:space="0" w:color="auto"/>
              <w:right w:val="single" w:sz="4" w:space="0" w:color="auto"/>
            </w:tcBorders>
            <w:shd w:val="clear" w:color="auto" w:fill="auto"/>
            <w:noWrap/>
            <w:vAlign w:val="bottom"/>
            <w:hideMark/>
          </w:tcPr>
          <w:p w14:paraId="1D98137C" w14:textId="77777777" w:rsidR="005A0B88" w:rsidRPr="00F7154E" w:rsidRDefault="005A0B88" w:rsidP="005A0B88">
            <w:pPr>
              <w:jc w:val="right"/>
              <w:rPr>
                <w:rFonts w:ascii="Arial" w:hAnsi="Arial" w:cs="Arial"/>
                <w:color w:val="000000"/>
                <w:sz w:val="18"/>
                <w:szCs w:val="18"/>
              </w:rPr>
            </w:pPr>
            <w:r w:rsidRPr="00F7154E">
              <w:rPr>
                <w:rFonts w:ascii="Arial" w:hAnsi="Arial" w:cs="Arial"/>
                <w:color w:val="000000"/>
                <w:sz w:val="18"/>
                <w:szCs w:val="18"/>
              </w:rPr>
              <w:t>83.771.131,90</w:t>
            </w:r>
          </w:p>
        </w:tc>
        <w:tc>
          <w:tcPr>
            <w:tcW w:w="1372" w:type="dxa"/>
            <w:tcBorders>
              <w:top w:val="nil"/>
              <w:left w:val="nil"/>
              <w:bottom w:val="single" w:sz="4" w:space="0" w:color="auto"/>
              <w:right w:val="single" w:sz="4" w:space="0" w:color="auto"/>
            </w:tcBorders>
            <w:shd w:val="clear" w:color="auto" w:fill="auto"/>
            <w:noWrap/>
            <w:vAlign w:val="bottom"/>
            <w:hideMark/>
          </w:tcPr>
          <w:p w14:paraId="6E303CB5" w14:textId="77777777" w:rsidR="005A0B88" w:rsidRPr="00F7154E" w:rsidRDefault="005A0B88" w:rsidP="005A0B88">
            <w:pPr>
              <w:jc w:val="right"/>
              <w:rPr>
                <w:rFonts w:ascii="Arial" w:hAnsi="Arial" w:cs="Arial"/>
                <w:color w:val="000000"/>
                <w:sz w:val="18"/>
                <w:szCs w:val="18"/>
              </w:rPr>
            </w:pPr>
            <w:r w:rsidRPr="00F7154E">
              <w:rPr>
                <w:rFonts w:ascii="Arial" w:hAnsi="Arial" w:cs="Arial"/>
                <w:color w:val="000000"/>
                <w:sz w:val="18"/>
                <w:szCs w:val="18"/>
              </w:rPr>
              <w:t>11.662</w:t>
            </w:r>
          </w:p>
        </w:tc>
        <w:tc>
          <w:tcPr>
            <w:tcW w:w="1446" w:type="dxa"/>
            <w:tcBorders>
              <w:top w:val="nil"/>
              <w:left w:val="nil"/>
              <w:bottom w:val="single" w:sz="4" w:space="0" w:color="auto"/>
              <w:right w:val="single" w:sz="4" w:space="0" w:color="auto"/>
            </w:tcBorders>
            <w:shd w:val="clear" w:color="auto" w:fill="auto"/>
            <w:noWrap/>
            <w:vAlign w:val="bottom"/>
            <w:hideMark/>
          </w:tcPr>
          <w:p w14:paraId="4B95E297" w14:textId="77777777" w:rsidR="005A0B88" w:rsidRPr="00F7154E" w:rsidRDefault="005A0B88" w:rsidP="005A0B88">
            <w:pPr>
              <w:jc w:val="right"/>
              <w:rPr>
                <w:rFonts w:ascii="Arial" w:hAnsi="Arial" w:cs="Arial"/>
                <w:color w:val="000000"/>
                <w:sz w:val="18"/>
                <w:szCs w:val="18"/>
              </w:rPr>
            </w:pPr>
            <w:r w:rsidRPr="00F7154E">
              <w:rPr>
                <w:rFonts w:ascii="Arial" w:hAnsi="Arial" w:cs="Arial"/>
                <w:color w:val="000000"/>
                <w:sz w:val="18"/>
                <w:szCs w:val="18"/>
              </w:rPr>
              <w:t>29.744.048,97</w:t>
            </w:r>
          </w:p>
        </w:tc>
        <w:tc>
          <w:tcPr>
            <w:tcW w:w="1389" w:type="dxa"/>
            <w:tcBorders>
              <w:top w:val="nil"/>
              <w:left w:val="nil"/>
              <w:bottom w:val="single" w:sz="4" w:space="0" w:color="auto"/>
              <w:right w:val="single" w:sz="4" w:space="0" w:color="auto"/>
            </w:tcBorders>
            <w:shd w:val="clear" w:color="auto" w:fill="auto"/>
            <w:noWrap/>
            <w:vAlign w:val="bottom"/>
            <w:hideMark/>
          </w:tcPr>
          <w:p w14:paraId="502297FE" w14:textId="77777777" w:rsidR="005A0B88" w:rsidRPr="00F7154E" w:rsidRDefault="005A0B88" w:rsidP="005A0B88">
            <w:pPr>
              <w:jc w:val="right"/>
              <w:rPr>
                <w:rFonts w:ascii="Arial" w:hAnsi="Arial" w:cs="Arial"/>
                <w:color w:val="000000"/>
                <w:sz w:val="18"/>
                <w:szCs w:val="18"/>
              </w:rPr>
            </w:pPr>
            <w:r w:rsidRPr="00F7154E">
              <w:rPr>
                <w:rFonts w:ascii="Arial" w:hAnsi="Arial" w:cs="Arial"/>
                <w:color w:val="000000"/>
                <w:sz w:val="18"/>
                <w:szCs w:val="18"/>
              </w:rPr>
              <w:t>4.329</w:t>
            </w:r>
          </w:p>
        </w:tc>
        <w:tc>
          <w:tcPr>
            <w:tcW w:w="1860" w:type="dxa"/>
            <w:tcBorders>
              <w:top w:val="nil"/>
              <w:left w:val="nil"/>
              <w:bottom w:val="single" w:sz="4" w:space="0" w:color="auto"/>
              <w:right w:val="single" w:sz="4" w:space="0" w:color="auto"/>
            </w:tcBorders>
            <w:shd w:val="clear" w:color="auto" w:fill="auto"/>
            <w:noWrap/>
            <w:vAlign w:val="bottom"/>
            <w:hideMark/>
          </w:tcPr>
          <w:p w14:paraId="5A2DBCA5" w14:textId="77777777" w:rsidR="005A0B88" w:rsidRPr="00F7154E" w:rsidRDefault="005A0B88" w:rsidP="005A0B88">
            <w:pPr>
              <w:jc w:val="right"/>
              <w:rPr>
                <w:rFonts w:ascii="Arial" w:hAnsi="Arial" w:cs="Arial"/>
                <w:color w:val="000000"/>
                <w:sz w:val="18"/>
                <w:szCs w:val="18"/>
              </w:rPr>
            </w:pPr>
            <w:r w:rsidRPr="00F7154E">
              <w:rPr>
                <w:rFonts w:ascii="Arial" w:hAnsi="Arial" w:cs="Arial"/>
                <w:color w:val="000000"/>
                <w:sz w:val="18"/>
                <w:szCs w:val="18"/>
              </w:rPr>
              <w:t>113.515.180,87</w:t>
            </w:r>
          </w:p>
        </w:tc>
      </w:tr>
      <w:bookmarkEnd w:id="1"/>
    </w:tbl>
    <w:p w14:paraId="5F9964F5" w14:textId="77777777" w:rsidR="00D542C4" w:rsidRDefault="00D542C4" w:rsidP="00AA021E">
      <w:pPr>
        <w:shd w:val="clear" w:color="auto" w:fill="FFFFFF"/>
        <w:tabs>
          <w:tab w:val="left" w:pos="766"/>
        </w:tabs>
        <w:spacing w:line="360" w:lineRule="auto"/>
        <w:jc w:val="both"/>
        <w:rPr>
          <w:rFonts w:ascii="Arial" w:hAnsi="Arial" w:cs="Arial"/>
          <w:color w:val="333333"/>
          <w:sz w:val="20"/>
          <w:szCs w:val="20"/>
        </w:rPr>
      </w:pPr>
    </w:p>
    <w:p w14:paraId="0888738C" w14:textId="05DD42C5" w:rsidR="003A1119" w:rsidRDefault="00864DCD" w:rsidP="003A1119">
      <w:pPr>
        <w:spacing w:line="360" w:lineRule="auto"/>
        <w:rPr>
          <w:rFonts w:ascii="Arial" w:hAnsi="Arial" w:cs="Arial"/>
        </w:rPr>
      </w:pPr>
      <w:r w:rsidRPr="003E79B0">
        <w:rPr>
          <w:rFonts w:ascii="Arial" w:hAnsi="Arial" w:cs="Arial"/>
        </w:rPr>
        <w:t xml:space="preserve">Es cuanto tengo el honor de informar en cumplimiento de lo dispuesto en el artículo </w:t>
      </w:r>
      <w:r w:rsidR="00233022" w:rsidRPr="003E79B0">
        <w:rPr>
          <w:rFonts w:ascii="Arial" w:hAnsi="Arial" w:cs="Arial"/>
        </w:rPr>
        <w:t>215</w:t>
      </w:r>
      <w:r w:rsidRPr="003E79B0">
        <w:rPr>
          <w:rFonts w:ascii="Arial" w:hAnsi="Arial" w:cs="Arial"/>
        </w:rPr>
        <w:t xml:space="preserve"> del Reglamento del Parlamento de Nav</w:t>
      </w:r>
      <w:r w:rsidR="003A1119">
        <w:rPr>
          <w:rFonts w:ascii="Arial" w:hAnsi="Arial" w:cs="Arial"/>
        </w:rPr>
        <w:t>arra.</w:t>
      </w:r>
    </w:p>
    <w:p w14:paraId="1B7C363F" w14:textId="77777777" w:rsidR="003A1119" w:rsidRDefault="001C5BBC" w:rsidP="003A1119">
      <w:pPr>
        <w:spacing w:line="360" w:lineRule="auto"/>
        <w:rPr>
          <w:rFonts w:ascii="Arial" w:hAnsi="Arial" w:cs="Arial"/>
        </w:rPr>
      </w:pPr>
      <w:r w:rsidRPr="003E79B0">
        <w:rPr>
          <w:rFonts w:ascii="Arial" w:hAnsi="Arial" w:cs="Arial"/>
        </w:rPr>
        <w:t>Pamplona,</w:t>
      </w:r>
      <w:r w:rsidR="007631EC" w:rsidRPr="003E79B0">
        <w:rPr>
          <w:rFonts w:ascii="Arial" w:hAnsi="Arial" w:cs="Arial"/>
        </w:rPr>
        <w:t xml:space="preserve"> </w:t>
      </w:r>
      <w:r w:rsidR="005A0B88" w:rsidRPr="003E79B0">
        <w:rPr>
          <w:rFonts w:ascii="Arial" w:hAnsi="Arial" w:cs="Arial"/>
        </w:rPr>
        <w:t>11</w:t>
      </w:r>
      <w:r w:rsidRPr="003E79B0">
        <w:rPr>
          <w:rFonts w:ascii="Arial" w:hAnsi="Arial" w:cs="Arial"/>
        </w:rPr>
        <w:t xml:space="preserve"> de </w:t>
      </w:r>
      <w:r w:rsidR="005A0B88" w:rsidRPr="003E79B0">
        <w:rPr>
          <w:rFonts w:ascii="Arial" w:hAnsi="Arial" w:cs="Arial"/>
        </w:rPr>
        <w:t>abril</w:t>
      </w:r>
      <w:r w:rsidRPr="003E79B0">
        <w:rPr>
          <w:rFonts w:ascii="Arial" w:hAnsi="Arial" w:cs="Arial"/>
        </w:rPr>
        <w:t xml:space="preserve"> de 20</w:t>
      </w:r>
      <w:r w:rsidR="00797449" w:rsidRPr="003E79B0">
        <w:rPr>
          <w:rFonts w:ascii="Arial" w:hAnsi="Arial" w:cs="Arial"/>
        </w:rPr>
        <w:t>2</w:t>
      </w:r>
      <w:r w:rsidR="00AA021E" w:rsidRPr="003E79B0">
        <w:rPr>
          <w:rFonts w:ascii="Arial" w:hAnsi="Arial" w:cs="Arial"/>
        </w:rPr>
        <w:t>4</w:t>
      </w:r>
    </w:p>
    <w:p w14:paraId="16EA51A0" w14:textId="45CA4B74" w:rsidR="002F3FFC" w:rsidRPr="003E79B0" w:rsidRDefault="007631EC" w:rsidP="003A1119">
      <w:pPr>
        <w:spacing w:line="360" w:lineRule="auto"/>
        <w:rPr>
          <w:rFonts w:ascii="Arial" w:hAnsi="Arial" w:cs="Arial"/>
        </w:rPr>
      </w:pPr>
      <w:r w:rsidRPr="003E79B0">
        <w:rPr>
          <w:rFonts w:ascii="Arial" w:hAnsi="Arial" w:cs="Arial"/>
        </w:rPr>
        <w:t>El</w:t>
      </w:r>
      <w:r w:rsidR="001C5BBC" w:rsidRPr="003E79B0">
        <w:rPr>
          <w:rFonts w:ascii="Arial" w:hAnsi="Arial" w:cs="Arial"/>
        </w:rPr>
        <w:t xml:space="preserve"> Consejer</w:t>
      </w:r>
      <w:r w:rsidRPr="003E79B0">
        <w:rPr>
          <w:rFonts w:ascii="Arial" w:hAnsi="Arial" w:cs="Arial"/>
        </w:rPr>
        <w:t>o</w:t>
      </w:r>
      <w:r w:rsidR="001C5BBC" w:rsidRPr="003E79B0">
        <w:rPr>
          <w:rFonts w:ascii="Arial" w:hAnsi="Arial" w:cs="Arial"/>
        </w:rPr>
        <w:t xml:space="preserve"> de </w:t>
      </w:r>
      <w:r w:rsidR="00DA1E27" w:rsidRPr="003E79B0">
        <w:rPr>
          <w:rFonts w:ascii="Arial" w:hAnsi="Arial" w:cs="Arial"/>
        </w:rPr>
        <w:t>Economí</w:t>
      </w:r>
      <w:r w:rsidR="00347443" w:rsidRPr="003E79B0">
        <w:rPr>
          <w:rFonts w:ascii="Arial" w:hAnsi="Arial" w:cs="Arial"/>
        </w:rPr>
        <w:t xml:space="preserve">a y </w:t>
      </w:r>
      <w:r w:rsidR="001C5BBC" w:rsidRPr="003E79B0">
        <w:rPr>
          <w:rFonts w:ascii="Arial" w:hAnsi="Arial" w:cs="Arial"/>
        </w:rPr>
        <w:t>Hacienda</w:t>
      </w:r>
      <w:r w:rsidR="003A1119">
        <w:rPr>
          <w:rFonts w:ascii="Arial" w:hAnsi="Arial" w:cs="Arial"/>
        </w:rPr>
        <w:t xml:space="preserve">: </w:t>
      </w:r>
      <w:r w:rsidRPr="003E79B0">
        <w:rPr>
          <w:rFonts w:ascii="Arial" w:hAnsi="Arial" w:cs="Arial"/>
        </w:rPr>
        <w:t>José Luis Arasti Pérez</w:t>
      </w:r>
    </w:p>
    <w:sectPr w:rsidR="002F3FFC" w:rsidRPr="003E79B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C77F13" w14:textId="77777777" w:rsidR="003E79B0" w:rsidRDefault="003E79B0" w:rsidP="003E79B0">
      <w:r>
        <w:separator/>
      </w:r>
    </w:p>
  </w:endnote>
  <w:endnote w:type="continuationSeparator" w:id="0">
    <w:p w14:paraId="723F1344" w14:textId="77777777" w:rsidR="003E79B0" w:rsidRDefault="003E79B0" w:rsidP="003E7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Kalinga">
    <w:altName w:val="Bahnschrift Light"/>
    <w:panose1 w:val="020B0502040204020203"/>
    <w:charset w:val="00"/>
    <w:family w:val="swiss"/>
    <w:pitch w:val="variable"/>
    <w:sig w:usb0="0008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BD59AF" w14:textId="77777777" w:rsidR="003E79B0" w:rsidRDefault="003E79B0" w:rsidP="003E79B0">
      <w:r>
        <w:separator/>
      </w:r>
    </w:p>
  </w:footnote>
  <w:footnote w:type="continuationSeparator" w:id="0">
    <w:p w14:paraId="3A910D5D" w14:textId="77777777" w:rsidR="003E79B0" w:rsidRDefault="003E79B0" w:rsidP="003E7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353F9"/>
    <w:multiLevelType w:val="hybridMultilevel"/>
    <w:tmpl w:val="104CA8BE"/>
    <w:lvl w:ilvl="0" w:tplc="1746350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081A6E2A"/>
    <w:multiLevelType w:val="hybridMultilevel"/>
    <w:tmpl w:val="1C8442B4"/>
    <w:lvl w:ilvl="0" w:tplc="02A0029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2236D96"/>
    <w:multiLevelType w:val="hybridMultilevel"/>
    <w:tmpl w:val="6756C4A2"/>
    <w:lvl w:ilvl="0" w:tplc="25F6BF94">
      <w:start w:val="1"/>
      <w:numFmt w:val="upperRoman"/>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21877D7F"/>
    <w:multiLevelType w:val="hybridMultilevel"/>
    <w:tmpl w:val="685CF8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7052BCF"/>
    <w:multiLevelType w:val="hybridMultilevel"/>
    <w:tmpl w:val="84C04F3C"/>
    <w:lvl w:ilvl="0" w:tplc="0C0A000F">
      <w:start w:val="1"/>
      <w:numFmt w:val="decimal"/>
      <w:lvlText w:val="%1."/>
      <w:lvlJc w:val="left"/>
      <w:pPr>
        <w:tabs>
          <w:tab w:val="num" w:pos="1778"/>
        </w:tabs>
        <w:ind w:left="177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02069D9"/>
    <w:multiLevelType w:val="hybridMultilevel"/>
    <w:tmpl w:val="64687F2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41995F36"/>
    <w:multiLevelType w:val="hybridMultilevel"/>
    <w:tmpl w:val="A502D53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506C726D"/>
    <w:multiLevelType w:val="hybridMultilevel"/>
    <w:tmpl w:val="BF6C3EB8"/>
    <w:lvl w:ilvl="0" w:tplc="21BECFFA">
      <w:numFmt w:val="bullet"/>
      <w:lvlText w:val="-"/>
      <w:lvlJc w:val="left"/>
      <w:pPr>
        <w:ind w:left="720" w:hanging="360"/>
      </w:pPr>
      <w:rPr>
        <w:rFonts w:ascii="Century Gothic" w:eastAsia="Times New Roman" w:hAnsi="Century Gothic" w:cs="Kalinga"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36D3FAD"/>
    <w:multiLevelType w:val="hybridMultilevel"/>
    <w:tmpl w:val="22C66106"/>
    <w:lvl w:ilvl="0" w:tplc="0C0A0001">
      <w:start w:val="1"/>
      <w:numFmt w:val="bullet"/>
      <w:lvlText w:val=""/>
      <w:lvlJc w:val="left"/>
      <w:pPr>
        <w:ind w:left="1492" w:hanging="360"/>
      </w:pPr>
      <w:rPr>
        <w:rFonts w:ascii="Symbol" w:hAnsi="Symbol" w:hint="default"/>
      </w:rPr>
    </w:lvl>
    <w:lvl w:ilvl="1" w:tplc="0C0A0003">
      <w:start w:val="1"/>
      <w:numFmt w:val="bullet"/>
      <w:lvlText w:val="o"/>
      <w:lvlJc w:val="left"/>
      <w:pPr>
        <w:ind w:left="2212" w:hanging="360"/>
      </w:pPr>
      <w:rPr>
        <w:rFonts w:ascii="Courier New" w:hAnsi="Courier New" w:cs="Courier New" w:hint="default"/>
      </w:rPr>
    </w:lvl>
    <w:lvl w:ilvl="2" w:tplc="0C0A0005" w:tentative="1">
      <w:start w:val="1"/>
      <w:numFmt w:val="bullet"/>
      <w:lvlText w:val=""/>
      <w:lvlJc w:val="left"/>
      <w:pPr>
        <w:ind w:left="2932" w:hanging="360"/>
      </w:pPr>
      <w:rPr>
        <w:rFonts w:ascii="Wingdings" w:hAnsi="Wingdings" w:hint="default"/>
      </w:rPr>
    </w:lvl>
    <w:lvl w:ilvl="3" w:tplc="0C0A0001" w:tentative="1">
      <w:start w:val="1"/>
      <w:numFmt w:val="bullet"/>
      <w:lvlText w:val=""/>
      <w:lvlJc w:val="left"/>
      <w:pPr>
        <w:ind w:left="3652" w:hanging="360"/>
      </w:pPr>
      <w:rPr>
        <w:rFonts w:ascii="Symbol" w:hAnsi="Symbol" w:hint="default"/>
      </w:rPr>
    </w:lvl>
    <w:lvl w:ilvl="4" w:tplc="0C0A0003" w:tentative="1">
      <w:start w:val="1"/>
      <w:numFmt w:val="bullet"/>
      <w:lvlText w:val="o"/>
      <w:lvlJc w:val="left"/>
      <w:pPr>
        <w:ind w:left="4372" w:hanging="360"/>
      </w:pPr>
      <w:rPr>
        <w:rFonts w:ascii="Courier New" w:hAnsi="Courier New" w:cs="Courier New" w:hint="default"/>
      </w:rPr>
    </w:lvl>
    <w:lvl w:ilvl="5" w:tplc="0C0A0005" w:tentative="1">
      <w:start w:val="1"/>
      <w:numFmt w:val="bullet"/>
      <w:lvlText w:val=""/>
      <w:lvlJc w:val="left"/>
      <w:pPr>
        <w:ind w:left="5092" w:hanging="360"/>
      </w:pPr>
      <w:rPr>
        <w:rFonts w:ascii="Wingdings" w:hAnsi="Wingdings" w:hint="default"/>
      </w:rPr>
    </w:lvl>
    <w:lvl w:ilvl="6" w:tplc="0C0A0001" w:tentative="1">
      <w:start w:val="1"/>
      <w:numFmt w:val="bullet"/>
      <w:lvlText w:val=""/>
      <w:lvlJc w:val="left"/>
      <w:pPr>
        <w:ind w:left="5812" w:hanging="360"/>
      </w:pPr>
      <w:rPr>
        <w:rFonts w:ascii="Symbol" w:hAnsi="Symbol" w:hint="default"/>
      </w:rPr>
    </w:lvl>
    <w:lvl w:ilvl="7" w:tplc="0C0A0003" w:tentative="1">
      <w:start w:val="1"/>
      <w:numFmt w:val="bullet"/>
      <w:lvlText w:val="o"/>
      <w:lvlJc w:val="left"/>
      <w:pPr>
        <w:ind w:left="6532" w:hanging="360"/>
      </w:pPr>
      <w:rPr>
        <w:rFonts w:ascii="Courier New" w:hAnsi="Courier New" w:cs="Courier New" w:hint="default"/>
      </w:rPr>
    </w:lvl>
    <w:lvl w:ilvl="8" w:tplc="0C0A0005" w:tentative="1">
      <w:start w:val="1"/>
      <w:numFmt w:val="bullet"/>
      <w:lvlText w:val=""/>
      <w:lvlJc w:val="left"/>
      <w:pPr>
        <w:ind w:left="7252" w:hanging="360"/>
      </w:pPr>
      <w:rPr>
        <w:rFonts w:ascii="Wingdings" w:hAnsi="Wingdings" w:hint="default"/>
      </w:rPr>
    </w:lvl>
  </w:abstractNum>
  <w:abstractNum w:abstractNumId="9" w15:restartNumberingAfterBreak="0">
    <w:nsid w:val="53B91FA8"/>
    <w:multiLevelType w:val="hybridMultilevel"/>
    <w:tmpl w:val="5D0ABA5A"/>
    <w:lvl w:ilvl="0" w:tplc="82766D16">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5B9F2474"/>
    <w:multiLevelType w:val="hybridMultilevel"/>
    <w:tmpl w:val="50ECFEAE"/>
    <w:lvl w:ilvl="0" w:tplc="D80E2088">
      <w:start w:val="1"/>
      <w:numFmt w:val="bullet"/>
      <w:lvlText w:val=""/>
      <w:lvlJc w:val="left"/>
      <w:pPr>
        <w:ind w:left="1776" w:hanging="360"/>
      </w:pPr>
      <w:rPr>
        <w:rFonts w:ascii="Wingdings" w:eastAsiaTheme="minorHAnsi" w:hAnsi="Wingdings" w:cstheme="minorBidi" w:hint="default"/>
      </w:rPr>
    </w:lvl>
    <w:lvl w:ilvl="1" w:tplc="0C0A0003">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1" w15:restartNumberingAfterBreak="0">
    <w:nsid w:val="5DA978EE"/>
    <w:multiLevelType w:val="hybridMultilevel"/>
    <w:tmpl w:val="3008F752"/>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ED53050"/>
    <w:multiLevelType w:val="hybridMultilevel"/>
    <w:tmpl w:val="9C8E9E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F65359D"/>
    <w:multiLevelType w:val="hybridMultilevel"/>
    <w:tmpl w:val="9F3096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049784B"/>
    <w:multiLevelType w:val="hybridMultilevel"/>
    <w:tmpl w:val="2D101536"/>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77F24ADB"/>
    <w:multiLevelType w:val="hybridMultilevel"/>
    <w:tmpl w:val="E618E638"/>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1740709619">
    <w:abstractNumId w:val="5"/>
  </w:num>
  <w:num w:numId="2" w16cid:durableId="972170831">
    <w:abstractNumId w:val="6"/>
  </w:num>
  <w:num w:numId="3" w16cid:durableId="2956501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88545824">
    <w:abstractNumId w:val="3"/>
  </w:num>
  <w:num w:numId="5" w16cid:durableId="1929535313">
    <w:abstractNumId w:val="15"/>
  </w:num>
  <w:num w:numId="6" w16cid:durableId="1337028714">
    <w:abstractNumId w:val="2"/>
  </w:num>
  <w:num w:numId="7" w16cid:durableId="1534613192">
    <w:abstractNumId w:val="1"/>
  </w:num>
  <w:num w:numId="8" w16cid:durableId="495416076">
    <w:abstractNumId w:val="13"/>
  </w:num>
  <w:num w:numId="9" w16cid:durableId="298845341">
    <w:abstractNumId w:val="4"/>
  </w:num>
  <w:num w:numId="10" w16cid:durableId="47848681">
    <w:abstractNumId w:val="14"/>
  </w:num>
  <w:num w:numId="11" w16cid:durableId="943534341">
    <w:abstractNumId w:val="11"/>
  </w:num>
  <w:num w:numId="12" w16cid:durableId="646514423">
    <w:abstractNumId w:val="12"/>
  </w:num>
  <w:num w:numId="13" w16cid:durableId="813764247">
    <w:abstractNumId w:val="8"/>
  </w:num>
  <w:num w:numId="14" w16cid:durableId="1129009194">
    <w:abstractNumId w:val="10"/>
  </w:num>
  <w:num w:numId="15" w16cid:durableId="6761661">
    <w:abstractNumId w:val="7"/>
  </w:num>
  <w:num w:numId="16" w16cid:durableId="1346126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BBC"/>
    <w:rsid w:val="00014305"/>
    <w:rsid w:val="00030884"/>
    <w:rsid w:val="00095C3D"/>
    <w:rsid w:val="001A11D8"/>
    <w:rsid w:val="001C5BBC"/>
    <w:rsid w:val="00233022"/>
    <w:rsid w:val="00251B06"/>
    <w:rsid w:val="002F3FFC"/>
    <w:rsid w:val="00304774"/>
    <w:rsid w:val="00347443"/>
    <w:rsid w:val="003A1119"/>
    <w:rsid w:val="003A3A19"/>
    <w:rsid w:val="003E79B0"/>
    <w:rsid w:val="0042675C"/>
    <w:rsid w:val="00444D0E"/>
    <w:rsid w:val="00464CB5"/>
    <w:rsid w:val="004B2BFE"/>
    <w:rsid w:val="00544CBD"/>
    <w:rsid w:val="00561BAD"/>
    <w:rsid w:val="00576FE2"/>
    <w:rsid w:val="005952AA"/>
    <w:rsid w:val="005A0B88"/>
    <w:rsid w:val="005C03DB"/>
    <w:rsid w:val="005F4F36"/>
    <w:rsid w:val="007138FD"/>
    <w:rsid w:val="0073692F"/>
    <w:rsid w:val="007631EC"/>
    <w:rsid w:val="00797449"/>
    <w:rsid w:val="00837E35"/>
    <w:rsid w:val="00864DCD"/>
    <w:rsid w:val="00891E3A"/>
    <w:rsid w:val="008C7FB0"/>
    <w:rsid w:val="008F3BE7"/>
    <w:rsid w:val="00A01D43"/>
    <w:rsid w:val="00A04717"/>
    <w:rsid w:val="00A7703E"/>
    <w:rsid w:val="00AA021E"/>
    <w:rsid w:val="00AD4320"/>
    <w:rsid w:val="00B11F7C"/>
    <w:rsid w:val="00B36692"/>
    <w:rsid w:val="00B77D52"/>
    <w:rsid w:val="00BF546F"/>
    <w:rsid w:val="00D31F43"/>
    <w:rsid w:val="00D542C4"/>
    <w:rsid w:val="00D66623"/>
    <w:rsid w:val="00DA07FB"/>
    <w:rsid w:val="00DA1E27"/>
    <w:rsid w:val="00E04955"/>
    <w:rsid w:val="00E61A08"/>
    <w:rsid w:val="00E87145"/>
    <w:rsid w:val="00E95393"/>
    <w:rsid w:val="00EB3E46"/>
    <w:rsid w:val="00F16219"/>
    <w:rsid w:val="00F7154E"/>
    <w:rsid w:val="00FA7C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B41C09"/>
  <w15:docId w15:val="{C7A8F175-538E-4BCC-BDD0-A62B98AF1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E61A08"/>
    <w:rPr>
      <w:color w:val="0000FF" w:themeColor="hyperlink"/>
      <w:u w:val="single"/>
    </w:rPr>
  </w:style>
  <w:style w:type="table" w:styleId="Tablaconcuadrcula">
    <w:name w:val="Table Grid"/>
    <w:basedOn w:val="Tablanormal"/>
    <w:rsid w:val="00797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33022"/>
    <w:pPr>
      <w:ind w:left="708"/>
    </w:pPr>
    <w:rPr>
      <w:lang w:eastAsia="en-US"/>
    </w:rPr>
  </w:style>
  <w:style w:type="paragraph" w:customStyle="1" w:styleId="Default">
    <w:name w:val="Default"/>
    <w:rsid w:val="008F3BE7"/>
    <w:pPr>
      <w:autoSpaceDE w:val="0"/>
      <w:autoSpaceDN w:val="0"/>
      <w:adjustRightInd w:val="0"/>
    </w:pPr>
    <w:rPr>
      <w:rFonts w:ascii="Calibri" w:eastAsiaTheme="minorHAnsi" w:hAnsi="Calibri" w:cs="Calibri"/>
      <w:color w:val="000000"/>
      <w:sz w:val="24"/>
      <w:szCs w:val="24"/>
      <w:lang w:eastAsia="en-US"/>
    </w:rPr>
  </w:style>
  <w:style w:type="table" w:customStyle="1" w:styleId="Tablaconcuadrcula1">
    <w:name w:val="Tabla con cuadrícula1"/>
    <w:basedOn w:val="Tablanormal"/>
    <w:next w:val="Tablaconcuadrcula"/>
    <w:uiPriority w:val="59"/>
    <w:rsid w:val="005A0B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3E79B0"/>
    <w:pPr>
      <w:tabs>
        <w:tab w:val="center" w:pos="4252"/>
        <w:tab w:val="right" w:pos="8504"/>
      </w:tabs>
    </w:pPr>
  </w:style>
  <w:style w:type="character" w:customStyle="1" w:styleId="EncabezadoCar">
    <w:name w:val="Encabezado Car"/>
    <w:basedOn w:val="Fuentedeprrafopredeter"/>
    <w:link w:val="Encabezado"/>
    <w:rsid w:val="003E79B0"/>
    <w:rPr>
      <w:sz w:val="24"/>
      <w:szCs w:val="24"/>
    </w:rPr>
  </w:style>
  <w:style w:type="paragraph" w:styleId="Piedepgina">
    <w:name w:val="footer"/>
    <w:basedOn w:val="Normal"/>
    <w:link w:val="PiedepginaCar"/>
    <w:unhideWhenUsed/>
    <w:rsid w:val="003E79B0"/>
    <w:pPr>
      <w:tabs>
        <w:tab w:val="center" w:pos="4252"/>
        <w:tab w:val="right" w:pos="8504"/>
      </w:tabs>
    </w:pPr>
  </w:style>
  <w:style w:type="character" w:customStyle="1" w:styleId="PiedepginaCar">
    <w:name w:val="Pie de página Car"/>
    <w:basedOn w:val="Fuentedeprrafopredeter"/>
    <w:link w:val="Piedepgina"/>
    <w:rsid w:val="003E79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2663148">
      <w:bodyDiv w:val="1"/>
      <w:marLeft w:val="0"/>
      <w:marRight w:val="0"/>
      <w:marTop w:val="0"/>
      <w:marBottom w:val="0"/>
      <w:divBdr>
        <w:top w:val="none" w:sz="0" w:space="0" w:color="auto"/>
        <w:left w:val="none" w:sz="0" w:space="0" w:color="auto"/>
        <w:bottom w:val="none" w:sz="0" w:space="0" w:color="auto"/>
        <w:right w:val="none" w:sz="0" w:space="0" w:color="auto"/>
      </w:divBdr>
    </w:div>
    <w:div w:id="322897294">
      <w:bodyDiv w:val="1"/>
      <w:marLeft w:val="0"/>
      <w:marRight w:val="0"/>
      <w:marTop w:val="0"/>
      <w:marBottom w:val="0"/>
      <w:divBdr>
        <w:top w:val="none" w:sz="0" w:space="0" w:color="auto"/>
        <w:left w:val="none" w:sz="0" w:space="0" w:color="auto"/>
        <w:bottom w:val="none" w:sz="0" w:space="0" w:color="auto"/>
        <w:right w:val="none" w:sz="0" w:space="0" w:color="auto"/>
      </w:divBdr>
    </w:div>
    <w:div w:id="758212443">
      <w:bodyDiv w:val="1"/>
      <w:marLeft w:val="0"/>
      <w:marRight w:val="0"/>
      <w:marTop w:val="0"/>
      <w:marBottom w:val="0"/>
      <w:divBdr>
        <w:top w:val="none" w:sz="0" w:space="0" w:color="auto"/>
        <w:left w:val="none" w:sz="0" w:space="0" w:color="auto"/>
        <w:bottom w:val="none" w:sz="0" w:space="0" w:color="auto"/>
        <w:right w:val="none" w:sz="0" w:space="0" w:color="auto"/>
      </w:divBdr>
    </w:div>
    <w:div w:id="187033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897</Words>
  <Characters>5276</Characters>
  <Application>Microsoft Office Word</Application>
  <DocSecurity>0</DocSecurity>
  <Lines>251</Lines>
  <Paragraphs>246</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Miqueleiz Garayoa, Javier (Economía y Hacienda)</dc:creator>
  <cp:lastModifiedBy>Aranaz, Carlota</cp:lastModifiedBy>
  <cp:revision>10</cp:revision>
  <dcterms:created xsi:type="dcterms:W3CDTF">2024-04-11T11:52:00Z</dcterms:created>
  <dcterms:modified xsi:type="dcterms:W3CDTF">2024-05-28T14:24:00Z</dcterms:modified>
</cp:coreProperties>
</file>