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1D8D" w14:textId="77777777" w:rsidR="00211860" w:rsidRDefault="00211860" w:rsidP="007A14AD">
      <w:pPr>
        <w:ind w:firstLine="540"/>
        <w:rPr>
          <w:rFonts w:cs="Arial"/>
          <w:color w:val="000000"/>
          <w:szCs w:val="24"/>
        </w:rPr>
      </w:pPr>
    </w:p>
    <w:p w14:paraId="2379C2EF" w14:textId="73974DAC" w:rsidR="00A45D78" w:rsidRDefault="00B07455" w:rsidP="00386D29">
      <w:pPr>
        <w:ind w:firstLine="540"/>
        <w:rPr>
          <w:rFonts w:cs="Arial"/>
        </w:rPr>
      </w:pPr>
      <w:r>
        <w:rPr>
          <w:color w:val="000000"/>
        </w:rPr>
        <w:t xml:space="preserve">UPN talde parlamentarioari atxikitako foru parlamentari</w:t>
      </w:r>
      <w:r>
        <w:rPr>
          <w:color w:val="000000"/>
        </w:rPr>
        <w:t xml:space="preserve"> Félix Zapatero Soria </w:t>
      </w:r>
      <w:r>
        <w:t xml:space="preserve">jaunak 11-24/PES-00161 galdera egin du, idatziz erantzun dakion, Aragoiko Los Borjas I eguzki parke fotovoltaikoari buruz. Hona hemen Landa Garapeneko eta Ingurumeneko kontseilariak horri buruz ematen dion informazioa:</w:t>
      </w:r>
    </w:p>
    <w:p w14:paraId="304E11AA" w14:textId="67991BEA" w:rsidR="00402205" w:rsidRPr="00386D29" w:rsidRDefault="00A45D78" w:rsidP="00386D29">
      <w:pPr>
        <w:ind w:firstLine="540"/>
        <w:rPr>
          <w:color w:val="000000"/>
          <w:szCs w:val="24"/>
          <w:rFonts w:cs="Arial"/>
        </w:rPr>
      </w:pPr>
      <w:r>
        <w:rPr>
          <w:color w:val="000000"/>
        </w:rPr>
        <w:t xml:space="preserve">2024ko otsailaren 8an Aragoiko 28. Aldizkari Ofizialean argitaratu zen Zaragozako Industria, Lehiakortasun eta Enpresa Garapeneko Zerbitzuaren iragarkia, zeinaren bidez jendaurrean jarri zen aldez aurreko administrazio baimena eta eraikuntza baimena eskuratzeko eskaera Los Borjas I deritzon eguzki instalazio fotovoltaikoa jartzeko eta Innovación Energética Sostenible SL enpresaren 11,459 Mw-ko Los Borjas I parke eolikoarekin hibridatzeko proiekturako (espedientea: G-Z-2023/1), eta interesdunei hilabeteko epea eman zitzaien alegazioak aurkezteko.</w:t>
      </w:r>
      <w:r>
        <w:rPr>
          <w:color w:val="000000"/>
        </w:rPr>
        <w:t xml:space="preserve"> </w:t>
      </w:r>
      <w:r>
        <w:rPr>
          <w:color w:val="000000"/>
        </w:rPr>
        <w:t xml:space="preserve">Nafarroako Gobernuaren Ingurumen Zuzendaritza Nagusiari ez zitzaion proiektu horren berri eman.</w:t>
      </w:r>
      <w:r>
        <w:rPr>
          <w:color w:val="000000"/>
        </w:rPr>
        <w:t xml:space="preserve"> </w:t>
      </w:r>
    </w:p>
    <w:p w14:paraId="68009654" w14:textId="220097CA" w:rsidR="00F10322" w:rsidRDefault="00402205" w:rsidP="00386D29">
      <w:pPr>
        <w:ind w:firstLine="540"/>
        <w:rPr>
          <w:color w:val="000000"/>
          <w:szCs w:val="24"/>
          <w:rFonts w:cs="Arial"/>
        </w:rPr>
      </w:pPr>
      <w:r>
        <w:rPr>
          <w:color w:val="000000"/>
        </w:rPr>
        <w:t xml:space="preserve">2024ko martxoaren 8an Nafarroako Gobernuaren Ingurumen Zuzendaritza Nagusiak txostena bidali zuen Zaragozako Industria, Lehiakortasun eta Enpresa Garapeneko Zerbitzura, Tarazonan Los Borjas I deritzon eguzki instalazio fotovoltaikoa jartzeko eta Innovación Energética Sostenible SL enpresaren 11,459 Mw-ko Los Borjas I parke eolikoarekin hibridatzeko proiekturako,aldez aurreko administrazio baimena eta eraikuntza baimena eskuratzeko eskaera jendaurrean jartzeko izapidearen baitan.</w:t>
      </w:r>
    </w:p>
    <w:p w14:paraId="4E3C4710" w14:textId="0BCBF08F" w:rsidR="00034135" w:rsidRPr="00386D29" w:rsidRDefault="00A45D78" w:rsidP="00386D29">
      <w:pPr>
        <w:ind w:firstLine="540"/>
        <w:rPr>
          <w:color w:val="000000"/>
          <w:szCs w:val="24"/>
          <w:rFonts w:cs="Arial"/>
        </w:rPr>
      </w:pPr>
      <w:r>
        <w:rPr>
          <w:color w:val="000000"/>
        </w:rPr>
        <w:t xml:space="preserve">Txostenaren edukia jaso da:</w:t>
      </w:r>
    </w:p>
    <w:p w14:paraId="797F1BBB" w14:textId="77777777" w:rsidR="00034135" w:rsidRDefault="00034135" w:rsidP="00402205">
      <w:pPr>
        <w:ind w:firstLine="709"/>
        <w:rPr>
          <w:rFonts w:cs="Arial"/>
          <w:i/>
        </w:rPr>
      </w:pPr>
    </w:p>
    <w:p w14:paraId="71C08437" w14:textId="29D85F10" w:rsidR="00402205" w:rsidRPr="004F5F2A" w:rsidRDefault="00A45D78" w:rsidP="00386D29">
      <w:pPr>
        <w:ind w:firstLine="709"/>
        <w:rPr>
          <w:i/>
          <w:rFonts w:cs="Arial"/>
        </w:rPr>
      </w:pPr>
      <w:r>
        <w:rPr>
          <w:i/>
        </w:rPr>
        <w:t xml:space="preserve">Zaragozako Industria, Lehiakortasun eta Enpresa Garapeneko Zerbitzu Probintzialak jendaurrean jarri du "Los Borjas I eta II"eguzki planta fotovoltaikoen proiektuen aurretiko administrazio baimenaren eta eraikuntza baimenaren eskaera, "Los Borjas I eta II” parke eolikoekin hibridatzeko. Sustatzailea Innovación Energética Sostenible SL enpresa da. Baimen horiek ebazteko organo substantibo eskuduna Aragoiko Gobernuko Ekonomia, Enplegu eta Industria Saileko Energia eta Meategien Zuzendaritza Nagusia da, eta Ingurumen Kudeaketako Aragoiko Institutuak ingurumen inpaktuaren adierazpena egin behar du.</w:t>
      </w:r>
    </w:p>
    <w:p w14:paraId="0281D61B" w14:textId="6CC3BCBB" w:rsidR="00402205" w:rsidRPr="004F5F2A" w:rsidRDefault="00402205" w:rsidP="00386D29">
      <w:pPr>
        <w:ind w:firstLine="709"/>
        <w:rPr>
          <w:i/>
          <w:rFonts w:cs="Arial"/>
        </w:rPr>
      </w:pPr>
      <w:r>
        <w:rPr>
          <w:i/>
        </w:rPr>
        <w:t xml:space="preserve">Ingurumen Zuzendaritza Nagusi honek (DGMA) adierazten du, bere foru araubidearen arabera, Nafarroak eskumen esklusiboa duela naturagune babestuen gainean, Nafarroako Foru Eraentza Berrezarri eta Hobetzeari buruzko abuztuaren 10eko 13/1982 Lege Organikoaren 50.d) artikuluaren arabera.</w:t>
      </w:r>
    </w:p>
    <w:p w14:paraId="49FF6C6D" w14:textId="77777777" w:rsidR="00402205" w:rsidRPr="004F5F2A" w:rsidRDefault="00402205" w:rsidP="00402205">
      <w:pPr>
        <w:ind w:firstLine="709"/>
        <w:rPr>
          <w:i/>
          <w:rFonts w:cs="Arial"/>
        </w:rPr>
      </w:pPr>
      <w:r>
        <w:rPr>
          <w:i/>
        </w:rPr>
        <w:t xml:space="preserve">Ingurumen ebaluazioari buruzko abenduaren 9ko 21/2013 Legeak ezarritako Natura 2000 Sarean izanen dituen ondorioak behar bezala ebaluatzeko, Administrazio honek kontuan hartu ditu Natura Ondareari eta Biodibertsitateari buruzko abenduaren 13ko 42/2007 Legearen 3. artikuluan ezarritako definizio hauek: "Espezie batentzako eremu kritikoa" eta "Espezie baten habitata”.</w:t>
      </w:r>
    </w:p>
    <w:p w14:paraId="66EF73C9" w14:textId="77777777" w:rsidR="00402205" w:rsidRPr="004F5F2A" w:rsidRDefault="00402205" w:rsidP="00402205">
      <w:pPr>
        <w:ind w:firstLine="709"/>
        <w:rPr>
          <w:i/>
          <w:rFonts w:cs="Arial"/>
        </w:rPr>
      </w:pPr>
      <w:r>
        <w:rPr>
          <w:i/>
        </w:rPr>
        <w:t xml:space="preserve">3. artikulua.</w:t>
      </w:r>
    </w:p>
    <w:p w14:paraId="0B39E3FA" w14:textId="77777777" w:rsidR="00402205" w:rsidRPr="004F5F2A" w:rsidRDefault="00402205" w:rsidP="00402205">
      <w:pPr>
        <w:ind w:firstLine="709"/>
        <w:rPr>
          <w:i/>
          <w:rFonts w:cs="Arial"/>
        </w:rPr>
      </w:pPr>
      <w:r>
        <w:rPr>
          <w:i/>
        </w:rPr>
        <w:t xml:space="preserve">2.</w:t>
      </w:r>
      <w:r>
        <w:rPr>
          <w:i/>
        </w:rPr>
        <w:t xml:space="preserve"> </w:t>
      </w:r>
      <w:r>
        <w:rPr>
          <w:i/>
        </w:rPr>
        <w:t xml:space="preserve">Espezie batentzako eremu kritikoa: banaketa eremuko sektore batzuk izaten dira, eta, haietan, espeziea ongi kontserbatzeko funtsezko habitatak egoten dira; edo egoera estrategikoan egoten dira espeziearentzat, eta egoki iraunarazi behar izaten zaie sektore horiei.</w:t>
      </w:r>
    </w:p>
    <w:p w14:paraId="5434DCA1" w14:textId="381BFFB5" w:rsidR="00034135" w:rsidRPr="004F5F2A" w:rsidRDefault="00402205" w:rsidP="00386D29">
      <w:pPr>
        <w:ind w:firstLine="709"/>
        <w:rPr>
          <w:i/>
          <w:rFonts w:cs="Arial"/>
        </w:rPr>
      </w:pPr>
      <w:r>
        <w:rPr>
          <w:i/>
        </w:rPr>
        <w:t xml:space="preserve">21.</w:t>
      </w:r>
      <w:r>
        <w:rPr>
          <w:i/>
        </w:rPr>
        <w:t xml:space="preserve"> </w:t>
      </w:r>
      <w:r>
        <w:rPr>
          <w:i/>
        </w:rPr>
        <w:t xml:space="preserve">Espezie baten habitata: faktore abiotiko eta biotiko espezifikoek baldintzatutako ingurunea; ingurune horretan bizi da espeziea bere bizi-zikloaren fase batean.</w:t>
      </w:r>
    </w:p>
    <w:p w14:paraId="3ECA1C95" w14:textId="252DA0B7" w:rsidR="00402205" w:rsidRPr="004F5F2A" w:rsidRDefault="00402205" w:rsidP="00386D29">
      <w:pPr>
        <w:ind w:firstLine="709"/>
        <w:rPr>
          <w:i/>
          <w:rFonts w:cs="Arial"/>
        </w:rPr>
      </w:pPr>
      <w:r>
        <w:rPr>
          <w:i/>
        </w:rPr>
        <w:t xml:space="preserve">Beraz, Ingurumen Zuzendaritza Nagusi honek Nafarroan izendatutako Natura 2000 Sareko guneetatik behar bezain hurbil dauden proiektu eta azpiegituren ingurumen ondorioen berri ematen du, haien kontserbazio helburuek proiektatutako jardueraren eraginez ondorio kaltegarri nabarmenak izaten ahal dituztelako.</w:t>
      </w:r>
    </w:p>
    <w:p w14:paraId="15656364" w14:textId="627B5DC7" w:rsidR="00402205" w:rsidRPr="004F5F2A" w:rsidRDefault="00402205" w:rsidP="00386D29">
      <w:pPr>
        <w:ind w:firstLine="709"/>
        <w:rPr>
          <w:i/>
          <w:rFonts w:cs="Arial"/>
        </w:rPr>
      </w:pPr>
      <w:r>
        <w:rPr>
          <w:i/>
        </w:rPr>
        <w:t xml:space="preserve">Ondorioz, uste da Nafarroari kontsulta egin behar zitzaiola, eragindako erakunde publikoa baita, aipatutako proiektuen ingurumen ebaluazioaren izapidean.</w:t>
      </w:r>
    </w:p>
    <w:p w14:paraId="60209416" w14:textId="77777777" w:rsidR="00386D29" w:rsidRDefault="00402205" w:rsidP="00386D29">
      <w:pPr>
        <w:ind w:firstLine="709"/>
        <w:rPr>
          <w:i/>
          <w:rFonts w:cs="Arial"/>
        </w:rPr>
      </w:pPr>
      <w:r>
        <w:rPr>
          <w:i/>
        </w:rPr>
        <w:t xml:space="preserve">"Los Borjas I eta II" eguzki instalazio fotovoltaikoak Nafarroako Foru Komunitatearen mugakide diren lurretan planteatzen dira, eta, zehazki, "Peñadil, Montecillo eta Monterrey" Kontserbazio Bereziko Eremuarekin eta izen bereko estepako hegazti-fauna kontserbatzeko eremu kritikoarekin. Eremu horretan, garrantzi handiko estepako hegazti-faunaren komunitate bat dago, eta, horien artean, honako hauek nabarmentzen dira: ganga iberiarreko populazioak, belatz gorria, ganga nahasia eta Duponteko hegala. Lehen biak galtzeko arriskuan daude, eta azken biak kalteberak dira, Nafarroako espezie mehatxatuen katalogoaren eta Arrainen Kudeaketari buruzko 21/2023 Foru Legearen azken xedapenetako bigarrenaren arabera.</w:t>
      </w:r>
      <w:r>
        <w:rPr>
          <w:i/>
        </w:rPr>
        <w:t xml:space="preserve"> </w:t>
      </w:r>
      <w:r>
        <w:rPr>
          <w:i/>
        </w:rPr>
        <w:t xml:space="preserve">Aurkeztutako ingurumen inpaktuari buruzko azterlanetan egiaztatu da espezie horiek badaudela instalazioak ezartzeko eremuan eta/edo haien ingurune hurbilean.</w:t>
      </w:r>
    </w:p>
    <w:p w14:paraId="3436BD12" w14:textId="5CDDED94" w:rsidR="00402205" w:rsidRPr="004F5F2A" w:rsidRDefault="00402205" w:rsidP="00386D29">
      <w:pPr>
        <w:ind w:firstLine="709"/>
        <w:rPr>
          <w:i/>
          <w:rFonts w:cs="Arial"/>
        </w:rPr>
      </w:pPr>
      <w:r>
        <w:rPr>
          <w:i/>
        </w:rPr>
        <w:t xml:space="preserve">Instalazioak jartzeko proposatutako eremua gune garrantzitsua da Estepako espezie horientzat, eta espezie horiek hartzeko gaitasuna du. Instalazio hori zuzenean eta berehala jartzeak eremu hori eta haren ingurunea galtzea dakar, espezie horientzat azalera erabilgarria den aldetik. Are gehiago kontuan hartzen bada espezie horiek sentsibilitate handia erakusten dutela jarduketak eta proiektuak egiteko orduan, eta, kasu askotan, jarduketetatik gertu dagoen ingurune zabal batean lurraldea uztea eragiten dutela, eta zeharkako beste eragin garrantzitsu batzuk eragiten dituztela (hesi-efektua, konektibitate-galera, eta abar).</w:t>
      </w:r>
    </w:p>
    <w:p w14:paraId="2AECD1D3" w14:textId="48F01B96" w:rsidR="00402205" w:rsidRPr="004F5F2A" w:rsidRDefault="00402205" w:rsidP="00386D29">
      <w:pPr>
        <w:ind w:firstLine="709"/>
        <w:rPr>
          <w:i/>
          <w:rFonts w:cs="Arial"/>
        </w:rPr>
      </w:pPr>
      <w:r>
        <w:rPr>
          <w:i/>
        </w:rPr>
        <w:t xml:space="preserve">Hori guztia are larriagoa da kontuan hartuz gero azken hamarkadetan estepako hegaztiak asko urritu direla Nafarroan, batez ere lehorreko laborantza-sail asko ureztatzen hasi direnetik; izan ere, nekazaritzaren intentsifikazioak landaredi naturala eta ertzetako landaretza suntsitu ditu, geroz eta ongarri eta produktu fitosanitario gehiago erabiltzen dira, azpiegiturak daude inguruan, eta horien guztien eraginpean dauden espezieak mehatxatuta daude.</w:t>
      </w:r>
    </w:p>
    <w:p w14:paraId="0B157E50" w14:textId="3E5F14A5" w:rsidR="0037547B" w:rsidRPr="00386D29" w:rsidRDefault="00402205" w:rsidP="00386D29">
      <w:pPr>
        <w:ind w:firstLine="709"/>
        <w:rPr>
          <w:i/>
          <w:rFonts w:cs="Arial"/>
        </w:rPr>
      </w:pPr>
      <w:r>
        <w:rPr>
          <w:i/>
        </w:rPr>
        <w:t xml:space="preserve">Beraz, jotzen da instalazioak jartzeak ingurumenean eragin nabarmena izatean ahal duela aurrez aipatutako estepako espezieetan, funtsezko elementua baitira "Peñadil, Montecillo eta Monterrey" Kontserbazio Bereziko Eremurako, eta, beraz, baita KBE horren kontserbazio egoeran ere. Beraz, Ingurumen Zuzendaritza Nagusi honen iritziz, ingurumenaren aldetik bideraezina da "Los Borjas I eta II" instalazioak jartzea.</w:t>
      </w:r>
    </w:p>
    <w:p w14:paraId="33D6FE82" w14:textId="5D6914C8" w:rsidR="00BC3A3A" w:rsidRPr="00A56CCF" w:rsidRDefault="00A56CCF" w:rsidP="00386D29">
      <w:pPr>
        <w:ind w:firstLine="540"/>
        <w:rPr>
          <w:color w:val="000000"/>
          <w:szCs w:val="24"/>
          <w:rFonts w:cs="Arial"/>
        </w:rPr>
      </w:pPr>
      <w:r>
        <w:rPr>
          <w:color w:val="000000"/>
        </w:rPr>
        <w:t xml:space="preserve">Hori guztia jakinarazten dut, Nafarroako Parlamentuko Erregelamenduaren 215. artikuluan ezarritakoa betez.</w:t>
      </w:r>
    </w:p>
    <w:p w14:paraId="683D32A8" w14:textId="234F373E" w:rsidR="006C093B" w:rsidRPr="00386D29" w:rsidRDefault="00A56CCF" w:rsidP="00A56CCF">
      <w:pPr>
        <w:rPr>
          <w:color w:val="000000"/>
          <w:szCs w:val="24"/>
          <w:rFonts w:cs="Arial"/>
        </w:rPr>
      </w:pPr>
      <w:r>
        <w:rPr>
          <w:color w:val="000000"/>
        </w:rPr>
        <w:t xml:space="preserve">Iruñean, 2024ko apirilaren 18an</w:t>
      </w:r>
    </w:p>
    <w:p w14:paraId="6B454ECF" w14:textId="0D6BDFB1" w:rsidR="00D77C2F" w:rsidRPr="00BF5807" w:rsidRDefault="00BF5807" w:rsidP="00BF5807">
      <w:pPr>
        <w:jc w:val="center"/>
        <w:outlineLvl w:val="0"/>
        <w:rPr>
          <w:sz w:val="22"/>
          <w:szCs w:val="22"/>
          <w:rFonts w:cs="Arial"/>
        </w:rPr>
      </w:pPr>
      <w:r>
        <w:t xml:space="preserve">Landa Garapeneko eta Ingurumeneko kontseilaria:</w:t>
      </w:r>
      <w:r>
        <w:rPr>
          <w:sz w:val="22"/>
        </w:rPr>
        <w:t xml:space="preserve"> </w:t>
      </w:r>
      <w:r>
        <w:rPr>
          <w:color w:val="000000"/>
        </w:rPr>
        <w:t xml:space="preserve">José María Aierdi Fernández de Barrena</w:t>
      </w:r>
    </w:p>
    <w:sectPr w:rsidR="00D77C2F" w:rsidRPr="00BF5807"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A155" w14:textId="77777777" w:rsidR="00402205" w:rsidRDefault="00402205" w:rsidP="00381BB8">
      <w:pPr>
        <w:pStyle w:val="Encabezado"/>
      </w:pPr>
      <w:r>
        <w:separator/>
      </w:r>
    </w:p>
  </w:endnote>
  <w:endnote w:type="continuationSeparator" w:id="0">
    <w:p w14:paraId="259F0D62" w14:textId="77777777" w:rsidR="00402205" w:rsidRDefault="00402205"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3B8E"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402205">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C84C" w14:textId="77777777" w:rsidR="00402205" w:rsidRDefault="00402205" w:rsidP="00381BB8">
      <w:pPr>
        <w:pStyle w:val="Encabezado"/>
      </w:pPr>
      <w:r>
        <w:separator/>
      </w:r>
    </w:p>
  </w:footnote>
  <w:footnote w:type="continuationSeparator" w:id="0">
    <w:p w14:paraId="1703EE81" w14:textId="77777777" w:rsidR="00402205" w:rsidRDefault="00402205"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5D71" w14:textId="66E36E52"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10794773">
    <w:abstractNumId w:val="7"/>
  </w:num>
  <w:num w:numId="2" w16cid:durableId="296299686">
    <w:abstractNumId w:val="3"/>
  </w:num>
  <w:num w:numId="3" w16cid:durableId="1394769801">
    <w:abstractNumId w:val="8"/>
  </w:num>
  <w:num w:numId="4" w16cid:durableId="2093624423">
    <w:abstractNumId w:val="14"/>
  </w:num>
  <w:num w:numId="5" w16cid:durableId="1894924289">
    <w:abstractNumId w:val="1"/>
  </w:num>
  <w:num w:numId="6" w16cid:durableId="1042050971">
    <w:abstractNumId w:val="13"/>
  </w:num>
  <w:num w:numId="7" w16cid:durableId="518932372">
    <w:abstractNumId w:val="5"/>
  </w:num>
  <w:num w:numId="8" w16cid:durableId="404112165">
    <w:abstractNumId w:val="4"/>
  </w:num>
  <w:num w:numId="9" w16cid:durableId="1956792109">
    <w:abstractNumId w:val="6"/>
  </w:num>
  <w:num w:numId="10" w16cid:durableId="14084606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34853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286352">
    <w:abstractNumId w:val="15"/>
  </w:num>
  <w:num w:numId="13" w16cid:durableId="1365593871">
    <w:abstractNumId w:val="2"/>
  </w:num>
  <w:num w:numId="14" w16cid:durableId="1591043292">
    <w:abstractNumId w:val="12"/>
  </w:num>
  <w:num w:numId="15" w16cid:durableId="1453860921">
    <w:abstractNumId w:val="0"/>
  </w:num>
  <w:num w:numId="16" w16cid:durableId="1782069400">
    <w:abstractNumId w:val="9"/>
  </w:num>
  <w:num w:numId="17" w16cid:durableId="925501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05"/>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4135"/>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45DD"/>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6D29"/>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205"/>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5F2A"/>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006"/>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5D78"/>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053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8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1FD"/>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0322"/>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0C4641"/>
  <w15:chartTrackingRefBased/>
  <w15:docId w15:val="{AA35CC10-643B-4228-93E2-5CC67703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TotalTime>
  <Pages>4</Pages>
  <Words>1016</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6</cp:revision>
  <cp:lastPrinted>2018-10-15T10:28:00Z</cp:lastPrinted>
  <dcterms:created xsi:type="dcterms:W3CDTF">2024-04-19T07:47:00Z</dcterms:created>
  <dcterms:modified xsi:type="dcterms:W3CDTF">2024-04-19T07:57:00Z</dcterms:modified>
</cp:coreProperties>
</file>