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D9C7D" w14:textId="3554F8F7" w:rsidR="000564EE" w:rsidRDefault="000564EE" w:rsidP="000564EE">
      <w:r>
        <w:t xml:space="preserve">Nafarroako Alderdi Popularrari atxikitako foru parlamentari María Isabel García Malo andreak idatziz erantzuteko galdera egin du –2024ko apirilaren 15eko 202402948 irteera zenbakia du Nafarroako Parlamentuan– (11-24/PES-182), informazioa eskatzeko Nafarroako Kontuen Ganberak fundazio publikoaren figura erabiltzeko egindako gomendioaren harira, Gizarte Zerbitzuen Fundazio Publikoa sortzeko prozedurari lotuta, bere horretan duen izaera juridikoaren araberakoa denean eta Ekonomia eta Ogasun Departamentuak egiten duen interpretazioari buruz eta gomendio hori egiteko baliatutako tresnei buruz. Hona hemen Ekonomia eta Ogasun Departamentuko kontseilariak horri guztiari buruz ematen dion informazioa</w:t>
      </w:r>
    </w:p>
    <w:p w14:paraId="50C901AC" w14:textId="6759C719" w:rsidR="000564EE" w:rsidRDefault="000564EE" w:rsidP="000564EE">
      <w:r>
        <w:t xml:space="preserve">Ekonomia eta Ogasun Departamentuak gomendio horren harira egiten duen interpretazioari dagokionez, adierazi behar da Gobernuak ez duela eskumenik interpretazioak egiteko, eta araudia bete-betean betetzen dela zaintzea dela bere eskumena.</w:t>
      </w:r>
      <w:r>
        <w:t xml:space="preserve"> </w:t>
      </w:r>
      <w:r>
        <w:t xml:space="preserve">Ildo horretatik, fundazio publikoaren figurak Nafarroako Fundazioei buruzko ekainaren 30eko 13/2021 Foru Legeak ezarritakoarekin bat etorri behar du, bertan adierazten baita fundazioak irabazteko asmorik gabeko pertsona juridikoak direla, beren ondarea interes orokorreko xedeak betetzera lotuta dutenak, modu iraunkorrean.</w:t>
      </w:r>
    </w:p>
    <w:p w14:paraId="47B21C57" w14:textId="77777777" w:rsidR="000564EE" w:rsidRDefault="000564EE" w:rsidP="000564EE">
      <w:r>
        <w:t xml:space="preserve">Gomendioa betetzeko baliatutako tresnei buruzko bigarren gaiari dagokionez, Nafarroako Ogasun Publikoari buruzko apirilaren 13ko 13/2007 Foru Legeak ezartzen duenez, Foru Komunitateko Administrazioan, bere erakunde publikoetan, fundazio publikoetan eta sozietate publikoetan, barne kontrola Ekonomia eta Ogasun Departamentuaren kargura da, eta Kontu-hartzailetza Nagusiaren bidez gauzatzen da, Foru Lege horretan eta erregelamenduzko xedapenetan ezartzen denarekin bat.</w:t>
      </w:r>
    </w:p>
    <w:p w14:paraId="24B6DEB8" w14:textId="0A7E8B2D" w:rsidR="00D24D98" w:rsidRDefault="000564EE" w:rsidP="000564EE">
      <w:r>
        <w:t xml:space="preserve">Kontrol hori egiteko kontu-hartzailetzaren eginkizuna gauzatzen da, finantzen etengabeko kontrola egiten da eta auditoretza publikoa ere bai.</w:t>
      </w:r>
    </w:p>
    <w:p w14:paraId="787C1CEE" w14:textId="77777777" w:rsidR="000564EE" w:rsidRDefault="000564EE" w:rsidP="000564EE">
      <w:r>
        <w:t xml:space="preserve">Horrela, Kontu-hartzailetza Nagusiak, fundazio bat sortzea baimentzen duen espedientea fiskalizatzean, zaindu behar du figura juridikoa behar bezala erabiltzen dela.</w:t>
      </w:r>
      <w:r>
        <w:t xml:space="preserve"> </w:t>
      </w:r>
      <w:r>
        <w:t xml:space="preserve">Hain zuzen ere, galderan hizpide den kasu zehatzean, alderdi hori analizatu eta horri buruz ondorioak atera ziren.</w:t>
      </w:r>
      <w:r>
        <w:t xml:space="preserve"> </w:t>
      </w:r>
      <w:r>
        <w:t xml:space="preserve">Bestalde, Ekonomia eta Ogasun Departamentua erregelamenduz garatzen ari da etengabeko ikuskapena, Nafarroako Foru Komunitateko Administrazioari eta foru-sektore publiko instituzionalari buruzko martxoaren 11ko 11/2019 Foru Legearen 42. artikuluak ezartzen duenarekin bat.</w:t>
      </w:r>
    </w:p>
    <w:p w14:paraId="4F73B471" w14:textId="7AE801EF" w:rsidR="000564EE" w:rsidRDefault="000564EE" w:rsidP="000564EE">
      <w:r>
        <w:t xml:space="preserve">Aipatutako arauaren arabera, etengabeko ikuskapenak xedetzat du “egiaztatzea beren horretan dirautela haien sorkuntza justifikatu zuten arrazoiek, eta finantzarioki jasangarriak direla, haien jardunaren bitartez erdietsitako lorpenak kontuan hartuz gero. Halaber, ikuskapenak zenbait mantentze-, eraldatze- edo azkentze-proposamen jaso beharko ditu adierazita.</w:t>
      </w:r>
      <w:r>
        <w:t xml:space="preserve"> </w:t>
      </w:r>
      <w:r>
        <w:t xml:space="preserve">Herritarren iritzia ere jasoko du, kanpoko zerbitzuen ematearen kasuetan”.</w:t>
      </w:r>
    </w:p>
    <w:p w14:paraId="7978A37D" w14:textId="77777777" w:rsidR="000564EE" w:rsidRDefault="000564EE" w:rsidP="000564EE">
      <w:r>
        <w:t xml:space="preserve">Horrenbestez, Departamentu honek, Kontu-hartzailetza Nagusiaren bidez, kontrolatu egiten du Fundazio Publikoaren figuraren erabilera egokia egiten dela, kasua bada egoki diren gomendioak emanda.</w:t>
      </w:r>
    </w:p>
    <w:p w14:paraId="392B9AD2" w14:textId="175B83A1" w:rsidR="000564EE" w:rsidRDefault="000564EE" w:rsidP="000564EE">
      <w:r>
        <w:t xml:space="preserve">Hori guztia jakinarazten dizut, Nafarroako Parlamentuko Erregelamenduaren 215. artikuluan xedatutakoa betez.</w:t>
      </w:r>
    </w:p>
    <w:p w14:paraId="18A7766F" w14:textId="3107F6D1" w:rsidR="000564EE" w:rsidRDefault="000564EE" w:rsidP="000564EE">
      <w:r>
        <w:t xml:space="preserve">Iruñean, 2024ko maiatzaren 7an</w:t>
      </w:r>
    </w:p>
    <w:p w14:paraId="320B3CE4" w14:textId="5BE666F0" w:rsidR="000564EE" w:rsidRDefault="000564EE" w:rsidP="000564EE">
      <w:r>
        <w:t xml:space="preserve">Ekonomia eta Ogasun kontseilaria:</w:t>
      </w:r>
      <w:r>
        <w:t xml:space="preserve"> </w:t>
      </w:r>
      <w:r>
        <w:t xml:space="preserve">José Luis Arasti Pérez</w:t>
      </w:r>
    </w:p>
    <w:sectPr w:rsidR="000564EE" w:rsidSect="000564EE">
      <w:pgSz w:w="11906" w:h="16838"/>
      <w:pgMar w:top="1417" w:right="707"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EE"/>
    <w:rsid w:val="000564EE"/>
    <w:rsid w:val="00263371"/>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BA75"/>
  <w15:chartTrackingRefBased/>
  <w15:docId w15:val="{8FCB28D0-81CB-433E-B06C-143B755D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6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6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64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64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64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6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6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6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64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4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64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64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64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64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64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64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64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64EE"/>
    <w:rPr>
      <w:rFonts w:eastAsiaTheme="majorEastAsia" w:cstheme="majorBidi"/>
      <w:color w:val="272727" w:themeColor="text1" w:themeTint="D8"/>
    </w:rPr>
  </w:style>
  <w:style w:type="paragraph" w:styleId="Ttulo">
    <w:name w:val="Title"/>
    <w:basedOn w:val="Normal"/>
    <w:next w:val="Normal"/>
    <w:link w:val="TtuloCar"/>
    <w:uiPriority w:val="10"/>
    <w:qFormat/>
    <w:rsid w:val="00056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6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64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64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64EE"/>
    <w:pPr>
      <w:spacing w:before="160"/>
      <w:jc w:val="center"/>
    </w:pPr>
    <w:rPr>
      <w:i/>
      <w:iCs/>
      <w:color w:val="404040" w:themeColor="text1" w:themeTint="BF"/>
    </w:rPr>
  </w:style>
  <w:style w:type="character" w:customStyle="1" w:styleId="CitaCar">
    <w:name w:val="Cita Car"/>
    <w:basedOn w:val="Fuentedeprrafopredeter"/>
    <w:link w:val="Cita"/>
    <w:uiPriority w:val="29"/>
    <w:rsid w:val="000564EE"/>
    <w:rPr>
      <w:i/>
      <w:iCs/>
      <w:color w:val="404040" w:themeColor="text1" w:themeTint="BF"/>
    </w:rPr>
  </w:style>
  <w:style w:type="paragraph" w:styleId="Prrafodelista">
    <w:name w:val="List Paragraph"/>
    <w:basedOn w:val="Normal"/>
    <w:uiPriority w:val="34"/>
    <w:qFormat/>
    <w:rsid w:val="000564EE"/>
    <w:pPr>
      <w:ind w:left="720"/>
      <w:contextualSpacing/>
    </w:pPr>
  </w:style>
  <w:style w:type="character" w:styleId="nfasisintenso">
    <w:name w:val="Intense Emphasis"/>
    <w:basedOn w:val="Fuentedeprrafopredeter"/>
    <w:uiPriority w:val="21"/>
    <w:qFormat/>
    <w:rsid w:val="000564EE"/>
    <w:rPr>
      <w:i/>
      <w:iCs/>
      <w:color w:val="0F4761" w:themeColor="accent1" w:themeShade="BF"/>
    </w:rPr>
  </w:style>
  <w:style w:type="paragraph" w:styleId="Citadestacada">
    <w:name w:val="Intense Quote"/>
    <w:basedOn w:val="Normal"/>
    <w:next w:val="Normal"/>
    <w:link w:val="CitadestacadaCar"/>
    <w:uiPriority w:val="30"/>
    <w:qFormat/>
    <w:rsid w:val="00056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64EE"/>
    <w:rPr>
      <w:i/>
      <w:iCs/>
      <w:color w:val="0F4761" w:themeColor="accent1" w:themeShade="BF"/>
    </w:rPr>
  </w:style>
  <w:style w:type="character" w:styleId="Referenciaintensa">
    <w:name w:val="Intense Reference"/>
    <w:basedOn w:val="Fuentedeprrafopredeter"/>
    <w:uiPriority w:val="32"/>
    <w:qFormat/>
    <w:rsid w:val="00056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2949</Characters>
  <Application>Microsoft Office Word</Application>
  <DocSecurity>0</DocSecurity>
  <Lines>24</Lines>
  <Paragraphs>6</Paragraphs>
  <ScaleCrop>false</ScaleCrop>
  <Company>Hewlett-Packard Company</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2024-05-08T08:05:00Z</dcterms:created>
  <dcterms:modified xsi:type="dcterms:W3CDTF">2024-05-08T08:07:00Z</dcterms:modified>
</cp:coreProperties>
</file>