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7C5A" w14:textId="354569DA" w:rsidR="00670BF2" w:rsidRDefault="00F669A0" w:rsidP="00F669A0">
      <w:pPr>
        <w:spacing w:line="360" w:lineRule="auto"/>
        <w:jc w:val="both"/>
        <w:rPr>
          <w:rFonts w:ascii="Arial" w:hAnsi="Arial" w:cs="Arial"/>
          <w:sz w:val="24"/>
          <w:szCs w:val="24"/>
        </w:rPr>
      </w:pPr>
      <w:r>
        <w:rPr>
          <w:rFonts w:ascii="Arial" w:hAnsi="Arial"/>
          <w:sz w:val="24"/>
        </w:rPr>
        <w:t>Nafarroako Alderdi Popularrari atxikitako foru parlamentari Maribel García Malo andreak galdera hau egin du, idatziz erantzun dakion (11-24/PES-00183):</w:t>
      </w:r>
    </w:p>
    <w:p w14:paraId="333D50AC" w14:textId="77777777" w:rsidR="00670BF2" w:rsidRDefault="00F669A0" w:rsidP="00A76B79">
      <w:pPr>
        <w:pStyle w:val="Prrafodelista"/>
        <w:numPr>
          <w:ilvl w:val="0"/>
          <w:numId w:val="1"/>
        </w:numPr>
        <w:spacing w:line="360" w:lineRule="auto"/>
        <w:jc w:val="both"/>
        <w:rPr>
          <w:rFonts w:ascii="Arial" w:hAnsi="Arial" w:cs="Arial"/>
          <w:sz w:val="24"/>
          <w:szCs w:val="24"/>
        </w:rPr>
      </w:pPr>
      <w:r>
        <w:rPr>
          <w:rFonts w:ascii="Arial" w:hAnsi="Arial"/>
          <w:sz w:val="24"/>
        </w:rPr>
        <w:t>Eskubide Sozialetako, Ekonomia Sozialeko eta Enpleguko Departamentua nola egiten ari da eraginkortasunaren gaineko kontrola entitatearen jardueraren helburuak nola bete diren ebaluatzeko? Zer tresna erabiltzen ari da horretarako?</w:t>
      </w:r>
    </w:p>
    <w:p w14:paraId="5EDC6273" w14:textId="77777777" w:rsidR="00670BF2" w:rsidRDefault="00A76B79" w:rsidP="00F669A0">
      <w:pPr>
        <w:spacing w:line="360" w:lineRule="auto"/>
        <w:jc w:val="both"/>
        <w:rPr>
          <w:rFonts w:ascii="Arial" w:hAnsi="Arial" w:cs="Arial"/>
          <w:sz w:val="24"/>
          <w:szCs w:val="24"/>
        </w:rPr>
      </w:pPr>
      <w:r>
        <w:rPr>
          <w:rFonts w:ascii="Arial" w:hAnsi="Arial"/>
          <w:sz w:val="24"/>
        </w:rPr>
        <w:t>Hona Nafarroako Gobernuko Eskubide Sozialetako, Ekonomia Sozialeko eta Enpleguko kontseilariak horri buruz ematen duen informazioa:</w:t>
      </w:r>
    </w:p>
    <w:p w14:paraId="3BC0B8FB" w14:textId="77777777" w:rsidR="00670BF2" w:rsidRDefault="00107BEF" w:rsidP="00F669A0">
      <w:pPr>
        <w:spacing w:line="360" w:lineRule="auto"/>
        <w:jc w:val="both"/>
        <w:rPr>
          <w:rFonts w:ascii="Arial" w:hAnsi="Arial" w:cs="Arial"/>
          <w:sz w:val="24"/>
          <w:szCs w:val="24"/>
        </w:rPr>
      </w:pPr>
      <w:r>
        <w:rPr>
          <w:rFonts w:ascii="Arial" w:hAnsi="Arial"/>
          <w:sz w:val="24"/>
        </w:rPr>
        <w:t>Jarraian jasota daude gaur egun erabiltzen diren askotariko tresnak eraginkortasunaren gaineko kontrola egiteko entitatearen jardueraren helburuak nola bete diren ebaluatzeko.</w:t>
      </w:r>
    </w:p>
    <w:p w14:paraId="1F0C9760" w14:textId="47B9BE27" w:rsidR="00107BEF" w:rsidRPr="00107BEF" w:rsidRDefault="00107BEF" w:rsidP="00F669A0">
      <w:pPr>
        <w:spacing w:line="360" w:lineRule="auto"/>
        <w:jc w:val="both"/>
        <w:rPr>
          <w:rFonts w:ascii="Arial" w:hAnsi="Arial" w:cs="Arial"/>
          <w:b/>
          <w:sz w:val="24"/>
          <w:szCs w:val="24"/>
        </w:rPr>
      </w:pPr>
      <w:r>
        <w:rPr>
          <w:rFonts w:ascii="Arial" w:hAnsi="Arial"/>
          <w:b/>
          <w:sz w:val="24"/>
        </w:rPr>
        <w:t>Kudeaketako enkargu instituzional bakoitzerako:</w:t>
      </w:r>
    </w:p>
    <w:p w14:paraId="4117F8FE" w14:textId="77777777" w:rsidR="00107BEF" w:rsidRDefault="00107BEF" w:rsidP="00107BEF">
      <w:pPr>
        <w:pStyle w:val="Prrafodelista"/>
        <w:numPr>
          <w:ilvl w:val="0"/>
          <w:numId w:val="1"/>
        </w:numPr>
        <w:spacing w:line="360" w:lineRule="auto"/>
        <w:jc w:val="both"/>
        <w:rPr>
          <w:rFonts w:ascii="Arial" w:hAnsi="Arial" w:cs="Arial"/>
          <w:sz w:val="24"/>
          <w:szCs w:val="24"/>
        </w:rPr>
      </w:pPr>
      <w:r>
        <w:rPr>
          <w:rFonts w:ascii="Arial" w:hAnsi="Arial"/>
          <w:sz w:val="24"/>
        </w:rPr>
        <w:t>Gizain Fundazioko Patronatuak kasuan kasuko aurrekontua onesten du –gehieneko gastuaren muga– (banakatuta zehazten da zentroko/zerbitzuetako langileen kostuekin, zentroaren/zerbitzuaren funtzionamendu gastu orokorrekin, Gizain Fundazioaren egituraren gastu egozgarriekin). Oro har aribideko urteko irailean, aribideko urteko abendutik hurrengo urteko azarora bitarteko enkargurako.</w:t>
      </w:r>
    </w:p>
    <w:p w14:paraId="4FB80E2D" w14:textId="77777777" w:rsidR="00107BEF" w:rsidRDefault="00107BEF" w:rsidP="00107BEF">
      <w:pPr>
        <w:pStyle w:val="Prrafodelista"/>
        <w:numPr>
          <w:ilvl w:val="0"/>
          <w:numId w:val="1"/>
        </w:numPr>
        <w:spacing w:line="360" w:lineRule="auto"/>
        <w:jc w:val="both"/>
        <w:rPr>
          <w:rFonts w:ascii="Arial" w:hAnsi="Arial" w:cs="Arial"/>
          <w:sz w:val="24"/>
          <w:szCs w:val="24"/>
        </w:rPr>
      </w:pPr>
      <w:r>
        <w:rPr>
          <w:rFonts w:ascii="Arial" w:hAnsi="Arial"/>
          <w:sz w:val="24"/>
        </w:rPr>
        <w:t>Gerora arlo nahiz zuzendaritza bakoitzarekin egokitzen dira aurrekontua eta enkargua gauzatzeko baldintza teknikoak (Pertsonen Autonomiarako eta Garapenerako Nafarroako Agentziarekin adingabeentzako zentroetako kudeaketako enkarguak eta Babes Sozialaren eta Garapenerako Lankidetzaren Zuzendaritza Nagusiarekin, berriz gizarte zerbitzuen zentroetako eta BGDS/EB izapidetzeko unitateetako kudeaketako enkarguak). Arlo nahiz zuzendaritza bakoitzak enkargu instituzionalaren kasuan kasuko ebazpena eta gauzatzeko baldintzak jasotzen dituen dokumentua ematen ditu.</w:t>
      </w:r>
    </w:p>
    <w:p w14:paraId="6304AF62" w14:textId="77777777" w:rsidR="00107BEF" w:rsidRPr="00107BEF" w:rsidRDefault="00107BEF" w:rsidP="00107BEF">
      <w:pPr>
        <w:spacing w:line="360" w:lineRule="auto"/>
        <w:jc w:val="both"/>
        <w:rPr>
          <w:rFonts w:ascii="Arial" w:hAnsi="Arial" w:cs="Arial"/>
          <w:b/>
          <w:sz w:val="24"/>
          <w:szCs w:val="24"/>
        </w:rPr>
      </w:pPr>
      <w:r>
        <w:rPr>
          <w:rFonts w:ascii="Arial" w:hAnsi="Arial"/>
          <w:b/>
          <w:sz w:val="24"/>
        </w:rPr>
        <w:t>Enkargu instituzionalen garapenaren kontrola eta ikuskapena:</w:t>
      </w:r>
    </w:p>
    <w:p w14:paraId="45C9370A" w14:textId="77777777" w:rsidR="00107BEF" w:rsidRDefault="00107BEF" w:rsidP="00107BEF">
      <w:pPr>
        <w:pStyle w:val="Prrafodelista"/>
        <w:numPr>
          <w:ilvl w:val="0"/>
          <w:numId w:val="2"/>
        </w:numPr>
        <w:spacing w:line="360" w:lineRule="auto"/>
        <w:jc w:val="both"/>
        <w:rPr>
          <w:rFonts w:ascii="Arial" w:hAnsi="Arial" w:cs="Arial"/>
          <w:sz w:val="24"/>
          <w:szCs w:val="24"/>
        </w:rPr>
      </w:pPr>
      <w:r>
        <w:rPr>
          <w:rFonts w:ascii="Arial" w:hAnsi="Arial"/>
          <w:b/>
          <w:sz w:val="24"/>
        </w:rPr>
        <w:t>Gizain Fundazioarekin departamentuarteko koordinaziorako Zuzendaritza Batzordea</w:t>
      </w:r>
      <w:r>
        <w:rPr>
          <w:rFonts w:ascii="Arial" w:hAnsi="Arial"/>
          <w:sz w:val="24"/>
        </w:rPr>
        <w:t xml:space="preserve"> arduratuko da enkargua behar bezala betetzen dela kontrolatu eta jarraipena egiteaz, ezertan galarazi gabe ekipo nahiz zentro bakoitzak koordinatzeko eta jarraipen teknikoa egiteko sistema. Zentroetako kontu-hartzailetza arloetan eskumena duten unitate </w:t>
      </w:r>
      <w:r>
        <w:rPr>
          <w:rFonts w:ascii="Arial" w:hAnsi="Arial"/>
          <w:sz w:val="24"/>
        </w:rPr>
        <w:lastRenderedPageBreak/>
        <w:t>organikoen ordezkariak izanen ditu Batzordeak, eta honako hauek osatuko ute:</w:t>
      </w:r>
    </w:p>
    <w:p w14:paraId="53515ED0" w14:textId="7D5A7756"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Babes Sozialaren eta Garapenerako Lankidetzaren zuzendari nagusia</w:t>
      </w:r>
      <w:r w:rsidR="0091072E">
        <w:rPr>
          <w:rFonts w:ascii="Arial" w:hAnsi="Arial"/>
          <w:sz w:val="24"/>
        </w:rPr>
        <w:t>.</w:t>
      </w:r>
    </w:p>
    <w:p w14:paraId="73AF25C7" w14:textId="49AF7205"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Pertsonen Autonomiarako eta Garapenerako Nafarroako Agentziaren zuzendari kudeatzailea</w:t>
      </w:r>
      <w:r w:rsidR="0091072E">
        <w:rPr>
          <w:rFonts w:ascii="Arial" w:hAnsi="Arial"/>
          <w:sz w:val="24"/>
        </w:rPr>
        <w:t>.</w:t>
      </w:r>
    </w:p>
    <w:p w14:paraId="214949CB" w14:textId="6AB6102B"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Familiaren eta Adingabeen zuzendariordea</w:t>
      </w:r>
      <w:r w:rsidR="0091072E">
        <w:rPr>
          <w:rFonts w:ascii="Arial" w:hAnsi="Arial"/>
          <w:sz w:val="24"/>
        </w:rPr>
        <w:t>.</w:t>
      </w:r>
    </w:p>
    <w:p w14:paraId="13A0A606" w14:textId="6597201B"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Nafarroako Berdintasunerako Institutuaren zuzendaria</w:t>
      </w:r>
      <w:r w:rsidR="0091072E">
        <w:rPr>
          <w:rFonts w:ascii="Arial" w:hAnsi="Arial"/>
          <w:sz w:val="24"/>
        </w:rPr>
        <w:t>.</w:t>
      </w:r>
    </w:p>
    <w:p w14:paraId="150DED47" w14:textId="71B78785"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Oinarrizko Laguntzaren eta Gizarteratze-lanaren Zerbitzuko zuzendaria</w:t>
      </w:r>
      <w:r w:rsidR="0091072E">
        <w:rPr>
          <w:rFonts w:ascii="Arial" w:hAnsi="Arial"/>
          <w:sz w:val="24"/>
        </w:rPr>
        <w:t>.</w:t>
      </w:r>
    </w:p>
    <w:p w14:paraId="52548001" w14:textId="28D6DFBF"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Gizain Fundazioaren zuzendari kudeatzailea</w:t>
      </w:r>
      <w:r w:rsidR="0091072E">
        <w:rPr>
          <w:rFonts w:ascii="Arial" w:hAnsi="Arial"/>
          <w:sz w:val="24"/>
        </w:rPr>
        <w:t>.</w:t>
      </w:r>
    </w:p>
    <w:p w14:paraId="0EBF7D95" w14:textId="5652618D" w:rsidR="00107BEF" w:rsidRDefault="00107BEF" w:rsidP="00670BF2">
      <w:pPr>
        <w:pStyle w:val="Prrafodelista"/>
        <w:numPr>
          <w:ilvl w:val="0"/>
          <w:numId w:val="9"/>
        </w:numPr>
        <w:spacing w:line="360" w:lineRule="auto"/>
        <w:jc w:val="both"/>
        <w:rPr>
          <w:rFonts w:ascii="Arial" w:hAnsi="Arial" w:cs="Arial"/>
          <w:sz w:val="24"/>
          <w:szCs w:val="24"/>
        </w:rPr>
      </w:pPr>
      <w:r>
        <w:rPr>
          <w:rFonts w:ascii="Arial" w:hAnsi="Arial"/>
          <w:sz w:val="24"/>
        </w:rPr>
        <w:t>Gizain Fundazioaren zuzendari teknikoa</w:t>
      </w:r>
      <w:r w:rsidR="0091072E">
        <w:rPr>
          <w:rFonts w:ascii="Arial" w:hAnsi="Arial"/>
          <w:sz w:val="24"/>
        </w:rPr>
        <w:t>.</w:t>
      </w:r>
    </w:p>
    <w:p w14:paraId="750FE105" w14:textId="77777777" w:rsidR="00670BF2" w:rsidRDefault="00107BEF" w:rsidP="00107BEF">
      <w:pPr>
        <w:spacing w:line="360" w:lineRule="auto"/>
        <w:ind w:left="1080"/>
        <w:jc w:val="both"/>
        <w:rPr>
          <w:rFonts w:ascii="Arial" w:hAnsi="Arial" w:cs="Arial"/>
          <w:sz w:val="24"/>
          <w:szCs w:val="24"/>
        </w:rPr>
      </w:pPr>
      <w:r>
        <w:rPr>
          <w:rFonts w:ascii="Arial" w:hAnsi="Arial"/>
          <w:sz w:val="24"/>
        </w:rPr>
        <w:t>(Batzordeak urtean bi aldiz ditu bilerak)</w:t>
      </w:r>
    </w:p>
    <w:p w14:paraId="63806584" w14:textId="6B8554B7" w:rsidR="00641619" w:rsidRPr="00203F13" w:rsidRDefault="00641619" w:rsidP="00203F13">
      <w:pPr>
        <w:pStyle w:val="Prrafodelista"/>
        <w:numPr>
          <w:ilvl w:val="0"/>
          <w:numId w:val="2"/>
        </w:numPr>
        <w:spacing w:line="360" w:lineRule="auto"/>
        <w:jc w:val="both"/>
        <w:rPr>
          <w:rFonts w:ascii="Arial" w:hAnsi="Arial" w:cs="Arial"/>
          <w:sz w:val="24"/>
          <w:szCs w:val="24"/>
        </w:rPr>
      </w:pPr>
      <w:r>
        <w:rPr>
          <w:rFonts w:ascii="Arial" w:hAnsi="Arial"/>
          <w:b/>
          <w:sz w:val="24"/>
        </w:rPr>
        <w:t>Kontrol eta jarraipen teknikoko mekanismoak</w:t>
      </w:r>
      <w:r>
        <w:rPr>
          <w:rFonts w:ascii="Arial" w:hAnsi="Arial"/>
          <w:sz w:val="24"/>
        </w:rPr>
        <w:t xml:space="preserve"> honen bidez egiten dira:</w:t>
      </w:r>
    </w:p>
    <w:p w14:paraId="4FC3733C" w14:textId="77777777" w:rsidR="00641619" w:rsidRDefault="00641619" w:rsidP="00641619">
      <w:pPr>
        <w:pStyle w:val="Prrafodelista"/>
        <w:spacing w:line="360" w:lineRule="auto"/>
        <w:jc w:val="both"/>
        <w:rPr>
          <w:rFonts w:ascii="Arial" w:hAnsi="Arial" w:cs="Arial"/>
          <w:sz w:val="24"/>
          <w:szCs w:val="24"/>
        </w:rPr>
      </w:pPr>
      <w:r>
        <w:rPr>
          <w:rFonts w:ascii="Arial" w:hAnsi="Arial"/>
          <w:sz w:val="24"/>
        </w:rPr>
        <w:t>Dokumentuak:</w:t>
      </w:r>
    </w:p>
    <w:p w14:paraId="1828AF6C" w14:textId="31753CC9" w:rsidR="00641619" w:rsidRDefault="00641619" w:rsidP="00670BF2">
      <w:pPr>
        <w:pStyle w:val="Prrafodelista"/>
        <w:numPr>
          <w:ilvl w:val="0"/>
          <w:numId w:val="10"/>
        </w:numPr>
        <w:spacing w:line="360" w:lineRule="auto"/>
        <w:jc w:val="both"/>
        <w:rPr>
          <w:rFonts w:ascii="Arial" w:hAnsi="Arial" w:cs="Arial"/>
          <w:sz w:val="24"/>
          <w:szCs w:val="24"/>
        </w:rPr>
      </w:pPr>
      <w:r>
        <w:rPr>
          <w:rFonts w:ascii="Arial" w:hAnsi="Arial"/>
          <w:sz w:val="24"/>
        </w:rPr>
        <w:t>Urteko oroitidazkiak</w:t>
      </w:r>
      <w:r w:rsidR="0091072E">
        <w:rPr>
          <w:rFonts w:ascii="Arial" w:hAnsi="Arial"/>
          <w:sz w:val="24"/>
        </w:rPr>
        <w:t>.</w:t>
      </w:r>
    </w:p>
    <w:p w14:paraId="6BDE87EA" w14:textId="77777777" w:rsidR="00641619" w:rsidRDefault="00641619" w:rsidP="00670BF2">
      <w:pPr>
        <w:pStyle w:val="Prrafodelista"/>
        <w:numPr>
          <w:ilvl w:val="0"/>
          <w:numId w:val="10"/>
        </w:numPr>
        <w:spacing w:line="360" w:lineRule="auto"/>
        <w:jc w:val="both"/>
        <w:rPr>
          <w:rFonts w:ascii="Arial" w:hAnsi="Arial" w:cs="Arial"/>
          <w:sz w:val="24"/>
          <w:szCs w:val="24"/>
        </w:rPr>
      </w:pPr>
      <w:r>
        <w:rPr>
          <w:rFonts w:ascii="Arial" w:hAnsi="Arial"/>
          <w:sz w:val="24"/>
        </w:rPr>
        <w:t>Eskubide Sozialetako Departamentuaren atal/zuzendariordetza bakoitzaren premien nahiz interesen arabera eskatutako txostenak.</w:t>
      </w:r>
    </w:p>
    <w:p w14:paraId="5311195D" w14:textId="79A9A755" w:rsidR="00641619" w:rsidRDefault="00641619" w:rsidP="00670BF2">
      <w:pPr>
        <w:pStyle w:val="Prrafodelista"/>
        <w:numPr>
          <w:ilvl w:val="0"/>
          <w:numId w:val="10"/>
        </w:numPr>
        <w:spacing w:line="360" w:lineRule="auto"/>
        <w:jc w:val="both"/>
        <w:rPr>
          <w:rFonts w:ascii="Arial" w:hAnsi="Arial" w:cs="Arial"/>
          <w:sz w:val="24"/>
          <w:szCs w:val="24"/>
        </w:rPr>
      </w:pPr>
      <w:r>
        <w:rPr>
          <w:rFonts w:ascii="Arial" w:hAnsi="Arial"/>
          <w:sz w:val="24"/>
        </w:rPr>
        <w:t>Prozedura eskuliburuak (eguneraketak)</w:t>
      </w:r>
      <w:r w:rsidR="0091072E">
        <w:rPr>
          <w:rFonts w:ascii="Arial" w:hAnsi="Arial"/>
          <w:sz w:val="24"/>
        </w:rPr>
        <w:t>.</w:t>
      </w:r>
    </w:p>
    <w:p w14:paraId="5206DA47" w14:textId="7C85708B" w:rsidR="00641619" w:rsidRDefault="00641619" w:rsidP="00670BF2">
      <w:pPr>
        <w:pStyle w:val="Prrafodelista"/>
        <w:numPr>
          <w:ilvl w:val="0"/>
          <w:numId w:val="10"/>
        </w:numPr>
        <w:spacing w:line="360" w:lineRule="auto"/>
        <w:jc w:val="both"/>
        <w:rPr>
          <w:rFonts w:ascii="Arial" w:hAnsi="Arial" w:cs="Arial"/>
          <w:sz w:val="24"/>
          <w:szCs w:val="24"/>
        </w:rPr>
      </w:pPr>
      <w:r>
        <w:rPr>
          <w:rFonts w:ascii="Arial" w:hAnsi="Arial"/>
          <w:sz w:val="24"/>
        </w:rPr>
        <w:t>Protokoloak</w:t>
      </w:r>
      <w:r w:rsidR="0091072E">
        <w:rPr>
          <w:rFonts w:ascii="Arial" w:hAnsi="Arial"/>
          <w:sz w:val="24"/>
        </w:rPr>
        <w:t>.</w:t>
      </w:r>
    </w:p>
    <w:p w14:paraId="0640EE2E" w14:textId="77777777" w:rsidR="00670BF2" w:rsidRDefault="00641619" w:rsidP="00670BF2">
      <w:pPr>
        <w:pStyle w:val="Prrafodelista"/>
        <w:numPr>
          <w:ilvl w:val="0"/>
          <w:numId w:val="10"/>
        </w:numPr>
        <w:spacing w:line="360" w:lineRule="auto"/>
        <w:jc w:val="both"/>
        <w:rPr>
          <w:rFonts w:ascii="Arial" w:hAnsi="Arial" w:cs="Arial"/>
          <w:sz w:val="24"/>
          <w:szCs w:val="24"/>
        </w:rPr>
      </w:pPr>
      <w:r>
        <w:rPr>
          <w:rFonts w:ascii="Arial" w:hAnsi="Arial"/>
          <w:sz w:val="24"/>
        </w:rPr>
        <w:t>Burutzek Zuzendaritza Teknikoari posta elektroniko bidez egindako kontsulta zehatzak.</w:t>
      </w:r>
    </w:p>
    <w:p w14:paraId="7F1483CA" w14:textId="3128D35A" w:rsidR="00641619" w:rsidRDefault="00641619" w:rsidP="00641619">
      <w:pPr>
        <w:pStyle w:val="Prrafodelista"/>
        <w:spacing w:line="360" w:lineRule="auto"/>
        <w:jc w:val="both"/>
        <w:rPr>
          <w:rFonts w:ascii="Arial" w:hAnsi="Arial" w:cs="Arial"/>
          <w:sz w:val="24"/>
          <w:szCs w:val="24"/>
        </w:rPr>
      </w:pPr>
      <w:r>
        <w:rPr>
          <w:rFonts w:ascii="Arial" w:hAnsi="Arial"/>
          <w:sz w:val="24"/>
        </w:rPr>
        <w:t>Aldizkako bilerak noizean behin (hilero, bi hilean behin edota hiruhilekoan behin Nafarroako Gobernuaren askotariko burutzen erabakiz):</w:t>
      </w:r>
    </w:p>
    <w:p w14:paraId="5110D072" w14:textId="77777777" w:rsidR="00641619" w:rsidRDefault="00641619" w:rsidP="00641619">
      <w:pPr>
        <w:pStyle w:val="Prrafodelista"/>
        <w:spacing w:line="360" w:lineRule="auto"/>
        <w:jc w:val="both"/>
        <w:rPr>
          <w:rFonts w:ascii="Arial" w:hAnsi="Arial" w:cs="Arial"/>
          <w:sz w:val="24"/>
          <w:szCs w:val="24"/>
        </w:rPr>
      </w:pPr>
      <w:r>
        <w:rPr>
          <w:rFonts w:ascii="Arial" w:hAnsi="Arial"/>
          <w:sz w:val="24"/>
        </w:rPr>
        <w:t>Gizain Fundazioaren Zuzendaritza Teknikoa eta Nafarroako Gobernuaren burutza bakoitza (prozedura eta estrategia analizatzeko, xedeen betetzea eta garapena ere bai):</w:t>
      </w:r>
    </w:p>
    <w:p w14:paraId="0D198D31" w14:textId="263B90B0" w:rsidR="00641619" w:rsidRDefault="00641619" w:rsidP="00670BF2">
      <w:pPr>
        <w:pStyle w:val="Prrafodelista"/>
        <w:numPr>
          <w:ilvl w:val="0"/>
          <w:numId w:val="11"/>
        </w:numPr>
        <w:spacing w:line="360" w:lineRule="auto"/>
        <w:jc w:val="both"/>
        <w:rPr>
          <w:rFonts w:ascii="Arial" w:hAnsi="Arial" w:cs="Arial"/>
          <w:sz w:val="24"/>
          <w:szCs w:val="24"/>
        </w:rPr>
      </w:pPr>
      <w:r>
        <w:rPr>
          <w:rFonts w:ascii="Arial" w:hAnsi="Arial"/>
          <w:sz w:val="24"/>
        </w:rPr>
        <w:t>Familiaren eta Adingabeen Zuzendariordetza</w:t>
      </w:r>
      <w:r w:rsidR="0091072E">
        <w:rPr>
          <w:rFonts w:ascii="Arial" w:hAnsi="Arial"/>
          <w:sz w:val="24"/>
        </w:rPr>
        <w:t>.</w:t>
      </w:r>
    </w:p>
    <w:p w14:paraId="284A5A3B" w14:textId="77777777" w:rsidR="00641619" w:rsidRDefault="00641619" w:rsidP="00670BF2">
      <w:pPr>
        <w:pStyle w:val="Prrafodelista"/>
        <w:numPr>
          <w:ilvl w:val="0"/>
          <w:numId w:val="11"/>
        </w:numPr>
        <w:spacing w:line="360" w:lineRule="auto"/>
        <w:jc w:val="both"/>
        <w:rPr>
          <w:rFonts w:ascii="Arial" w:hAnsi="Arial" w:cs="Arial"/>
          <w:sz w:val="24"/>
          <w:szCs w:val="24"/>
        </w:rPr>
      </w:pPr>
      <w:r>
        <w:rPr>
          <w:rFonts w:ascii="Arial" w:hAnsi="Arial"/>
          <w:sz w:val="24"/>
        </w:rPr>
        <w:t>Babesgabetasun Egoeren Balorazio Atalaren burutza.</w:t>
      </w:r>
    </w:p>
    <w:p w14:paraId="47746392" w14:textId="3819F2CB" w:rsidR="00641619" w:rsidRDefault="00641619" w:rsidP="00670BF2">
      <w:pPr>
        <w:pStyle w:val="Prrafodelista"/>
        <w:numPr>
          <w:ilvl w:val="0"/>
          <w:numId w:val="11"/>
        </w:numPr>
        <w:spacing w:line="360" w:lineRule="auto"/>
        <w:jc w:val="both"/>
        <w:rPr>
          <w:rFonts w:ascii="Arial" w:hAnsi="Arial" w:cs="Arial"/>
          <w:sz w:val="24"/>
          <w:szCs w:val="24"/>
        </w:rPr>
      </w:pPr>
      <w:r>
        <w:rPr>
          <w:rFonts w:ascii="Arial" w:hAnsi="Arial"/>
          <w:sz w:val="24"/>
        </w:rPr>
        <w:t>Zaintza Kudeatzeko eta Neurri Judizialak Betearazteko Atala</w:t>
      </w:r>
      <w:r w:rsidR="0091072E">
        <w:rPr>
          <w:rFonts w:ascii="Arial" w:hAnsi="Arial"/>
          <w:sz w:val="24"/>
        </w:rPr>
        <w:t>.</w:t>
      </w:r>
    </w:p>
    <w:p w14:paraId="571CC595" w14:textId="5684356E" w:rsidR="00641619" w:rsidRDefault="00641619" w:rsidP="00670BF2">
      <w:pPr>
        <w:pStyle w:val="Prrafodelista"/>
        <w:numPr>
          <w:ilvl w:val="0"/>
          <w:numId w:val="11"/>
        </w:numPr>
        <w:spacing w:line="360" w:lineRule="auto"/>
        <w:jc w:val="both"/>
        <w:rPr>
          <w:rFonts w:ascii="Arial" w:hAnsi="Arial" w:cs="Arial"/>
          <w:sz w:val="24"/>
          <w:szCs w:val="24"/>
        </w:rPr>
      </w:pPr>
      <w:r>
        <w:rPr>
          <w:rFonts w:ascii="Arial" w:hAnsi="Arial"/>
          <w:sz w:val="24"/>
        </w:rPr>
        <w:t>Oinarrizko Laguntzaren eta Gizarte Inklusioaren Zerbitzua (Gizarte Zerbitzuetako Oinarrizko Laguntzaren Koordinazio Atala eta Zuzendaritza)</w:t>
      </w:r>
      <w:r w:rsidR="0091072E">
        <w:rPr>
          <w:rFonts w:ascii="Arial" w:hAnsi="Arial"/>
          <w:sz w:val="24"/>
        </w:rPr>
        <w:t>.</w:t>
      </w:r>
    </w:p>
    <w:p w14:paraId="05D4D467" w14:textId="631DEB1E" w:rsidR="008C1AEC" w:rsidRDefault="008C1AEC" w:rsidP="00670BF2">
      <w:pPr>
        <w:pStyle w:val="Prrafodelista"/>
        <w:numPr>
          <w:ilvl w:val="0"/>
          <w:numId w:val="11"/>
        </w:numPr>
        <w:spacing w:line="360" w:lineRule="auto"/>
        <w:jc w:val="both"/>
        <w:rPr>
          <w:rFonts w:ascii="Arial" w:hAnsi="Arial" w:cs="Arial"/>
          <w:sz w:val="24"/>
          <w:szCs w:val="24"/>
        </w:rPr>
      </w:pPr>
      <w:r>
        <w:rPr>
          <w:rFonts w:ascii="Arial" w:hAnsi="Arial"/>
          <w:sz w:val="24"/>
        </w:rPr>
        <w:lastRenderedPageBreak/>
        <w:t>Gizarte Inklusiorako eta Gutxiengoei Arreta Emateko Atala</w:t>
      </w:r>
      <w:r w:rsidR="0091072E">
        <w:rPr>
          <w:rFonts w:ascii="Arial" w:hAnsi="Arial"/>
          <w:sz w:val="24"/>
        </w:rPr>
        <w:t>.</w:t>
      </w:r>
    </w:p>
    <w:p w14:paraId="50E51CC7" w14:textId="77777777" w:rsidR="008C1AEC" w:rsidRDefault="008C1AEC" w:rsidP="00670BF2">
      <w:pPr>
        <w:pStyle w:val="Prrafodelista"/>
        <w:numPr>
          <w:ilvl w:val="0"/>
          <w:numId w:val="11"/>
        </w:numPr>
        <w:spacing w:line="360" w:lineRule="auto"/>
        <w:jc w:val="both"/>
        <w:rPr>
          <w:rFonts w:ascii="Arial" w:hAnsi="Arial" w:cs="Arial"/>
          <w:sz w:val="24"/>
          <w:szCs w:val="24"/>
        </w:rPr>
      </w:pPr>
      <w:r>
        <w:rPr>
          <w:rFonts w:ascii="Arial" w:hAnsi="Arial"/>
          <w:sz w:val="24"/>
        </w:rPr>
        <w:t>Diru-sarreren Bermearen eta Garapenerako Lankidetzaren Zerbitzua.</w:t>
      </w:r>
    </w:p>
    <w:p w14:paraId="008DE254" w14:textId="77777777" w:rsidR="008C1AEC" w:rsidRDefault="008C1AEC" w:rsidP="00670BF2">
      <w:pPr>
        <w:pStyle w:val="Prrafodelista"/>
        <w:numPr>
          <w:ilvl w:val="0"/>
          <w:numId w:val="11"/>
        </w:numPr>
        <w:spacing w:line="360" w:lineRule="auto"/>
        <w:jc w:val="both"/>
        <w:rPr>
          <w:rFonts w:ascii="Arial" w:hAnsi="Arial" w:cs="Arial"/>
          <w:sz w:val="24"/>
          <w:szCs w:val="24"/>
        </w:rPr>
      </w:pPr>
      <w:r>
        <w:rPr>
          <w:rFonts w:ascii="Arial" w:hAnsi="Arial"/>
          <w:sz w:val="24"/>
        </w:rPr>
        <w:t>Neurri Judizialak Betearazteko Bulegoa.</w:t>
      </w:r>
    </w:p>
    <w:p w14:paraId="7D204CB0" w14:textId="77777777" w:rsidR="00670BF2" w:rsidRDefault="008C1AEC" w:rsidP="00670BF2">
      <w:pPr>
        <w:pStyle w:val="Prrafodelista"/>
        <w:numPr>
          <w:ilvl w:val="0"/>
          <w:numId w:val="11"/>
        </w:numPr>
        <w:spacing w:line="360" w:lineRule="auto"/>
        <w:jc w:val="both"/>
        <w:rPr>
          <w:rFonts w:ascii="Arial" w:hAnsi="Arial" w:cs="Arial"/>
          <w:sz w:val="24"/>
          <w:szCs w:val="24"/>
        </w:rPr>
      </w:pPr>
      <w:r>
        <w:rPr>
          <w:rFonts w:ascii="Arial" w:hAnsi="Arial"/>
          <w:sz w:val="24"/>
        </w:rPr>
        <w:t>Nafarroako Berdintasunerako Institutuko Berdintasunerako Gobernantzaren Zuzendariordetza.</w:t>
      </w:r>
    </w:p>
    <w:p w14:paraId="265DAB4E" w14:textId="5304E05E" w:rsidR="00107BEF" w:rsidRDefault="008C1AEC" w:rsidP="008C1AEC">
      <w:pPr>
        <w:spacing w:line="360" w:lineRule="auto"/>
        <w:ind w:left="708"/>
        <w:jc w:val="both"/>
        <w:rPr>
          <w:rFonts w:ascii="Arial" w:hAnsi="Arial" w:cs="Arial"/>
          <w:sz w:val="24"/>
          <w:szCs w:val="24"/>
        </w:rPr>
      </w:pPr>
      <w:r>
        <w:rPr>
          <w:rFonts w:ascii="Arial" w:hAnsi="Arial"/>
          <w:sz w:val="24"/>
        </w:rPr>
        <w:t>Baterako batzordeetan eta lan mahaietan parte hartzea, maila tekniko-operatiboan, esku-hartze zuzeneko beste eragile batzuekin batera, edo maila estrategikokoetan (NGrekin bakarrik):</w:t>
      </w:r>
    </w:p>
    <w:p w14:paraId="7281A6ED" w14:textId="77777777" w:rsidR="008C1AEC"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Nafarroako Adingabeen Mahaia (NGrekin, HNATren koordinazioarekin eta OGZetako eta Iruñeko Auzo Unitateetako ordezkariekin batera). Hiru hilean behin.</w:t>
      </w:r>
    </w:p>
    <w:p w14:paraId="72EDB8E6" w14:textId="77777777" w:rsidR="008C1AEC"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Departamentuko Adingabeen Mahaia (Adingabeen Zuzendariordetza, Oinarrizko Osasun Laguntza eta Gizain Fundazioko zuzendari nagusia).  Bi hilean behin.</w:t>
      </w:r>
    </w:p>
    <w:p w14:paraId="24DB317D" w14:textId="77777777" w:rsidR="008C1AEC"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Nafarroako Oinarrizko Osasun Laguntzako Ikuskapen Mahaia (Oinarrizko Osasun Laguntza, GSko zentroak eta Gizain Fundazioko zuzendari-kudeatzailea). Hilean behin.</w:t>
      </w:r>
    </w:p>
    <w:p w14:paraId="19E9F07B" w14:textId="77777777" w:rsidR="00670BF2"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Gizarteratzeko eta Laneratzeko ikuskapena (Gizarteratzea, Gizain Fundazioko Gizarteratze eta Laneratze Taldeetako koordinatzaileak eta Gizain Fundazioko zuzendari-kudeatzailea). Hiru hilean behin.</w:t>
      </w:r>
    </w:p>
    <w:p w14:paraId="7383325C" w14:textId="5B2AF445" w:rsidR="008C1AEC" w:rsidRPr="008C1AEC"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Indarkeriaren Biktimei Laguntza Orohartzailea emateko Lantaldeen Ikuskapen Mahaia (NABI, Indarkeriaren biktimei laguntza orohartzailea emateko lantaldeen koordinatzaileak eta Gizain Fundazioko zuzendari-kudeatzailea). Hiru hilean behin.</w:t>
      </w:r>
    </w:p>
    <w:p w14:paraId="0B2FE94A" w14:textId="77777777" w:rsidR="008C1AEC" w:rsidRDefault="008C1AEC" w:rsidP="00670BF2">
      <w:pPr>
        <w:pStyle w:val="Prrafodelista"/>
        <w:numPr>
          <w:ilvl w:val="0"/>
          <w:numId w:val="12"/>
        </w:numPr>
        <w:spacing w:line="360" w:lineRule="auto"/>
        <w:jc w:val="both"/>
        <w:rPr>
          <w:rFonts w:ascii="Arial" w:hAnsi="Arial" w:cs="Arial"/>
          <w:sz w:val="24"/>
          <w:szCs w:val="24"/>
        </w:rPr>
      </w:pPr>
      <w:r>
        <w:rPr>
          <w:rFonts w:ascii="Arial" w:hAnsi="Arial"/>
          <w:sz w:val="24"/>
        </w:rPr>
        <w:t>Indarkeriaren Biktimei Laguntza Orohartzailea emateko Zentroen Ikuskapen Mahaia (NABI, Indarkeriaren biktimei laguntza orohartzailea emateko zentroen koordinatzaileak eta Gizain Fundazioko zuzendari-kudeatzailea). Hiru hilean behin.</w:t>
      </w:r>
    </w:p>
    <w:p w14:paraId="481564B8" w14:textId="46A619F1" w:rsidR="008D32B4" w:rsidRDefault="008D32B4" w:rsidP="00670BF2">
      <w:pPr>
        <w:pStyle w:val="Prrafodelista"/>
        <w:numPr>
          <w:ilvl w:val="0"/>
          <w:numId w:val="12"/>
        </w:numPr>
        <w:spacing w:line="360" w:lineRule="auto"/>
        <w:jc w:val="both"/>
        <w:rPr>
          <w:rFonts w:ascii="Arial" w:hAnsi="Arial" w:cs="Arial"/>
          <w:sz w:val="24"/>
          <w:szCs w:val="24"/>
        </w:rPr>
      </w:pPr>
      <w:r>
        <w:rPr>
          <w:rFonts w:ascii="Arial" w:hAnsi="Arial"/>
          <w:sz w:val="24"/>
        </w:rPr>
        <w:t xml:space="preserve">Izapidetze Unitate Administratiboen Ikuskapen Mahaia (Diru-sarreren Bermea eta Garapenerako Lankidetza, izapidetze unitate </w:t>
      </w:r>
      <w:r>
        <w:rPr>
          <w:rFonts w:ascii="Arial" w:hAnsi="Arial"/>
          <w:sz w:val="24"/>
        </w:rPr>
        <w:lastRenderedPageBreak/>
        <w:t xml:space="preserve">administratiboen koordinatzailea eta Gizain Fundazioko zuzendari-kudeatzailea). </w:t>
      </w:r>
      <w:r w:rsidR="0091072E">
        <w:rPr>
          <w:rFonts w:ascii="Arial" w:hAnsi="Arial"/>
          <w:sz w:val="24"/>
        </w:rPr>
        <w:t>H</w:t>
      </w:r>
      <w:r>
        <w:rPr>
          <w:rFonts w:ascii="Arial" w:hAnsi="Arial"/>
          <w:sz w:val="24"/>
        </w:rPr>
        <w:t>ilero</w:t>
      </w:r>
      <w:r w:rsidR="0091072E">
        <w:rPr>
          <w:rFonts w:ascii="Arial" w:hAnsi="Arial"/>
          <w:sz w:val="24"/>
        </w:rPr>
        <w:t>.</w:t>
      </w:r>
    </w:p>
    <w:p w14:paraId="36EC36CC" w14:textId="77777777" w:rsidR="00670BF2" w:rsidRDefault="008D32B4" w:rsidP="008D32B4">
      <w:pPr>
        <w:spacing w:line="360" w:lineRule="auto"/>
        <w:ind w:left="1068"/>
        <w:jc w:val="both"/>
        <w:rPr>
          <w:rFonts w:ascii="Arial" w:hAnsi="Arial" w:cs="Arial"/>
          <w:sz w:val="24"/>
          <w:szCs w:val="24"/>
        </w:rPr>
      </w:pPr>
      <w:r>
        <w:rPr>
          <w:rFonts w:ascii="Arial" w:hAnsi="Arial"/>
          <w:sz w:val="24"/>
        </w:rPr>
        <w:t>Horrez gainera, HNATen, behaketa eta harrera zentroen, gazteen justizia eta eskubideen batzordeen eta izapidetze unitate administratiboen kasuan, ikuskapena koordinazioko figurekin egiten da zuzenean, Familiaren eta Adingabeen Zuzendariordetzarekin zuzeneko bilerak eginda bi hilean behin. Eduki operatibokoak izaten dira.</w:t>
      </w:r>
    </w:p>
    <w:p w14:paraId="4217CBAE" w14:textId="3EBB6A5D" w:rsidR="008D32B4" w:rsidRDefault="008D32B4" w:rsidP="008D32B4">
      <w:pPr>
        <w:spacing w:line="360" w:lineRule="auto"/>
        <w:ind w:left="1068"/>
        <w:jc w:val="both"/>
        <w:rPr>
          <w:rFonts w:ascii="Arial" w:hAnsi="Arial" w:cs="Arial"/>
          <w:sz w:val="24"/>
          <w:szCs w:val="24"/>
        </w:rPr>
      </w:pPr>
      <w:r>
        <w:rPr>
          <w:rFonts w:ascii="Arial" w:hAnsi="Arial"/>
          <w:sz w:val="24"/>
        </w:rPr>
        <w:t>Halaber, Zuzendaritza Teknikoen barnean kontroleko eta ikuskapeneko honako jarduketa hauek egiten dira:</w:t>
      </w:r>
    </w:p>
    <w:p w14:paraId="25EDA65B" w14:textId="77777777" w:rsidR="008D32B4"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Hilean behingo bilerak zentro bakoitzeko koordinatzaileekin.</w:t>
      </w:r>
    </w:p>
    <w:p w14:paraId="2913CA3A" w14:textId="77777777" w:rsidR="008D32B4"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Hilean behingo bilerak antzeko zentroetako koordinatzaile guztiekin.</w:t>
      </w:r>
    </w:p>
    <w:p w14:paraId="7741CC63" w14:textId="77777777" w:rsidR="008D32B4"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Hilean behingo bilerak antzeko taldeetako koordinatzaile guztiekin.</w:t>
      </w:r>
    </w:p>
    <w:p w14:paraId="324AF072" w14:textId="2A47F3F8" w:rsidR="008D32B4"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Mezu elektronikoak kontsultak eta WhatsAppak erantzuteko</w:t>
      </w:r>
      <w:r w:rsidR="00BD2138">
        <w:rPr>
          <w:rFonts w:ascii="Arial" w:hAnsi="Arial"/>
          <w:sz w:val="24"/>
        </w:rPr>
        <w:t>.</w:t>
      </w:r>
    </w:p>
    <w:p w14:paraId="7FF71044" w14:textId="25674D55" w:rsidR="008D32B4"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Prozedurak, erregistroak eta protokoloak</w:t>
      </w:r>
      <w:r w:rsidR="00BD2138">
        <w:rPr>
          <w:rFonts w:ascii="Arial" w:hAnsi="Arial"/>
          <w:sz w:val="24"/>
        </w:rPr>
        <w:t>.</w:t>
      </w:r>
    </w:p>
    <w:p w14:paraId="351A0FE5" w14:textId="070E805D" w:rsidR="00670BF2" w:rsidRDefault="008D32B4" w:rsidP="00670BF2">
      <w:pPr>
        <w:pStyle w:val="Prrafodelista"/>
        <w:numPr>
          <w:ilvl w:val="0"/>
          <w:numId w:val="13"/>
        </w:numPr>
        <w:spacing w:line="360" w:lineRule="auto"/>
        <w:jc w:val="both"/>
        <w:rPr>
          <w:rFonts w:ascii="Arial" w:hAnsi="Arial" w:cs="Arial"/>
          <w:sz w:val="24"/>
          <w:szCs w:val="24"/>
        </w:rPr>
      </w:pPr>
      <w:r>
        <w:rPr>
          <w:rFonts w:ascii="Arial" w:hAnsi="Arial"/>
          <w:sz w:val="24"/>
        </w:rPr>
        <w:t>FAQak (ohiko galderak eta erantzunak) eta prozedurazko eskuliburuak</w:t>
      </w:r>
      <w:r w:rsidR="00BD2138">
        <w:rPr>
          <w:rFonts w:ascii="Arial" w:hAnsi="Arial"/>
          <w:sz w:val="24"/>
        </w:rPr>
        <w:t>.</w:t>
      </w:r>
    </w:p>
    <w:p w14:paraId="6ABFFAB3" w14:textId="77777777" w:rsidR="00670BF2" w:rsidRDefault="00203F13" w:rsidP="00203F13">
      <w:pPr>
        <w:spacing w:line="360" w:lineRule="auto"/>
        <w:jc w:val="both"/>
        <w:rPr>
          <w:rFonts w:ascii="Arial" w:hAnsi="Arial" w:cs="Arial"/>
          <w:sz w:val="24"/>
          <w:szCs w:val="24"/>
        </w:rPr>
      </w:pPr>
      <w:r>
        <w:rPr>
          <w:rFonts w:ascii="Arial" w:hAnsi="Arial"/>
          <w:sz w:val="24"/>
        </w:rPr>
        <w:t>Gizain Fundazioaren Estrategiaren jarraipena egiteko, adierazleen lehenengo multzo bat dago diseinatuta (Excela erantsi da). Eraikitzen ai den sistema da, kudeaketa aurreratuaren ereduarekin eta plan estrategiko berria osatzeko prozesuarekin lerrokatzeko.</w:t>
      </w:r>
    </w:p>
    <w:p w14:paraId="6038F3E6" w14:textId="03F1B52C" w:rsidR="00670BF2" w:rsidRDefault="005007BB" w:rsidP="00203F13">
      <w:pPr>
        <w:spacing w:line="360" w:lineRule="auto"/>
        <w:jc w:val="both"/>
        <w:rPr>
          <w:rFonts w:ascii="Arial" w:hAnsi="Arial" w:cs="Arial"/>
          <w:sz w:val="24"/>
          <w:szCs w:val="24"/>
        </w:rPr>
      </w:pPr>
      <w:r>
        <w:rPr>
          <w:rFonts w:ascii="Arial" w:hAnsi="Arial"/>
          <w:sz w:val="24"/>
        </w:rPr>
        <w:t>Azkenik, azpimarratu behar da GIZAIN Fundazioari egindako lanak enkargatzeko izapidetutako espediente guztiek, Nafarroako Foru Komunitatearen Administrazioko erakunde instrumentala den aldetik, nahitaezko txosten teknikoak eta juridikoak dituztela, bai eta Ekonomia eta Ogasun Departamentuak Eskubide Sozialetako, Ekonomia Sozialeko eta Enpleguko Departamentuan eskuordetutako kontu-hartzailetzaren aldeko fiskalizazioa ere.</w:t>
      </w:r>
    </w:p>
    <w:p w14:paraId="649487C1" w14:textId="7B53FDB5" w:rsidR="00670BF2" w:rsidRDefault="00F669A0" w:rsidP="00F669A0">
      <w:pPr>
        <w:spacing w:line="360" w:lineRule="auto"/>
        <w:jc w:val="both"/>
        <w:rPr>
          <w:rFonts w:ascii="Arial" w:hAnsi="Arial" w:cs="Arial"/>
          <w:sz w:val="24"/>
          <w:szCs w:val="24"/>
        </w:rPr>
      </w:pPr>
      <w:r>
        <w:rPr>
          <w:rFonts w:ascii="Arial" w:hAnsi="Arial"/>
          <w:sz w:val="24"/>
        </w:rPr>
        <w:t>Hori guztia jakinarazten dizut, Nafarroako Parlamentuko Erregelamenduaren 215. artikulua betez.</w:t>
      </w:r>
    </w:p>
    <w:p w14:paraId="063330CA" w14:textId="739635A2" w:rsidR="00F669A0" w:rsidRPr="00764E30" w:rsidRDefault="00A76B79" w:rsidP="00F669A0">
      <w:pPr>
        <w:spacing w:line="360" w:lineRule="auto"/>
        <w:jc w:val="center"/>
        <w:rPr>
          <w:rFonts w:ascii="Arial" w:hAnsi="Arial" w:cs="Arial"/>
          <w:sz w:val="24"/>
          <w:szCs w:val="24"/>
        </w:rPr>
      </w:pPr>
      <w:r>
        <w:rPr>
          <w:rFonts w:ascii="Arial" w:hAnsi="Arial"/>
          <w:sz w:val="24"/>
        </w:rPr>
        <w:t>Iruñean, 2024ko maiatzaren 6an.</w:t>
      </w:r>
    </w:p>
    <w:p w14:paraId="4FDEB411" w14:textId="72AB6B6F" w:rsidR="00203F13" w:rsidRDefault="00670BF2" w:rsidP="005007BB">
      <w:pPr>
        <w:jc w:val="center"/>
        <w:rPr>
          <w:rFonts w:ascii="Arial" w:hAnsi="Arial" w:cs="Arial"/>
          <w:sz w:val="24"/>
          <w:szCs w:val="24"/>
        </w:rPr>
      </w:pPr>
      <w:r>
        <w:rPr>
          <w:rFonts w:ascii="Arial" w:hAnsi="Arial"/>
          <w:sz w:val="24"/>
        </w:rPr>
        <w:t>Eskubide Sozialetako, Ekonomia Sozialeko eta Enpleguko kontseilaria: María Carmen Maeztu Villafranca</w:t>
      </w:r>
    </w:p>
    <w:p w14:paraId="1F13A29F" w14:textId="77777777" w:rsidR="001A4CB8" w:rsidRPr="001A4CB8" w:rsidRDefault="001A4CB8" w:rsidP="001A4CB8">
      <w:pPr>
        <w:rPr>
          <w:rFonts w:ascii="Times New (W1)" w:hAnsi="Times New (W1)"/>
          <w:sz w:val="24"/>
          <w:szCs w:val="24"/>
        </w:rPr>
      </w:pPr>
      <w:r>
        <w:rPr>
          <w:rFonts w:ascii="Times New (W1)" w:hAnsi="Times New (W1)"/>
          <w:sz w:val="24"/>
        </w:rPr>
        <w:lastRenderedPageBreak/>
        <w:t xml:space="preserve">(Oharra: </w:t>
      </w:r>
      <w:r>
        <w:rPr>
          <w:sz w:val="24"/>
        </w:rPr>
        <w:t xml:space="preserve">Aipatu eranskina foru parlamentarien eskura dago </w:t>
      </w:r>
      <w:r>
        <w:rPr>
          <w:rFonts w:ascii="Times New (W1)" w:hAnsi="Times New (W1)"/>
          <w:sz w:val="24"/>
        </w:rPr>
        <w:t>Parlamentuaren kudeaketarako Ágora sisteman).</w:t>
      </w:r>
    </w:p>
    <w:p w14:paraId="0282D69C" w14:textId="77777777" w:rsidR="001A4CB8" w:rsidRPr="005007BB" w:rsidRDefault="001A4CB8" w:rsidP="005007BB">
      <w:pPr>
        <w:jc w:val="center"/>
        <w:rPr>
          <w:rFonts w:ascii="Arial" w:hAnsi="Arial" w:cs="Arial"/>
          <w:sz w:val="24"/>
          <w:szCs w:val="24"/>
        </w:rPr>
      </w:pPr>
    </w:p>
    <w:sectPr w:rsidR="001A4CB8" w:rsidRPr="005007BB"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DC70" w14:textId="77777777" w:rsidR="00A76B79" w:rsidRDefault="00A76B79" w:rsidP="00A76B79">
      <w:r>
        <w:separator/>
      </w:r>
    </w:p>
  </w:endnote>
  <w:endnote w:type="continuationSeparator" w:id="0">
    <w:p w14:paraId="22161F19" w14:textId="77777777" w:rsidR="00A76B79" w:rsidRDefault="00A76B79" w:rsidP="00A7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CF73" w14:textId="77777777" w:rsidR="00A76B79" w:rsidRDefault="00A76B79" w:rsidP="00A76B79">
      <w:r>
        <w:separator/>
      </w:r>
    </w:p>
  </w:footnote>
  <w:footnote w:type="continuationSeparator" w:id="0">
    <w:p w14:paraId="2B107A95" w14:textId="77777777" w:rsidR="00A76B79" w:rsidRDefault="00A76B79" w:rsidP="00A7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825"/>
    <w:multiLevelType w:val="hybridMultilevel"/>
    <w:tmpl w:val="5C2EBBF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FF60B29"/>
    <w:multiLevelType w:val="hybridMultilevel"/>
    <w:tmpl w:val="A79482B6"/>
    <w:lvl w:ilvl="0" w:tplc="0C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2036D46"/>
    <w:multiLevelType w:val="hybridMultilevel"/>
    <w:tmpl w:val="B30C822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6045F3"/>
    <w:multiLevelType w:val="hybridMultilevel"/>
    <w:tmpl w:val="900A7C1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4961492E"/>
    <w:multiLevelType w:val="hybridMultilevel"/>
    <w:tmpl w:val="7B2E18DA"/>
    <w:lvl w:ilvl="0" w:tplc="0C0A0003">
      <w:start w:val="1"/>
      <w:numFmt w:val="bullet"/>
      <w:lvlText w:val="o"/>
      <w:lvlJc w:val="left"/>
      <w:pPr>
        <w:ind w:left="1788" w:hanging="360"/>
      </w:pPr>
      <w:rPr>
        <w:rFonts w:ascii="Courier New" w:hAnsi="Courier New" w:cs="Courier New"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5" w15:restartNumberingAfterBreak="0">
    <w:nsid w:val="4DEC10F3"/>
    <w:multiLevelType w:val="hybridMultilevel"/>
    <w:tmpl w:val="CDD63A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E4F7028"/>
    <w:multiLevelType w:val="hybridMultilevel"/>
    <w:tmpl w:val="8DB4B6F0"/>
    <w:lvl w:ilvl="0" w:tplc="0C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56A12352"/>
    <w:multiLevelType w:val="hybridMultilevel"/>
    <w:tmpl w:val="A91E5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F41E0C"/>
    <w:multiLevelType w:val="hybridMultilevel"/>
    <w:tmpl w:val="2F5C4EB0"/>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6DAC3241"/>
    <w:multiLevelType w:val="hybridMultilevel"/>
    <w:tmpl w:val="27C875D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1FE5E03"/>
    <w:multiLevelType w:val="hybridMultilevel"/>
    <w:tmpl w:val="B594633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A44482F"/>
    <w:multiLevelType w:val="hybridMultilevel"/>
    <w:tmpl w:val="2CD0B5B6"/>
    <w:lvl w:ilvl="0" w:tplc="0C0A0001">
      <w:start w:val="1"/>
      <w:numFmt w:val="bullet"/>
      <w:lvlText w:val=""/>
      <w:lvlJc w:val="left"/>
      <w:pPr>
        <w:ind w:left="1788" w:hanging="360"/>
      </w:pPr>
      <w:rPr>
        <w:rFonts w:ascii="Symbol" w:hAnsi="Symbol"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2" w15:restartNumberingAfterBreak="0">
    <w:nsid w:val="7D1D1D92"/>
    <w:multiLevelType w:val="hybridMultilevel"/>
    <w:tmpl w:val="8454E8A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405149574">
    <w:abstractNumId w:val="7"/>
  </w:num>
  <w:num w:numId="2" w16cid:durableId="1723289147">
    <w:abstractNumId w:val="2"/>
  </w:num>
  <w:num w:numId="3" w16cid:durableId="1535576174">
    <w:abstractNumId w:val="5"/>
  </w:num>
  <w:num w:numId="4" w16cid:durableId="570849199">
    <w:abstractNumId w:val="9"/>
  </w:num>
  <w:num w:numId="5" w16cid:durableId="1304505631">
    <w:abstractNumId w:val="0"/>
  </w:num>
  <w:num w:numId="6" w16cid:durableId="765154264">
    <w:abstractNumId w:val="3"/>
  </w:num>
  <w:num w:numId="7" w16cid:durableId="1110516874">
    <w:abstractNumId w:val="12"/>
  </w:num>
  <w:num w:numId="8" w16cid:durableId="398598355">
    <w:abstractNumId w:val="4"/>
  </w:num>
  <w:num w:numId="9" w16cid:durableId="1788696014">
    <w:abstractNumId w:val="8"/>
  </w:num>
  <w:num w:numId="10" w16cid:durableId="1790511920">
    <w:abstractNumId w:val="10"/>
  </w:num>
  <w:num w:numId="11" w16cid:durableId="1753427225">
    <w:abstractNumId w:val="1"/>
  </w:num>
  <w:num w:numId="12" w16cid:durableId="136994967">
    <w:abstractNumId w:val="6"/>
  </w:num>
  <w:num w:numId="13" w16cid:durableId="1794011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50"/>
    <w:rsid w:val="00107BEF"/>
    <w:rsid w:val="001A4CB8"/>
    <w:rsid w:val="00203F13"/>
    <w:rsid w:val="002830EF"/>
    <w:rsid w:val="005007BB"/>
    <w:rsid w:val="005A0040"/>
    <w:rsid w:val="00641619"/>
    <w:rsid w:val="00670BF2"/>
    <w:rsid w:val="008C1AEC"/>
    <w:rsid w:val="008D32B4"/>
    <w:rsid w:val="0091072E"/>
    <w:rsid w:val="009D5A2F"/>
    <w:rsid w:val="00A53A50"/>
    <w:rsid w:val="00A76B79"/>
    <w:rsid w:val="00BD2138"/>
    <w:rsid w:val="00C47750"/>
    <w:rsid w:val="00F66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CCC7"/>
  <w15:chartTrackingRefBased/>
  <w15:docId w15:val="{5E44557F-2919-4675-8B6B-037EBBE7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A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9A0"/>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669A0"/>
  </w:style>
  <w:style w:type="paragraph" w:styleId="Piedepgina">
    <w:name w:val="footer"/>
    <w:basedOn w:val="Normal"/>
    <w:link w:val="PiedepginaCar"/>
    <w:unhideWhenUsed/>
    <w:rsid w:val="00F669A0"/>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669A0"/>
  </w:style>
  <w:style w:type="paragraph" w:styleId="Textoindependiente">
    <w:name w:val="Body Text"/>
    <w:basedOn w:val="Normal"/>
    <w:link w:val="TextoindependienteCar"/>
    <w:rsid w:val="00F669A0"/>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669A0"/>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669A0"/>
  </w:style>
  <w:style w:type="paragraph" w:styleId="Prrafodelista">
    <w:name w:val="List Paragraph"/>
    <w:basedOn w:val="Normal"/>
    <w:uiPriority w:val="34"/>
    <w:qFormat/>
    <w:rsid w:val="00A7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6</cp:revision>
  <dcterms:created xsi:type="dcterms:W3CDTF">2024-05-08T06:38:00Z</dcterms:created>
  <dcterms:modified xsi:type="dcterms:W3CDTF">2024-06-03T06:50:00Z</dcterms:modified>
</cp:coreProperties>
</file>